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{{Kurum}}</w:t>
      </w:r>
      <w:r>
        <w:t xml:space="preserve"> </w:t>
      </w:r>
      <w:r>
        <w:t xml:space="preserve">—</w:t>
      </w:r>
      <w:r>
        <w:t xml:space="preserve"> </w:t>
      </w:r>
      <w:r>
        <w:t xml:space="preserve">Egemenlik</w:t>
      </w:r>
      <w:r>
        <w:t xml:space="preserve"> </w:t>
      </w:r>
      <w:r>
        <w:t xml:space="preserve">Testi</w:t>
      </w:r>
      <w:r>
        <w:t xml:space="preserve"> </w:t>
      </w:r>
      <w:r>
        <w:t xml:space="preserve">Kaydı</w:t>
      </w:r>
    </w:p>
    <w:p>
      <w:pPr>
        <w:pStyle w:val="Heading1"/>
      </w:pPr>
      <w:bookmarkStart w:id="20" w:name="kapsam"/>
      <w:r>
        <w:t xml:space="preserve">1. Kapsam</w:t>
      </w:r>
      <w:bookmarkEnd w:id="20"/>
    </w:p>
    <w:tbl>
      <w:tblPr>
        <w:tblStyle w:val="Table"/>
        <w:tblLook w:firstRow="0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3472"/>
        <w:gridCol w:w="6127"/>
      </w:tblGrid>
      <w:tr>
        <w:tc>
          <w:tcPr>
            <w:tcW w:type="dxa" w:w="3472"/>
          </w:tcPr>
          <w:p>
            <w:pPr>
              <w:pStyle w:val="Compact"/>
              <w:jc w:val="left"/>
            </w:pPr>
            <w:r>
              <w:t xml:space="preserve">Sağlayıcı / barındırma düzeni</w:t>
            </w:r>
          </w:p>
        </w:tc>
        <w:tc>
          <w:tcPr>
            <w:tcW w:type="dxa" w:w="6127"/>
          </w:tcPr>
          <w:p/>
        </w:tc>
      </w:tr>
      <w:tr>
        <w:tc>
          <w:tcPr>
            <w:tcW w:type="dxa" w:w="3472"/>
          </w:tcPr>
          <w:p>
            <w:pPr>
              <w:pStyle w:val="Compact"/>
              <w:jc w:val="left"/>
            </w:pPr>
            <w:r>
              <w:t xml:space="preserve">İlgili AI sistemleri (envanter no)</w:t>
            </w:r>
          </w:p>
        </w:tc>
        <w:tc>
          <w:tcPr>
            <w:tcW w:type="dxa" w:w="6127"/>
          </w:tcPr>
          <w:p/>
        </w:tc>
      </w:tr>
      <w:tr>
        <w:tc>
          <w:tcPr>
            <w:tcW w:type="dxa" w:w="3472"/>
          </w:tcPr>
          <w:p>
            <w:pPr>
              <w:pStyle w:val="Compact"/>
              <w:jc w:val="left"/>
            </w:pPr>
            <w:r>
              <w:t xml:space="preserve">Kritik sağlayıcı mı?</w:t>
            </w:r>
          </w:p>
        </w:tc>
        <w:tc>
          <w:tcPr>
            <w:tcW w:type="dxa" w:w="6127"/>
          </w:tcPr>
          <w:p>
            <w:pPr>
              <w:pStyle w:val="Compact"/>
              <w:jc w:val="left"/>
            </w:pPr>
            <w:r>
              <w:t xml:space="preserve">☐ Evet ☐ Hayır — kurum tanımı: {{ör. kesintisi bir iş sürecini 1 iş gününden fazla durdurur ya da kişisel/gizli veri işler}}</w:t>
            </w:r>
          </w:p>
        </w:tc>
      </w:tr>
      <w:tr>
        <w:tc>
          <w:tcPr>
            <w:tcW w:type="dxa" w:w="3472"/>
          </w:tcPr>
          <w:p>
            <w:pPr>
              <w:pStyle w:val="Compact"/>
              <w:jc w:val="left"/>
            </w:pPr>
            <w:r>
              <w:t xml:space="preserve">Değerlendiren / tarih</w:t>
            </w:r>
          </w:p>
        </w:tc>
        <w:tc>
          <w:tcPr>
            <w:tcW w:type="dxa" w:w="6127"/>
          </w:tcPr>
          <w:p/>
        </w:tc>
      </w:tr>
    </w:tbl>
    <w:p>
      <w:pPr>
        <w:pStyle w:val="Heading1"/>
      </w:pPr>
      <w:bookmarkStart w:id="21" w:name="soru-1-hukuki-yetki-alanı"/>
      <w:r>
        <w:t xml:space="preserve">2. Soru 1 — Hukuki yetki alanı</w:t>
      </w:r>
      <w:bookmarkEnd w:id="21"/>
    </w:p>
    <w:p>
      <w:pPr>
        <w:pStyle w:val="FirstParagraph"/>
      </w:pPr>
      <w:r>
        <w:rPr>
          <w:b/>
        </w:rPr>
        <w:t xml:space="preserve">Verinize hangi ülkenin hukuku, sağlayıcıyı erişim vermeye zorlayabilir?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4840"/>
        <w:gridCol w:w="2420"/>
        <w:gridCol w:w="2339"/>
      </w:tblGrid>
      <w:tr>
        <w:trPr>
          <w:cnfStyle w:firstRow="1"/>
        </w:trPr>
        <w:tc>
          <w:tcPr>
            <w:tcW w:type="dxa" w:w="4840"/>
            <w:tcBorders>
              <w:bottom w:val="single"/>
            </w:tcBorders>
            <w:vAlign w:val="bottom"/>
          </w:tcPr>
          <w:p/>
        </w:tc>
        <w:tc>
          <w:tcPr>
            <w:tcW w:type="dxa" w:w="24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Cevap</w:t>
            </w:r>
          </w:p>
        </w:tc>
        <w:tc>
          <w:tcPr>
            <w:tcW w:type="dxa" w:w="2339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Kaynak</w:t>
            </w:r>
          </w:p>
        </w:tc>
      </w:tr>
      <w:tr>
        <w:tc>
          <w:tcPr>
            <w:tcW w:type="dxa" w:w="4840"/>
          </w:tcPr>
          <w:p>
            <w:pPr>
              <w:pStyle w:val="Compact"/>
              <w:jc w:val="left"/>
            </w:pPr>
            <w:r>
              <w:t xml:space="preserve">Sözleşme tarafı şirket ve ülkesi</w:t>
            </w:r>
          </w:p>
        </w:tc>
        <w:tc>
          <w:tcPr>
            <w:tcW w:type="dxa" w:w="2420"/>
          </w:tcPr>
          <w:p/>
        </w:tc>
        <w:tc>
          <w:tcPr>
            <w:tcW w:type="dxa" w:w="2339"/>
          </w:tcPr>
          <w:p>
            <w:pPr>
              <w:pStyle w:val="Compact"/>
              <w:jc w:val="left"/>
            </w:pPr>
            <w:r>
              <w:t xml:space="preserve">Sözleşme</w:t>
            </w:r>
          </w:p>
        </w:tc>
      </w:tr>
      <w:tr>
        <w:tc>
          <w:tcPr>
            <w:tcW w:type="dxa" w:w="4840"/>
          </w:tcPr>
          <w:p>
            <w:pPr>
              <w:pStyle w:val="Compact"/>
              <w:jc w:val="left"/>
            </w:pPr>
            <w:r>
              <w:t xml:space="preserve">Nihai ana şirket ve ülkesi</w:t>
            </w:r>
          </w:p>
        </w:tc>
        <w:tc>
          <w:tcPr>
            <w:tcW w:type="dxa" w:w="2420"/>
          </w:tcPr>
          <w:p/>
        </w:tc>
        <w:tc>
          <w:tcPr>
            <w:tcW w:type="dxa" w:w="2339"/>
          </w:tcPr>
          <w:p>
            <w:pPr>
              <w:pStyle w:val="Compact"/>
              <w:jc w:val="left"/>
            </w:pPr>
            <w:r>
              <w:t xml:space="preserve">Ticaret sicili / yıllık rapor</w:t>
            </w:r>
          </w:p>
        </w:tc>
      </w:tr>
      <w:tr>
        <w:tc>
          <w:tcPr>
            <w:tcW w:type="dxa" w:w="4840"/>
          </w:tcPr>
          <w:p>
            <w:pPr>
              <w:pStyle w:val="Compact"/>
              <w:jc w:val="left"/>
            </w:pPr>
            <w:r>
              <w:t xml:space="preserve">Ana şirketin tabi olduğu, yabancı veri erişimine imkân veren düzenlemeler</w:t>
            </w:r>
          </w:p>
        </w:tc>
        <w:tc>
          <w:tcPr>
            <w:tcW w:type="dxa" w:w="2420"/>
          </w:tcPr>
          <w:p/>
        </w:tc>
        <w:tc>
          <w:tcPr>
            <w:tcW w:type="dxa" w:w="2339"/>
          </w:tcPr>
          <w:p>
            <w:pPr>
              <w:pStyle w:val="Compact"/>
              <w:jc w:val="left"/>
            </w:pPr>
            <w:r>
              <w:t xml:space="preserve">{{hukuk görüşü}}</w:t>
            </w:r>
          </w:p>
        </w:tc>
      </w:tr>
      <w:tr>
        <w:tc>
          <w:tcPr>
            <w:tcW w:type="dxa" w:w="4840"/>
          </w:tcPr>
          <w:p>
            <w:pPr>
              <w:pStyle w:val="Compact"/>
              <w:jc w:val="left"/>
            </w:pPr>
            <w:r>
              <w:t xml:space="preserve">Sağlayıcının kamu erişim talebi politikası ve şeffaflık raporu</w:t>
            </w:r>
          </w:p>
        </w:tc>
        <w:tc>
          <w:tcPr>
            <w:tcW w:type="dxa" w:w="2420"/>
          </w:tcPr>
          <w:p/>
        </w:tc>
        <w:tc>
          <w:tcPr>
            <w:tcW w:type="dxa" w:w="2339"/>
          </w:tcPr>
          <w:p/>
        </w:tc>
      </w:tr>
    </w:tbl>
    <w:p>
      <w:pPr>
        <w:pStyle w:val="Heading1"/>
      </w:pPr>
      <w:bookmarkStart w:id="22" w:name="soru-2-mimari-sınır"/>
      <w:r>
        <w:t xml:space="preserve">3. Soru 2 — Mimari sınır</w:t>
      </w:r>
      <w:bookmarkEnd w:id="22"/>
    </w:p>
    <w:p>
      <w:pPr>
        <w:pStyle w:val="FirstParagraph"/>
      </w:pPr>
      <w:r>
        <w:rPr>
          <w:b/>
        </w:rPr>
        <w:t xml:space="preserve">Veri, iddia edilen sınırın içinde mi işleniyor? Bunu yalnız beyanla değil gözlemle gösterin.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4500"/>
        <w:gridCol w:w="2250"/>
        <w:gridCol w:w="2850"/>
      </w:tblGrid>
      <w:tr>
        <w:trPr>
          <w:cnfStyle w:firstRow="1"/>
        </w:trPr>
        <w:tc>
          <w:tcPr>
            <w:tcW w:type="dxa" w:w="4500"/>
            <w:tcBorders>
              <w:bottom w:val="single"/>
            </w:tcBorders>
            <w:vAlign w:val="bottom"/>
          </w:tcPr>
          <w:p/>
        </w:tc>
        <w:tc>
          <w:tcPr>
            <w:tcW w:type="dxa" w:w="225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Cevap</w:t>
            </w:r>
          </w:p>
        </w:tc>
        <w:tc>
          <w:tcPr>
            <w:tcW w:type="dxa" w:w="285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Kanıt</w:t>
            </w:r>
          </w:p>
        </w:tc>
      </w:tr>
      <w:tr>
        <w:tc>
          <w:tcPr>
            <w:tcW w:type="dxa" w:w="4500"/>
          </w:tcPr>
          <w:p>
            <w:pPr>
              <w:pStyle w:val="Compact"/>
              <w:jc w:val="left"/>
            </w:pPr>
            <w:r>
              <w:t xml:space="preserve">İddia edilen işleme sınırı (ülke / bölge / kurum veri merkezi)</w:t>
            </w:r>
          </w:p>
        </w:tc>
        <w:tc>
          <w:tcPr>
            <w:tcW w:type="dxa" w:w="2250"/>
          </w:tcPr>
          <w:p/>
        </w:tc>
        <w:tc>
          <w:tcPr>
            <w:tcW w:type="dxa" w:w="2850"/>
          </w:tcPr>
          <w:p>
            <w:pPr>
              <w:pStyle w:val="Compact"/>
              <w:jc w:val="left"/>
            </w:pPr>
            <w:r>
              <w:t xml:space="preserve">Sağlayıcı beyanı</w:t>
            </w:r>
          </w:p>
        </w:tc>
      </w:tr>
      <w:tr>
        <w:tc>
          <w:tcPr>
            <w:tcW w:type="dxa" w:w="4500"/>
          </w:tcPr>
          <w:p>
            <w:pPr>
              <w:pStyle w:val="Compact"/>
              <w:jc w:val="left"/>
            </w:pPr>
            <w:r>
              <w:t xml:space="preserve">Gözlem: AI çağrılarının gittiği uç noktaların konumu</w:t>
            </w:r>
          </w:p>
        </w:tc>
        <w:tc>
          <w:tcPr>
            <w:tcW w:type="dxa" w:w="2250"/>
          </w:tcPr>
          <w:p/>
        </w:tc>
        <w:tc>
          <w:tcPr>
            <w:tcW w:type="dxa" w:w="2850"/>
          </w:tcPr>
          <w:p>
            <w:pPr>
              <w:pStyle w:val="Compact"/>
              <w:jc w:val="left"/>
            </w:pPr>
            <w:r>
              <w:t xml:space="preserve">Ağ çıkış kayıtları, {{tarih aralığı}}</w:t>
            </w:r>
          </w:p>
        </w:tc>
      </w:tr>
      <w:tr>
        <w:tc>
          <w:tcPr>
            <w:tcW w:type="dxa" w:w="4500"/>
          </w:tcPr>
          <w:p>
            <w:pPr>
              <w:pStyle w:val="Compact"/>
              <w:jc w:val="left"/>
            </w:pPr>
            <w:r>
              <w:t xml:space="preserve">Destek, telemetri ve yedekleme akışları sınır dışına çıkıyor mu?</w:t>
            </w:r>
          </w:p>
        </w:tc>
        <w:tc>
          <w:tcPr>
            <w:tcW w:type="dxa" w:w="2250"/>
          </w:tcPr>
          <w:p/>
        </w:tc>
        <w:tc>
          <w:tcPr>
            <w:tcW w:type="dxa" w:w="2850"/>
          </w:tcPr>
          <w:p>
            <w:pPr>
              <w:pStyle w:val="Compact"/>
              <w:jc w:val="left"/>
            </w:pPr>
            <w:r>
              <w:t xml:space="preserve">Mimari belge / sağlayıcı yazılı cevabı</w:t>
            </w:r>
          </w:p>
        </w:tc>
      </w:tr>
      <w:tr>
        <w:tc>
          <w:tcPr>
            <w:tcW w:type="dxa" w:w="4500"/>
          </w:tcPr>
          <w:p>
            <w:pPr>
              <w:pStyle w:val="Compact"/>
              <w:jc w:val="left"/>
            </w:pPr>
            <w:r>
              <w:t xml:space="preserve">Şifreleme anahtarları kimde?</w:t>
            </w:r>
          </w:p>
        </w:tc>
        <w:tc>
          <w:tcPr>
            <w:tcW w:type="dxa" w:w="2250"/>
          </w:tcPr>
          <w:p/>
        </w:tc>
        <w:tc>
          <w:tcPr>
            <w:tcW w:type="dxa" w:w="2850"/>
          </w:tcPr>
          <w:p/>
        </w:tc>
      </w:tr>
    </w:tbl>
    <w:p>
      <w:pPr>
        <w:pStyle w:val="Heading1"/>
      </w:pPr>
      <w:bookmarkStart w:id="23" w:name="soru-3-bağımsız-işletebilme-çıkış"/>
      <w:r>
        <w:t xml:space="preserve">4. Soru 3 — Bağımsız işletebilme / çıkış</w:t>
      </w:r>
      <w:bookmarkEnd w:id="23"/>
    </w:p>
    <w:p>
      <w:pPr>
        <w:pStyle w:val="FirstParagraph"/>
      </w:pPr>
      <w:r>
        <w:rPr>
          <w:b/>
        </w:rPr>
        <w:t xml:space="preserve">Sağlayıcı yarın hizmeti kesse ya da koşulları değiştirse devam edebilir misiniz?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6400"/>
        <w:gridCol w:w="3200"/>
      </w:tblGrid>
      <w:tr>
        <w:trPr>
          <w:cnfStyle w:firstRow="1"/>
        </w:trPr>
        <w:tc>
          <w:tcPr>
            <w:tcW w:type="dxa" w:w="6400"/>
            <w:tcBorders>
              <w:bottom w:val="single"/>
            </w:tcBorders>
            <w:vAlign w:val="bottom"/>
          </w:tcPr>
          <w:p/>
        </w:tc>
        <w:tc>
          <w:tcPr>
            <w:tcW w:type="dxa" w:w="32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Cevap</w:t>
            </w:r>
          </w:p>
        </w:tc>
      </w:tr>
      <w:tr>
        <w:tc>
          <w:tcPr>
            <w:tcW w:type="dxa" w:w="6400"/>
          </w:tcPr>
          <w:p>
            <w:pPr>
              <w:pStyle w:val="Compact"/>
              <w:jc w:val="left"/>
            </w:pPr>
            <w:r>
              <w:t xml:space="preserve">Verinin (belgeler, indeksler, kayıtlar, ince ayar ağırlıkları) dışa aktarımı mümkün mü, hangi formatta?</w:t>
            </w:r>
          </w:p>
        </w:tc>
        <w:tc>
          <w:tcPr>
            <w:tcW w:type="dxa" w:w="3200"/>
          </w:tcPr>
          <w:p/>
        </w:tc>
      </w:tr>
      <w:tr>
        <w:tc>
          <w:tcPr>
            <w:tcW w:type="dxa" w:w="6400"/>
          </w:tcPr>
          <w:p>
            <w:pPr>
              <w:pStyle w:val="Compact"/>
              <w:jc w:val="left"/>
            </w:pPr>
            <w:r>
              <w:t xml:space="preserve">Alternatif sağlayıcı ya da kurum içi model seçeneği ve geçiş süresi tahmini</w:t>
            </w:r>
          </w:p>
        </w:tc>
        <w:tc>
          <w:tcPr>
            <w:tcW w:type="dxa" w:w="3200"/>
          </w:tcPr>
          <w:p/>
        </w:tc>
      </w:tr>
      <w:tr>
        <w:tc>
          <w:tcPr>
            <w:tcW w:type="dxa" w:w="6400"/>
          </w:tcPr>
          <w:p>
            <w:pPr>
              <w:pStyle w:val="Compact"/>
              <w:jc w:val="left"/>
            </w:pPr>
            <w:r>
              <w:t xml:space="preserve">Sözleşmede fesih sonrası veri iadesi/silme süresi</w:t>
            </w:r>
          </w:p>
        </w:tc>
        <w:tc>
          <w:tcPr>
            <w:tcW w:type="dxa" w:w="3200"/>
          </w:tcPr>
          <w:p/>
        </w:tc>
      </w:tr>
      <w:tr>
        <w:tc>
          <w:tcPr>
            <w:tcW w:type="dxa" w:w="640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Çıkış planı</w:t>
            </w:r>
            <w:r>
              <w:t xml:space="preserve"> </w:t>
            </w:r>
            <w:r>
              <w:t xml:space="preserve">(kritik sağlayıcı için zorunlu): tetikleyici, adımlar, sorumlu, hedef süre</w:t>
            </w:r>
          </w:p>
        </w:tc>
        <w:tc>
          <w:tcPr>
            <w:tcW w:type="dxa" w:w="3200"/>
          </w:tcPr>
          <w:p/>
        </w:tc>
      </w:tr>
    </w:tbl>
    <w:p>
      <w:pPr>
        <w:pStyle w:val="Heading1"/>
      </w:pPr>
      <w:bookmarkStart w:id="24" w:name="sonuç-ve-tatbikat"/>
      <w:r>
        <w:t xml:space="preserve">5. Sonuç ve tatbikat</w:t>
      </w:r>
      <w:bookmarkEnd w:id="24"/>
    </w:p>
    <w:tbl>
      <w:tblPr>
        <w:tblStyle w:val="Table"/>
        <w:tblLook w:firstRow="0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/>
      <w:tr>
        <w:tc>
          <w:p>
            <w:pPr>
              <w:pStyle w:val="Compact"/>
              <w:jc w:val="left"/>
            </w:pPr>
            <w:r>
              <w:t xml:space="preserve">Egemenlik değerlendirmesi</w:t>
            </w:r>
          </w:p>
        </w:tc>
        <w:tc>
          <w:p>
            <w:pPr>
              <w:pStyle w:val="Compact"/>
              <w:jc w:val="left"/>
            </w:pPr>
            <w:r>
              <w:t xml:space="preserve">☐ Kabul ☐ Koşullu ☐ Kabul edilemez — gerekçe: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Çıkış planı tatbiki (masa başı / teknik)</w:t>
            </w:r>
          </w:p>
        </w:tc>
        <w:tc>
          <w:p>
            <w:pPr>
              <w:pStyle w:val="Compact"/>
              <w:jc w:val="left"/>
            </w:pPr>
            <w:r>
              <w:t xml:space="preserve">Tarih: ___ · Sonuç: 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Sonraki gözden geçirme</w:t>
            </w:r>
          </w:p>
        </w:tc>
        <w:tc>
          <w:p>
            <w:pPr>
              <w:pStyle w:val="Compact"/>
              <w:jc w:val="left"/>
            </w:pPr>
            <w:r>
              <w:t xml:space="preserve">En geç 12 ay: {{tarih}}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{{Kurum}} — Egemenlik Testi Kaydı</dc:title>
  <dc:creator/>
  <cp:keywords/>
  <dcterms:created xsi:type="dcterms:W3CDTF">2026-10-14T13:00:57Z</dcterms:created>
  <dcterms:modified xsi:type="dcterms:W3CDTF">2026-10-14T13:00:57Z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amework">
    <vt:lpwstr>Lecta Sovereign AI Control Framework v1.0-draft</vt:lpwstr>
  </property>
  <property fmtid="{D5CDD505-2E9C-101B-9397-08002B2CF9AE}" pid="3" name="g_items">
    <vt:lpwstr/>
  </property>
  <property fmtid="{D5CDD505-2E9C-101B-9397-08002B2CF9AE}" pid="4" name="id">
    <vt:lpwstr>TPL-07</vt:lpwstr>
  </property>
  <property fmtid="{D5CDD505-2E9C-101B-9397-08002B2CF9AE}" pid="5" name="version">
    <vt:lpwstr>1.0-draft</vt:lpwstr>
  </property>
</Properties>
</file>