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{{Kurum}}</w:t>
      </w:r>
      <w:r>
        <w:t xml:space="preserve"> </w:t>
      </w:r>
      <w:r>
        <w:t xml:space="preserve">—</w:t>
      </w:r>
      <w:r>
        <w:t xml:space="preserve"> </w:t>
      </w:r>
      <w:r>
        <w:t xml:space="preserve">AI</w:t>
      </w:r>
      <w:r>
        <w:t xml:space="preserve"> </w:t>
      </w:r>
      <w:r>
        <w:t xml:space="preserve">Sağlayıcı</w:t>
      </w:r>
      <w:r>
        <w:t xml:space="preserve"> </w:t>
      </w:r>
      <w:r>
        <w:t xml:space="preserve">Sözleşme</w:t>
      </w:r>
      <w:r>
        <w:t xml:space="preserve"> </w:t>
      </w:r>
      <w:r>
        <w:t xml:space="preserve">Maddeleri</w:t>
      </w:r>
      <w:r>
        <w:t xml:space="preserve"> </w:t>
      </w:r>
      <w:r>
        <w:t xml:space="preserve">Kontrol</w:t>
      </w:r>
      <w:r>
        <w:t xml:space="preserve"> </w:t>
      </w:r>
      <w:r>
        <w:t xml:space="preserve">Listesi</w:t>
      </w:r>
    </w:p>
    <w:p>
      <w:pPr>
        <w:pStyle w:val="Heading1"/>
      </w:pPr>
      <w:bookmarkStart w:id="20" w:name="sözleşme-bilgisi"/>
      <w:r>
        <w:t xml:space="preserve">1. Sözleşme bilgisi</w:t>
      </w:r>
      <w:bookmarkEnd w:id="20"/>
    </w:p>
    <w:tbl>
      <w:tblPr>
        <w:tblStyle w:val="Table"/>
        <w:tblLook w:firstRow="0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/>
      <w:tr>
        <w:tc>
          <w:p>
            <w:pPr>
              <w:pStyle w:val="Compact"/>
              <w:jc w:val="left"/>
            </w:pPr>
            <w:r>
              <w:t xml:space="preserve">Sağlayıcı / ürün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Sözleşme türü</w:t>
            </w:r>
          </w:p>
        </w:tc>
        <w:tc>
          <w:p>
            <w:pPr>
              <w:pStyle w:val="Compact"/>
              <w:jc w:val="left"/>
            </w:pPr>
            <w:r>
              <w:t xml:space="preserve">☐ Müzakere edilmiş ☐ Kurumsal tıkla-kabul koşulları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Belge(ler) ve sürüm/tarih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İlgili TPL-06 no</w:t>
            </w:r>
          </w:p>
        </w:tc>
        <w:tc>
          <w:p/>
        </w:tc>
      </w:tr>
    </w:tbl>
    <w:p>
      <w:pPr>
        <w:pStyle w:val="Heading1"/>
      </w:pPr>
      <w:bookmarkStart w:id="21" w:name="beş-madde"/>
      <w:r>
        <w:t xml:space="preserve">2. Beş madde</w:t>
      </w:r>
      <w:bookmarkEnd w:id="21"/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856"/>
        <w:gridCol w:w="3668"/>
        <w:gridCol w:w="1406"/>
        <w:gridCol w:w="1834"/>
        <w:gridCol w:w="1834"/>
      </w:tblGrid>
      <w:tr>
        <w:trPr>
          <w:cnfStyle w:firstRow="1"/>
        </w:trPr>
        <w:tc>
          <w:tcPr>
            <w:tcW w:type="dxa" w:w="85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>
            <w:tcW w:type="dxa" w:w="366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Madde</w:t>
            </w:r>
          </w:p>
        </w:tc>
        <w:tc>
          <w:tcPr>
            <w:tcW w:type="dxa" w:w="1406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Var mı?</w:t>
            </w:r>
          </w:p>
        </w:tc>
        <w:tc>
          <w:tcPr>
            <w:tcW w:type="dxa" w:w="183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Yer (madde no)</w:t>
            </w:r>
          </w:p>
        </w:tc>
        <w:tc>
          <w:tcPr>
            <w:tcW w:type="dxa" w:w="1834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Not</w:t>
            </w:r>
          </w:p>
        </w:tc>
      </w:tr>
      <w:tr>
        <w:tc>
          <w:tcPr>
            <w:tcW w:type="dxa" w:w="856"/>
          </w:tcPr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>
            <w:tcW w:type="dxa" w:w="366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Veri işleme şartları</w:t>
            </w:r>
            <w:r>
              <w:t xml:space="preserve"> </w:t>
            </w:r>
            <w:r>
              <w:t xml:space="preserve">— sağlayıcının veri işleyen sıfatı, işleme amacı ve talimatla sınırlılık, güvenlik önlemleri</w:t>
            </w:r>
          </w:p>
        </w:tc>
        <w:tc>
          <w:tcPr>
            <w:tcW w:type="dxa" w:w="1406"/>
          </w:tcPr>
          <w:p>
            <w:pPr>
              <w:pStyle w:val="Compact"/>
              <w:jc w:val="left"/>
            </w:pPr>
            <w:r>
              <w:t xml:space="preserve">☐ Evet ☐ Hayır ☐ Kısmen</w:t>
            </w:r>
          </w:p>
        </w:tc>
        <w:tc>
          <w:tcPr>
            <w:tcW w:type="dxa" w:w="1834"/>
          </w:tcPr>
          <w:p/>
        </w:tc>
        <w:tc>
          <w:tcPr>
            <w:tcW w:type="dxa" w:w="1834"/>
          </w:tcPr>
          <w:p/>
        </w:tc>
      </w:tr>
      <w:tr>
        <w:tc>
          <w:tcPr>
            <w:tcW w:type="dxa" w:w="856"/>
          </w:tcPr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>
            <w:tcW w:type="dxa" w:w="366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Eğitimde kullanmama</w:t>
            </w:r>
            <w:r>
              <w:t xml:space="preserve"> </w:t>
            </w:r>
            <w:r>
              <w:t xml:space="preserve">— müşteri verisinin model eğitimi/iyileştirmede kullanılmaması ya da kullanımdan çıkış hakkı</w:t>
            </w:r>
          </w:p>
        </w:tc>
        <w:tc>
          <w:tcPr>
            <w:tcW w:type="dxa" w:w="1406"/>
          </w:tcPr>
          <w:p>
            <w:pPr>
              <w:pStyle w:val="Compact"/>
              <w:jc w:val="left"/>
            </w:pPr>
            <w:r>
              <w:t xml:space="preserve">☐ Evet ☐ Hayır ☐ Kısmen</w:t>
            </w:r>
          </w:p>
        </w:tc>
        <w:tc>
          <w:tcPr>
            <w:tcW w:type="dxa" w:w="1834"/>
          </w:tcPr>
          <w:p/>
        </w:tc>
        <w:tc>
          <w:tcPr>
            <w:tcW w:type="dxa" w:w="1834"/>
          </w:tcPr>
          <w:p/>
        </w:tc>
      </w:tr>
      <w:tr>
        <w:tc>
          <w:tcPr>
            <w:tcW w:type="dxa" w:w="856"/>
          </w:tcPr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>
            <w:tcW w:type="dxa" w:w="366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Silme</w:t>
            </w:r>
            <w:r>
              <w:t xml:space="preserve"> </w:t>
            </w:r>
            <w:r>
              <w:t xml:space="preserve">— sözleşme sona erdiğinde ve talep üzerine verinin silinmesi, süresi</w:t>
            </w:r>
          </w:p>
        </w:tc>
        <w:tc>
          <w:tcPr>
            <w:tcW w:type="dxa" w:w="1406"/>
          </w:tcPr>
          <w:p>
            <w:pPr>
              <w:pStyle w:val="Compact"/>
              <w:jc w:val="left"/>
            </w:pPr>
            <w:r>
              <w:t xml:space="preserve">☐ Evet ☐ Hayır ☐ Kısmen</w:t>
            </w:r>
          </w:p>
        </w:tc>
        <w:tc>
          <w:tcPr>
            <w:tcW w:type="dxa" w:w="1834"/>
          </w:tcPr>
          <w:p/>
        </w:tc>
        <w:tc>
          <w:tcPr>
            <w:tcW w:type="dxa" w:w="1834"/>
          </w:tcPr>
          <w:p/>
        </w:tc>
      </w:tr>
      <w:tr>
        <w:tc>
          <w:tcPr>
            <w:tcW w:type="dxa" w:w="856"/>
          </w:tcPr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>
            <w:tcW w:type="dxa" w:w="366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İhlal bildirimi</w:t>
            </w:r>
            <w:r>
              <w:t xml:space="preserve"> </w:t>
            </w:r>
            <w:r>
              <w:t xml:space="preserve">— sağlayıcının ihlali</w:t>
            </w:r>
            <w:r>
              <w:t xml:space="preserve"> </w:t>
            </w:r>
            <w:r>
              <w:rPr>
                <w:b/>
              </w:rPr>
              <w:t xml:space="preserve">belirtilmiş bir süre</w:t>
            </w:r>
            <w:r>
              <w:t xml:space="preserve"> </w:t>
            </w:r>
            <w:r>
              <w:t xml:space="preserve">içinde bildirmesi (süre: ___ saat)</w:t>
            </w:r>
          </w:p>
        </w:tc>
        <w:tc>
          <w:tcPr>
            <w:tcW w:type="dxa" w:w="1406"/>
          </w:tcPr>
          <w:p>
            <w:pPr>
              <w:pStyle w:val="Compact"/>
              <w:jc w:val="left"/>
            </w:pPr>
            <w:r>
              <w:t xml:space="preserve">☐ Evet ☐ Hayır ☐ Kısmen</w:t>
            </w:r>
          </w:p>
        </w:tc>
        <w:tc>
          <w:tcPr>
            <w:tcW w:type="dxa" w:w="1834"/>
          </w:tcPr>
          <w:p/>
        </w:tc>
        <w:tc>
          <w:tcPr>
            <w:tcW w:type="dxa" w:w="1834"/>
          </w:tcPr>
          <w:p/>
        </w:tc>
      </w:tr>
      <w:tr>
        <w:tc>
          <w:tcPr>
            <w:tcW w:type="dxa" w:w="856"/>
          </w:tcPr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>
            <w:tcW w:type="dxa" w:w="3668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Denetim / güvence hakkı</w:t>
            </w:r>
            <w:r>
              <w:t xml:space="preserve"> </w:t>
            </w:r>
            <w:r>
              <w:t xml:space="preserve">— bağımsız denetim raporlarına erişim ya da denetim hakkı</w:t>
            </w:r>
          </w:p>
        </w:tc>
        <w:tc>
          <w:tcPr>
            <w:tcW w:type="dxa" w:w="1406"/>
          </w:tcPr>
          <w:p>
            <w:pPr>
              <w:pStyle w:val="Compact"/>
              <w:jc w:val="left"/>
            </w:pPr>
            <w:r>
              <w:t xml:space="preserve">☐ Evet ☐ Hayır ☐ Kısmen</w:t>
            </w:r>
          </w:p>
        </w:tc>
        <w:tc>
          <w:tcPr>
            <w:tcW w:type="dxa" w:w="1834"/>
          </w:tcPr>
          <w:p/>
        </w:tc>
        <w:tc>
          <w:tcPr>
            <w:tcW w:type="dxa" w:w="1834"/>
          </w:tcPr>
          <w:p/>
        </w:tc>
      </w:tr>
    </w:tbl>
    <w:p>
      <w:pPr>
        <w:pStyle w:val="BodyText"/>
      </w:pPr>
      <w:r>
        <w:t xml:space="preserve">Ek kontrol (zorunlu değil, önerilir): alt işleyen değişikliği bildirimi · veri yerleşimi taahhüdü · koşul değişikliğinin önceden bildirimi · fesih sonrası veri iadesi formatı.</w:t>
      </w:r>
    </w:p>
    <w:p>
      <w:pPr>
        <w:pStyle w:val="Heading1"/>
      </w:pPr>
      <w:bookmarkStart w:id="22" w:name="eksik-maddeler-için-risk-kabulü"/>
      <w:r>
        <w:t xml:space="preserve">3. Eksik maddeler için risk kabulü</w:t>
      </w:r>
      <w:bookmarkEnd w:id="22"/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>
        <w:gridCol w:w="2360"/>
        <w:gridCol w:w="2360"/>
        <w:gridCol w:w="2518"/>
        <w:gridCol w:w="2360"/>
      </w:tblGrid>
      <w:tr>
        <w:trPr>
          <w:cnfStyle w:firstRow="1"/>
        </w:trPr>
        <w:tc>
          <w:tcPr>
            <w:tcW w:type="dxa" w:w="23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Eksik madde</w:t>
            </w:r>
          </w:p>
        </w:tc>
        <w:tc>
          <w:tcPr>
            <w:tcW w:type="dxa" w:w="23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ve telafi edici önlem</w:t>
            </w:r>
          </w:p>
        </w:tc>
        <w:tc>
          <w:tcPr>
            <w:tcW w:type="dxa" w:w="2518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Risk değerlendirmesi (TPL-09) no</w:t>
            </w:r>
          </w:p>
        </w:tc>
        <w:tc>
          <w:tcPr>
            <w:tcW w:type="dxa" w:w="236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Sistem sahibi imza / tarih</w:t>
            </w:r>
          </w:p>
        </w:tc>
      </w:tr>
      <w:tr>
        <w:tc>
          <w:tcPr>
            <w:tcW w:type="dxa" w:w="2360"/>
          </w:tcPr>
          <w:p/>
        </w:tc>
        <w:tc>
          <w:tcPr>
            <w:tcW w:type="dxa" w:w="2360"/>
          </w:tcPr>
          <w:p/>
        </w:tc>
        <w:tc>
          <w:tcPr>
            <w:tcW w:type="dxa" w:w="2518"/>
          </w:tcPr>
          <w:p/>
        </w:tc>
        <w:tc>
          <w:tcPr>
            <w:tcW w:type="dxa" w:w="2360"/>
          </w:tcPr>
          <w:p/>
        </w:tc>
      </w:tr>
    </w:tbl>
    <w:p>
      <w:pPr>
        <w:pStyle w:val="Heading1"/>
      </w:pPr>
      <w:bookmarkStart w:id="23" w:name="izleme"/>
      <w:r>
        <w:t xml:space="preserve">4. İzleme</w:t>
      </w:r>
      <w:bookmarkEnd w:id="23"/>
    </w:p>
    <w:p>
      <w:pPr>
        <w:pStyle w:val="FirstParagraph"/>
      </w:pPr>
      <w:r>
        <w:t xml:space="preserve">Sağlayıcı koşulları en geç 12 ayda bir yeniden kontrol edilir; tıkla-kabul koşullarında değişiklik bildirimi takip edilir.</w:t>
      </w:r>
    </w:p>
    <w:tbl>
      <w:tblPr>
        <w:tblStyle w:val="Table"/>
        <w:tblLook w:firstRow="1"/>
        <w:tblW w:w="9600" w:type="dxa"/>
        <w:tblLayout w:type="fixed"/>
        <w:tblBorders>
          <w:top w:val="single" w:sz="4" w:color="8A9BB0"/>
          <w:left w:val="single" w:sz="4" w:color="8A9BB0"/>
          <w:bottom w:val="single" w:sz="4" w:color="8A9BB0"/>
          <w:right w:val="single" w:sz="4" w:color="8A9BB0"/>
          <w:insideH w:val="single" w:sz="4" w:color="8A9BB0"/>
          <w:insideV w:val="single" w:sz="4" w:color="8A9BB0"/>
        </w:tblBorders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Tarih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Değişiklik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Etkilenen madde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Aksiyon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</w:tbl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rPr>
      <w:rFonts w:ascii="Calibri" w:hAnsi="Calibri"/>
      <w:sz w:val="21"/>
    </w:rPr>
  </w:style>
  <w:style w:type="paragraph" w:styleId="BodyText">
    <w:name w:val="Body Text"/>
    <w:basedOn w:val="Normal"/>
    <w:link w:val="BodyTextChar"/>
    <w:pPr>
      <w:spacing w:before="180" w:after="180"/>
    </w:pPr>
    <w:qFormat/>
    <w:rPr>
      <w:rFonts w:ascii="Calibri" w:hAnsi="Calibri"/>
      <w:sz w:val="21"/>
    </w:rPr>
  </w:style>
  <w:style w:type="paragraph" w:customStyle="1" w:styleId="FirstParagraph">
    <w:name w:val="First Paragraph"/>
    <w:basedOn w:val="BodyText"/>
    <w:next w:val="BodyText"/>
    <w:qFormat/>
    <w:rPr>
      <w:rFonts w:ascii="Calibri" w:hAnsi="Calibri"/>
      <w:sz w:val="21"/>
    </w:rPr>
  </w:style>
  <w:style w:type="paragraph" w:customStyle="1" w:styleId="Compact">
    <w:name w:val="Compact"/>
    <w:basedOn w:val="BodyText"/>
    <w:qFormat/>
    <w:pPr>
      <w:spacing w:before="36" w:after="36"/>
    </w:pPr>
    <w:rPr>
      <w:rFonts w:ascii="Calibri" w:hAnsi="Calibri"/>
      <w:sz w:val="21"/>
    </w:r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 w:ascii="Calibri" w:hAnsi="Calibri"/>
      <w:b/>
      <w:bCs/>
      <w:color w:val="1F3A5F"/>
      <w:sz w:val="40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A5F"/>
      <w:sz w:val="28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A5F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i/>
      <w:bCs/>
      <w:color w:val="1F3A5F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iCs/>
      <w:color w:val="1F3A5F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color w:val="1F3A5F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  <w:rPr>
      <w:rFonts w:ascii="Calibri" w:hAnsi="Calibri"/>
      <w:sz w:val="21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rPr>
      <w:rFonts w:ascii="Calibri" w:hAnsi="Calibri"/>
      <w:sz w:val="21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{{Kurum}} — AI Sağlayıcı Sözleşme Maddeleri Kontrol Listesi</dc:title>
  <dc:creator/>
  <cp:keywords/>
  <dcterms:created xsi:type="dcterms:W3CDTF">2026-10-14T13:00:57Z</dcterms:created>
  <dcterms:modified xsi:type="dcterms:W3CDTF">2026-10-14T13:00:57Z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ramework">
    <vt:lpwstr>Lecta Sovereign AI Control Framework v1.0-draft</vt:lpwstr>
  </property>
  <property fmtid="{D5CDD505-2E9C-101B-9397-08002B2CF9AE}" pid="3" name="g_items">
    <vt:lpwstr/>
  </property>
  <property fmtid="{D5CDD505-2E9C-101B-9397-08002B2CF9AE}" pid="4" name="id">
    <vt:lpwstr>TPL-08</vt:lpwstr>
  </property>
  <property fmtid="{D5CDD505-2E9C-101B-9397-08002B2CF9AE}" pid="5" name="version">
    <vt:lpwstr>1.0-draft</vt:lpwstr>
  </property>
</Properties>
</file>