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{{Kurum}}</w:t>
      </w:r>
      <w:r>
        <w:t xml:space="preserve"> </w:t>
      </w:r>
      <w:r>
        <w:t xml:space="preserve">—</w:t>
      </w:r>
      <w:r>
        <w:t xml:space="preserve"> </w:t>
      </w:r>
      <w:r>
        <w:t xml:space="preserve">AI</w:t>
      </w:r>
      <w:r>
        <w:t xml:space="preserve"> </w:t>
      </w:r>
      <w:r>
        <w:t xml:space="preserve">Kişisel</w:t>
      </w:r>
      <w:r>
        <w:t xml:space="preserve"> </w:t>
      </w:r>
      <w:r>
        <w:t xml:space="preserve">Veri</w:t>
      </w:r>
      <w:r>
        <w:t xml:space="preserve"> </w:t>
      </w:r>
      <w:r>
        <w:t xml:space="preserve">Etki</w:t>
      </w:r>
      <w:r>
        <w:t xml:space="preserve"> </w:t>
      </w:r>
      <w:r>
        <w:t xml:space="preserve">Değerlendirmesi</w:t>
      </w:r>
    </w:p>
    <w:p>
      <w:pPr>
        <w:pStyle w:val="Heading1"/>
      </w:pPr>
      <w:bookmarkStart w:id="20" w:name="sistem-ve-işleme"/>
      <w:r>
        <w:t xml:space="preserve">1. Sistem ve işleme</w:t>
      </w:r>
      <w:bookmarkEnd w:id="20"/>
    </w:p>
    <w:tbl>
      <w:tblPr>
        <w:tblStyle w:val="Table"/>
        <w:tblLook w:firstRow="0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/>
      <w:tr>
        <w:tc>
          <w:p>
            <w:pPr>
              <w:pStyle w:val="Compact"/>
              <w:jc w:val="left"/>
            </w:pPr>
            <w:r>
              <w:t xml:space="preserve">Sistem / envanter no / sahip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İşleme amacı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İlgili kişi grupları ve yaklaşık sayı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Kişisel veri kategorileri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Özel nitelikli veri</w:t>
            </w:r>
          </w:p>
        </w:tc>
        <w:tc>
          <w:p>
            <w:pPr>
              <w:pStyle w:val="Compact"/>
              <w:jc w:val="left"/>
            </w:pPr>
            <w:r>
              <w:t xml:space="preserve">☐ Yok ☐ Var: 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Profil</w:t>
            </w:r>
          </w:p>
        </w:tc>
        <w:tc>
          <w:p>
            <w:pPr>
              <w:pStyle w:val="Compact"/>
              <w:jc w:val="left"/>
            </w:pPr>
            <w:r>
              <w:t xml:space="preserve">☐ Dış servis ☐ Kurum içi ☐ Hibrit</w:t>
            </w:r>
          </w:p>
        </w:tc>
      </w:tr>
    </w:tbl>
    <w:p>
      <w:pPr>
        <w:pStyle w:val="Heading1"/>
      </w:pPr>
      <w:bookmarkStart w:id="21" w:name="veri-haritası-pipeline-aşamaları"/>
      <w:r>
        <w:t xml:space="preserve">2. Veri haritası — pipeline aşamaları</w:t>
      </w:r>
      <w:bookmarkEnd w:id="21"/>
    </w:p>
    <w:tbl>
      <w:tblPr>
        <w:tblStyle w:val="Table"/>
        <w:tblLook w:firstRow="1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2598"/>
        <w:gridCol w:w="1321"/>
        <w:gridCol w:w="1321"/>
        <w:gridCol w:w="1321"/>
        <w:gridCol w:w="1321"/>
        <w:gridCol w:w="1717"/>
      </w:tblGrid>
      <w:tr>
        <w:trPr>
          <w:cnfStyle w:firstRow="1"/>
        </w:trPr>
        <w:tc>
          <w:tcPr>
            <w:tcW w:type="dxa" w:w="2598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Aşama</w:t>
            </w:r>
          </w:p>
        </w:tc>
        <w:tc>
          <w:tcPr>
            <w:tcW w:type="dxa" w:w="1321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Hangi kişisel veri</w:t>
            </w:r>
          </w:p>
        </w:tc>
        <w:tc>
          <w:tcPr>
            <w:tcW w:type="dxa" w:w="1321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Nerede / hangi bileşen</w:t>
            </w:r>
          </w:p>
        </w:tc>
        <w:tc>
          <w:tcPr>
            <w:tcW w:type="dxa" w:w="1321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 kadar saklanıyor</w:t>
            </w:r>
          </w:p>
        </w:tc>
        <w:tc>
          <w:tcPr>
            <w:tcW w:type="dxa" w:w="1321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Kim erişiyor</w:t>
            </w:r>
          </w:p>
        </w:tc>
        <w:tc>
          <w:tcPr>
            <w:tcW w:type="dxa" w:w="171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Uygulanan teknik önlem</w:t>
            </w:r>
          </w:p>
        </w:tc>
      </w:tr>
      <w:tr>
        <w:tc>
          <w:tcPr>
            <w:tcW w:type="dxa" w:w="259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Giriş</w:t>
            </w:r>
            <w:r>
              <w:t xml:space="preserve"> </w:t>
            </w:r>
            <w:r>
              <w:t xml:space="preserve">(belge yükleme, bağlayıcı, veri aktarımı)</w:t>
            </w:r>
          </w:p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t xml:space="preserve">{{ör. otomatik maskeleme — HYG-ING-02}}</w:t>
            </w:r>
          </w:p>
        </w:tc>
      </w:tr>
      <w:tr>
        <w:tc>
          <w:tcPr>
            <w:tcW w:type="dxa" w:w="259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Depolama</w:t>
            </w:r>
            <w:r>
              <w:t xml:space="preserve"> </w:t>
            </w:r>
            <w:r>
              <w:t xml:space="preserve">(korpus, vektör indeksi, yedek)</w:t>
            </w:r>
          </w:p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717"/>
          </w:tcPr>
          <w:p/>
        </w:tc>
      </w:tr>
      <w:tr>
        <w:tc>
          <w:tcPr>
            <w:tcW w:type="dxa" w:w="259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Prompt</w:t>
            </w:r>
            <w:r>
              <w:t xml:space="preserve"> </w:t>
            </w:r>
            <w:r>
              <w:t xml:space="preserve">(kullanıcı girdisi, ekler)</w:t>
            </w:r>
          </w:p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t xml:space="preserve">{{HYG-PRM-01}}</w:t>
            </w:r>
          </w:p>
        </w:tc>
      </w:tr>
      <w:tr>
        <w:tc>
          <w:tcPr>
            <w:tcW w:type="dxa" w:w="259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Çıkarım</w:t>
            </w:r>
            <w:r>
              <w:t xml:space="preserve"> </w:t>
            </w:r>
            <w:r>
              <w:t xml:space="preserve">(model; dış sağlayıcı / kurum içi)</w:t>
            </w:r>
          </w:p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717"/>
          </w:tcPr>
          <w:p/>
        </w:tc>
      </w:tr>
      <w:tr>
        <w:tc>
          <w:tcPr>
            <w:tcW w:type="dxa" w:w="259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Yanıt</w:t>
            </w:r>
            <w:r>
              <w:t xml:space="preserve"> </w:t>
            </w:r>
            <w:r>
              <w:t xml:space="preserve">(çıktı, çıktıdaki kişisel veri)</w:t>
            </w:r>
          </w:p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717"/>
          </w:tcPr>
          <w:p/>
        </w:tc>
      </w:tr>
      <w:tr>
        <w:tc>
          <w:tcPr>
            <w:tcW w:type="dxa" w:w="259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Sonraki kullanım</w:t>
            </w:r>
            <w:r>
              <w:t xml:space="preserve"> </w:t>
            </w:r>
            <w:r>
              <w:t xml:space="preserve">(çıktının aktarıldığı sistemler, kayıtlar)</w:t>
            </w:r>
          </w:p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717"/>
          </w:tcPr>
          <w:p/>
        </w:tc>
      </w:tr>
      <w:tr>
        <w:tc>
          <w:tcPr>
            <w:tcW w:type="dxa" w:w="259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Kayıtlar</w:t>
            </w:r>
            <w:r>
              <w:t xml:space="preserve"> </w:t>
            </w:r>
            <w:r>
              <w:t xml:space="preserve">(prompt/yanıt kayıtları, denetim izi)</w:t>
            </w:r>
          </w:p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321"/>
          </w:tcPr>
          <w:p/>
        </w:tc>
        <w:tc>
          <w:tcPr>
            <w:tcW w:type="dxa" w:w="1717"/>
          </w:tcPr>
          <w:p/>
        </w:tc>
      </w:tr>
    </w:tbl>
    <w:p>
      <w:pPr>
        <w:pStyle w:val="Heading1"/>
      </w:pPr>
      <w:bookmarkStart w:id="22" w:name="yurt-dışı-aktarım-noktaları"/>
      <w:r>
        <w:t xml:space="preserve">3. Yurt dışı aktarım noktaları</w:t>
      </w:r>
      <w:bookmarkEnd w:id="22"/>
    </w:p>
    <w:tbl>
      <w:tblPr>
        <w:tblStyle w:val="Table"/>
        <w:tblLook w:firstRow="1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Aşama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Alıcı (sağlayıcı / alt işleyen)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Ülke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Aktarılan veri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TPL-06 no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1"/>
      </w:pPr>
      <w:bookmarkStart w:id="23" w:name="Xc444d750b2ac03b943845c84a02fe3092dbd777"/>
      <w:r>
        <w:t xml:space="preserve">4. Hukuki değerlendirme (hukuk danışmanı doldurur)</w:t>
      </w:r>
      <w:bookmarkEnd w:id="23"/>
    </w:p>
    <w:tbl>
      <w:tblPr>
        <w:tblStyle w:val="Table"/>
        <w:tblLook w:firstRow="0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/>
      <w:tr>
        <w:tc>
          <w:p>
            <w:pPr>
              <w:pStyle w:val="Compact"/>
              <w:jc w:val="left"/>
            </w:pPr>
            <w:r>
              <w:t xml:space="preserve">Hukuka uygunluk sebebi (KVKK md. 5/6)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Aydınlatma yükümlülüğü karşılandı mı (KVKK md. 10)?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Aktarım mekanizması (KVKK md. 9)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Otomatik işleme ile aleyhe sonuç riski (KVKK md. 11(1)(g))</w:t>
            </w:r>
          </w:p>
        </w:tc>
        <w:tc>
          <w:p/>
        </w:tc>
      </w:tr>
    </w:tbl>
    <w:p>
      <w:pPr>
        <w:pStyle w:val="Heading1"/>
      </w:pPr>
      <w:bookmarkStart w:id="24" w:name="riskler-ve-önlemler"/>
      <w:r>
        <w:t xml:space="preserve">5. Riskler ve önlemler</w:t>
      </w:r>
      <w:bookmarkEnd w:id="24"/>
    </w:p>
    <w:tbl>
      <w:tblPr>
        <w:tblStyle w:val="Table"/>
        <w:tblLook w:firstRow="1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Kişiler için 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Olasılık / etki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Önlem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Sorumlu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Tarih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Durum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{{ör. kişisel verinin dış sağlayıcıda kalması}}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{{ör. yetkisiz çalışanın model üzerinden müşteri verisine erişmesi}}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{{ör. çıktıda yanlış kişiye ait veri}}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{{ör. kayıtların gereğinden uzun saklanması}}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1"/>
      </w:pPr>
      <w:bookmarkStart w:id="25" w:name="dpo-görüşü-ve-karar"/>
      <w:r>
        <w:t xml:space="preserve">6. DPO görüşü ve karar</w:t>
      </w:r>
      <w:bookmarkEnd w:id="25"/>
    </w:p>
    <w:tbl>
      <w:tblPr>
        <w:tblStyle w:val="Table"/>
        <w:tblLook w:firstRow="0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3339"/>
        <w:gridCol w:w="6260"/>
      </w:tblGrid>
      <w:tr>
        <w:tc>
          <w:tcPr>
            <w:tcW w:type="dxa" w:w="3339"/>
          </w:tcPr>
          <w:p>
            <w:pPr>
              <w:pStyle w:val="Compact"/>
              <w:jc w:val="left"/>
            </w:pPr>
            <w:r>
              <w:t xml:space="preserve">KVKK irtibat kişisi / DPO görüşü</w:t>
            </w:r>
          </w:p>
        </w:tc>
        <w:tc>
          <w:tcPr>
            <w:tcW w:type="dxa" w:w="6260"/>
          </w:tcPr>
          <w:p/>
        </w:tc>
      </w:tr>
      <w:tr>
        <w:tc>
          <w:tcPr>
            <w:tcW w:type="dxa" w:w="3339"/>
          </w:tcPr>
          <w:p>
            <w:pPr>
              <w:pStyle w:val="Compact"/>
              <w:jc w:val="left"/>
            </w:pPr>
            <w:r>
              <w:t xml:space="preserve">Görüş tarihi / ad</w:t>
            </w:r>
          </w:p>
        </w:tc>
        <w:tc>
          <w:tcPr>
            <w:tcW w:type="dxa" w:w="6260"/>
          </w:tcPr>
          <w:p/>
        </w:tc>
      </w:tr>
      <w:tr>
        <w:tc>
          <w:tcPr>
            <w:tcW w:type="dxa" w:w="3339"/>
          </w:tcPr>
          <w:p>
            <w:pPr>
              <w:pStyle w:val="Compact"/>
              <w:jc w:val="left"/>
            </w:pPr>
            <w:r>
              <w:t xml:space="preserve">Sistem sahibi kararı</w:t>
            </w:r>
          </w:p>
        </w:tc>
        <w:tc>
          <w:tcPr>
            <w:tcW w:type="dxa" w:w="6260"/>
          </w:tcPr>
          <w:p>
            <w:pPr>
              <w:pStyle w:val="Compact"/>
              <w:jc w:val="left"/>
            </w:pPr>
            <w:r>
              <w:t xml:space="preserve">☐ Devam ☐ Önlemlerle devam ☐ Durdur</w:t>
            </w:r>
          </w:p>
        </w:tc>
      </w:tr>
      <w:tr>
        <w:tc>
          <w:tcPr>
            <w:tcW w:type="dxa" w:w="3339"/>
          </w:tcPr>
          <w:p>
            <w:pPr>
              <w:pStyle w:val="Compact"/>
              <w:jc w:val="left"/>
            </w:pPr>
            <w:r>
              <w:t xml:space="preserve">Güncelleme</w:t>
            </w:r>
          </w:p>
        </w:tc>
        <w:tc>
          <w:tcPr>
            <w:tcW w:type="dxa" w:w="6260"/>
          </w:tcPr>
          <w:p>
            <w:pPr>
              <w:pStyle w:val="Compact"/>
              <w:jc w:val="left"/>
            </w:pPr>
            <w:r>
              <w:t xml:space="preserve">En geç 12 ayda bir; veri kategorisi ya da sağlayıcı değişikliğinde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A5F"/>
      <w:sz w:val="40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i/>
      <w:bCs/>
      <w:color w:val="1F3A5F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/>
      <w:iCs/>
      <w:color w:val="1F3A5F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/>
      <w:color w:val="1F3A5F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Calibri" w:hAnsi="Calibri"/>
      <w:color w:val="1F3A5F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Calibri" w:hAnsi="Calibri"/>
      <w:color w:val="1F3A5F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Calibri" w:hAnsi="Calibri"/>
      <w:color w:val="1F3A5F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Calibri" w:hAnsi="Calibri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Calibri" w:hAnsi="Calibri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{{Kurum}} — AI Kişisel Veri Etki Değerlendirmesi</dc:title>
  <dc:creator/>
  <cp:keywords/>
  <dcterms:created xsi:type="dcterms:W3CDTF">2026-10-14T13:00:57Z</dcterms:created>
  <dcterms:modified xsi:type="dcterms:W3CDTF">2026-10-14T13:00:57Z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ramework">
    <vt:lpwstr>Lecta Sovereign AI Control Framework v1.0-draft</vt:lpwstr>
  </property>
  <property fmtid="{D5CDD505-2E9C-101B-9397-08002B2CF9AE}" pid="3" name="g_items">
    <vt:lpwstr/>
  </property>
  <property fmtid="{D5CDD505-2E9C-101B-9397-08002B2CF9AE}" pid="4" name="id">
    <vt:lpwstr>TPL-11</vt:lpwstr>
  </property>
  <property fmtid="{D5CDD505-2E9C-101B-9397-08002B2CF9AE}" pid="5" name="version">
    <vt:lpwstr>1.0-draft</vt:lpwstr>
  </property>
</Properties>
</file>