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Risk</w:t>
      </w:r>
      <w:r>
        <w:t xml:space="preserve"> </w:t>
      </w:r>
      <w:r>
        <w:t xml:space="preserve">Değerlendirmesi</w:t>
      </w:r>
    </w:p>
    <w:p>
      <w:pPr>
        <w:pStyle w:val="Heading1"/>
      </w:pPr>
      <w:bookmarkStart w:id="20" w:name="yöntem"/>
      <w:r>
        <w:t xml:space="preserve">1. Yöntem</w:t>
      </w:r>
      <w:bookmarkEnd w:id="20"/>
    </w:p>
    <w:p>
      <w:pPr>
        <w:pStyle w:val="FirstParagraph"/>
      </w:pPr>
      <w:r>
        <w:rPr>
          <w:b/>
        </w:rPr>
        <w:t xml:space="preserve">Olasılık (O)</w:t>
      </w:r>
      <w:r>
        <w:t xml:space="preserve"> </w:t>
      </w:r>
      <w:r>
        <w:t xml:space="preserve">1 Çok düşük · 2 Düşük · 3 Orta · 4 Yüksek · 5 Çok yüksek</w:t>
      </w:r>
      <w:r>
        <w:t xml:space="preserve"> </w:t>
      </w:r>
      <w:r>
        <w:rPr>
          <w:b/>
        </w:rPr>
        <w:t xml:space="preserve">Etki (E)</w:t>
      </w:r>
      <w:r>
        <w:t xml:space="preserve"> </w:t>
      </w:r>
      <w:r>
        <w:t xml:space="preserve">1 Önemsiz · 2 Sınırlı · 3 Orta (tek müşteri/kişi, düzeltilebilir) · 4 Ciddi (çok kişi, yasal bildirim, itibar) · 5 Kritik (yaygın ihlal, faaliyet kesintisi, ağır yaptırım)</w:t>
      </w:r>
      <w:r>
        <w:t xml:space="preserve"> </w:t>
      </w:r>
      <w:r>
        <w:rPr>
          <w:b/>
        </w:rPr>
        <w:t xml:space="preserve">Risk = O × E</w:t>
      </w:r>
      <w:r>
        <w:t xml:space="preserve"> </w:t>
      </w:r>
      <w:r>
        <w:t xml:space="preserve">· 1–6 Düşük · 8–12 Orta · 15–25 Yüksek</w:t>
      </w:r>
      <w:r>
        <w:t xml:space="preserve"> </w:t>
      </w:r>
      <w:r>
        <w:rPr>
          <w:b/>
        </w:rPr>
        <w:t xml:space="preserve">Kabul kriteri:</w:t>
      </w:r>
      <w:r>
        <w:t xml:space="preserve"> </w:t>
      </w:r>
      <w:r>
        <w:t xml:space="preserve">Yüksek risk muamelesiz kabul edilemez; Orta risk sistem sahibinin, Yüksek riskin kalıntısı {{üst yönetimin}} onayıyla kabul edilir.</w:t>
      </w:r>
    </w:p>
    <w:p>
      <w:pPr>
        <w:pStyle w:val="Heading1"/>
      </w:pPr>
      <w:bookmarkStart w:id="21" w:name="sistem-bilgisi"/>
      <w:r>
        <w:t xml:space="preserve">2. Sistem bilgisi</w:t>
      </w:r>
      <w:bookmarkEnd w:id="21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c>
          <w:p>
            <w:pPr>
              <w:pStyle w:val="Compact"/>
              <w:jc w:val="left"/>
            </w:pPr>
            <w:r>
              <w:t xml:space="preserve">Sistem / envanter no</w:t>
            </w:r>
          </w:p>
        </w:tc>
        <w:tc>
          <w:p>
            <w:pPr>
              <w:pStyle w:val="Compact"/>
              <w:jc w:val="left"/>
            </w:pPr>
            <w:r>
              <w:t xml:space="preserve">AI-SYS-{{nnn}}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 sahibi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Amaç ve kullanıcılar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Veri kategorileri / profil (dış servis, kurum içi, hibrit)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Değerlendirme türü</w:t>
            </w:r>
          </w:p>
        </w:tc>
        <w:tc>
          <w:p>
            <w:pPr>
              <w:pStyle w:val="Compact"/>
              <w:jc w:val="left"/>
            </w:pPr>
            <w:r>
              <w:t xml:space="preserve">☐ İlk (canlıdan önce) ☐ Periyodik ☐ Tetikleyici: 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Değerlendirenler / tarih</w:t>
            </w:r>
          </w:p>
        </w:tc>
        <w:tc>
          <w:p/>
        </w:tc>
      </w:tr>
    </w:tbl>
    <w:p>
      <w:pPr>
        <w:pStyle w:val="Heading1"/>
      </w:pPr>
      <w:bookmarkStart w:id="22" w:name="risk-tablosu"/>
      <w:r>
        <w:t xml:space="preserve">3. Risk tablosu</w:t>
      </w:r>
      <w:bookmarkEnd w:id="22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529"/>
        <w:gridCol w:w="2267"/>
        <w:gridCol w:w="1133"/>
        <w:gridCol w:w="1133"/>
        <w:gridCol w:w="1133"/>
        <w:gridCol w:w="1133"/>
        <w:gridCol w:w="1133"/>
        <w:gridCol w:w="1133"/>
      </w:tblGrid>
      <w:tr>
        <w:trPr>
          <w:cnfStyle w:firstRow="1"/>
        </w:trPr>
        <w:tc>
          <w:tcPr>
            <w:tcW w:type="dxa" w:w="529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26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grubu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Senaryo (bu sistemde)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Mevcut kontrol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W w:type="dxa" w:w="113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Muamele</w:t>
            </w:r>
          </w:p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Prompt ile veri çıkışı</w:t>
            </w:r>
            <w:r>
              <w:t xml:space="preserve"> </w:t>
            </w:r>
            <w:r>
              <w:t xml:space="preserve">— kişisel/gizli verinin modele ya da sağlayıcıya gitmesi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Yanlış ya da zararlı çıktı</w:t>
            </w:r>
            <w:r>
              <w:t xml:space="preserve"> </w:t>
            </w:r>
            <w:r>
              <w:t xml:space="preserve">— hatalı bilgi, ayrımcı/uygunsuz içerik, hatalı çıktıya dayanılan işlem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 üzerinden yetkisiz erişim</w:t>
            </w:r>
            <w:r>
              <w:t xml:space="preserve"> </w:t>
            </w:r>
            <w:r>
              <w:t xml:space="preserve">— yetkisiz belgeye erişim, prompt injection, yetki aşımı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Sağlayıcı bağımlılığı</w:t>
            </w:r>
            <w:r>
              <w:t xml:space="preserve"> </w:t>
            </w:r>
            <w:r>
              <w:t xml:space="preserve">— kesinti, koşul değişikliği, eğitimde kullanım, yetki alanı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t xml:space="preserve">{{Ek: model performansında zamanla bozulma}}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t xml:space="preserve">{{Ek: kişiler hakkında otomatik karar / şeffaflık}}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  <w:tr>
        <w:tc>
          <w:tcPr>
            <w:tcW w:type="dxa" w:w="529"/>
          </w:tcPr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>
            <w:tcW w:type="dxa" w:w="2267"/>
          </w:tcPr>
          <w:p>
            <w:pPr>
              <w:pStyle w:val="Compact"/>
              <w:jc w:val="left"/>
            </w:pPr>
            <w:r>
              <w:t xml:space="preserve">{{Ek: fikri mülkiyet / telif}}</w:t>
            </w:r>
          </w:p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  <w:tc>
          <w:tcPr>
            <w:tcW w:type="dxa" w:w="1133"/>
          </w:tcPr>
          <w:p/>
        </w:tc>
      </w:tr>
    </w:tbl>
    <w:p>
      <w:pPr>
        <w:pStyle w:val="BodyText"/>
      </w:pPr>
      <w:r>
        <w:t xml:space="preserve">Muamele:</w:t>
      </w:r>
      <w:r>
        <w:t xml:space="preserve"> </w:t>
      </w:r>
      <w:r>
        <w:rPr>
          <w:b/>
        </w:rPr>
        <w:t xml:space="preserve">Azalt</w:t>
      </w:r>
      <w:r>
        <w:t xml:space="preserve"> </w:t>
      </w:r>
      <w:r>
        <w:t xml:space="preserve">(kontrol ekle) ·</w:t>
      </w:r>
      <w:r>
        <w:t xml:space="preserve"> </w:t>
      </w:r>
      <w:r>
        <w:rPr>
          <w:b/>
        </w:rPr>
        <w:t xml:space="preserve">Kaçın</w:t>
      </w:r>
      <w:r>
        <w:t xml:space="preserve"> </w:t>
      </w:r>
      <w:r>
        <w:t xml:space="preserve">(kullanımı değiştir/durdur) ·</w:t>
      </w:r>
      <w:r>
        <w:t xml:space="preserve"> </w:t>
      </w:r>
      <w:r>
        <w:rPr>
          <w:b/>
        </w:rPr>
        <w:t xml:space="preserve">Aktar</w:t>
      </w:r>
      <w:r>
        <w:t xml:space="preserve"> </w:t>
      </w:r>
      <w:r>
        <w:t xml:space="preserve">(sözleşme/sigorta) ·</w:t>
      </w:r>
      <w:r>
        <w:t xml:space="preserve"> </w:t>
      </w:r>
      <w:r>
        <w:rPr>
          <w:b/>
        </w:rPr>
        <w:t xml:space="preserve">Kabul et</w:t>
      </w:r>
      <w:r>
        <w:t xml:space="preserve"> </w:t>
      </w:r>
      <w:r>
        <w:t xml:space="preserve">(gerekçeli).</w:t>
      </w:r>
    </w:p>
    <w:p>
      <w:pPr>
        <w:pStyle w:val="Heading1"/>
      </w:pPr>
      <w:bookmarkStart w:id="23" w:name="muamele-planı"/>
      <w:r>
        <w:t xml:space="preserve">4. Muamele planı</w:t>
      </w:r>
      <w:bookmarkEnd w:id="23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591"/>
        <w:gridCol w:w="1591"/>
        <w:gridCol w:w="1644"/>
        <w:gridCol w:w="1591"/>
        <w:gridCol w:w="1591"/>
        <w:gridCol w:w="1591"/>
      </w:tblGrid>
      <w:tr>
        <w:trPr>
          <w:cnfStyle w:firstRow="1"/>
        </w:trPr>
        <w:tc>
          <w:tcPr>
            <w:tcW w:type="dxa" w:w="1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#</w:t>
            </w:r>
          </w:p>
        </w:tc>
        <w:tc>
          <w:tcPr>
            <w:tcW w:type="dxa" w:w="1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Aksiyon</w:t>
            </w:r>
          </w:p>
        </w:tc>
        <w:tc>
          <w:tcPr>
            <w:tcW w:type="dxa" w:w="164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Lecta framework maddesi (varsa)</w:t>
            </w:r>
          </w:p>
        </w:tc>
        <w:tc>
          <w:tcPr>
            <w:tcW w:type="dxa" w:w="1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Sorumlu</w:t>
            </w:r>
          </w:p>
        </w:tc>
        <w:tc>
          <w:tcPr>
            <w:tcW w:type="dxa" w:w="1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Hedef tarih</w:t>
            </w:r>
          </w:p>
        </w:tc>
        <w:tc>
          <w:tcPr>
            <w:tcW w:type="dxa" w:w="1591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Kalıntı risk</w:t>
            </w:r>
          </w:p>
        </w:tc>
      </w:tr>
      <w:tr>
        <w:tc>
          <w:tcPr>
            <w:tcW w:type="dxa" w:w="1591"/>
          </w:tcPr>
          <w:p/>
        </w:tc>
        <w:tc>
          <w:tcPr>
            <w:tcW w:type="dxa" w:w="1591"/>
          </w:tcPr>
          <w:p/>
        </w:tc>
        <w:tc>
          <w:tcPr>
            <w:tcW w:type="dxa" w:w="1644"/>
          </w:tcPr>
          <w:p>
            <w:pPr>
              <w:pStyle w:val="Compact"/>
              <w:jc w:val="left"/>
            </w:pPr>
            <w:r>
              <w:t xml:space="preserve">{{ör. HYG-PRM-01}}</w:t>
            </w:r>
          </w:p>
        </w:tc>
        <w:tc>
          <w:tcPr>
            <w:tcW w:type="dxa" w:w="1591"/>
          </w:tcPr>
          <w:p/>
        </w:tc>
        <w:tc>
          <w:tcPr>
            <w:tcW w:type="dxa" w:w="1591"/>
          </w:tcPr>
          <w:p/>
        </w:tc>
        <w:tc>
          <w:tcPr>
            <w:tcW w:type="dxa" w:w="1591"/>
          </w:tcPr>
          <w:p/>
        </w:tc>
      </w:tr>
    </w:tbl>
    <w:p>
      <w:pPr>
        <w:pStyle w:val="Heading1"/>
      </w:pPr>
      <w:bookmarkStart w:id="24" w:name="onay"/>
      <w:r>
        <w:t xml:space="preserve">5. Onay</w:t>
      </w:r>
      <w:bookmarkEnd w:id="24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406"/>
        <w:gridCol w:w="6193"/>
      </w:tblGrid>
      <w:tr>
        <w:tc>
          <w:tcPr>
            <w:tcW w:type="dxa" w:w="3406"/>
          </w:tcPr>
          <w:p>
            <w:pPr>
              <w:pStyle w:val="Compact"/>
              <w:jc w:val="left"/>
            </w:pPr>
            <w:r>
              <w:t xml:space="preserve">Sistem sahibi kararı</w:t>
            </w:r>
          </w:p>
        </w:tc>
        <w:tc>
          <w:tcPr>
            <w:tcW w:type="dxa" w:w="6193"/>
          </w:tcPr>
          <w:p>
            <w:pPr>
              <w:pStyle w:val="Compact"/>
              <w:jc w:val="left"/>
            </w:pPr>
            <w:r>
              <w:t xml:space="preserve">☐ Canlıya alınabilir ☐ Koşullu (aksiyonlar tamamlanınca) ☐ Alınamaz</w:t>
            </w:r>
          </w:p>
        </w:tc>
      </w:tr>
      <w:tr>
        <w:tc>
          <w:tcPr>
            <w:tcW w:type="dxa" w:w="3406"/>
          </w:tcPr>
          <w:p>
            <w:pPr>
              <w:pStyle w:val="Compact"/>
              <w:jc w:val="left"/>
            </w:pPr>
            <w:r>
              <w:t xml:space="preserve">Kalıntı risk kabulü (Orta/Yüksek)</w:t>
            </w:r>
          </w:p>
        </w:tc>
        <w:tc>
          <w:tcPr>
            <w:tcW w:type="dxa" w:w="6193"/>
          </w:tcPr>
          <w:p>
            <w:pPr>
              <w:pStyle w:val="Compact"/>
              <w:jc w:val="left"/>
            </w:pPr>
            <w:r>
              <w:t xml:space="preserve">{{Ad, unvan, tarih}}</w:t>
            </w:r>
          </w:p>
        </w:tc>
      </w:tr>
      <w:tr>
        <w:tc>
          <w:tcPr>
            <w:tcW w:type="dxa" w:w="3406"/>
          </w:tcPr>
          <w:p>
            <w:pPr>
              <w:pStyle w:val="Compact"/>
              <w:jc w:val="left"/>
            </w:pPr>
            <w:r>
              <w:t xml:space="preserve">AI yönetişim sorumlusu</w:t>
            </w:r>
          </w:p>
        </w:tc>
        <w:tc>
          <w:tcPr>
            <w:tcW w:type="dxa" w:w="6193"/>
          </w:tcPr>
          <w:p>
            <w:pPr>
              <w:pStyle w:val="Compact"/>
              <w:jc w:val="left"/>
            </w:pPr>
            <w:r>
              <w:t xml:space="preserve">{{Ad, tarih}}</w:t>
            </w:r>
          </w:p>
        </w:tc>
      </w:tr>
    </w:tbl>
    <w:p>
      <w:pPr>
        <w:pStyle w:val="Heading1"/>
      </w:pPr>
      <w:bookmarkStart w:id="25" w:name="yeniden-değerlendirme-tetikleyicileri"/>
      <w:r>
        <w:t xml:space="preserve">6. Yeniden değerlendirme tetikleyicileri</w:t>
      </w:r>
      <w:bookmarkEnd w:id="25"/>
    </w:p>
    <w:p>
      <w:pPr>
        <w:pStyle w:val="FirstParagraph"/>
      </w:pPr>
      <w:r>
        <w:t xml:space="preserve">En geç</w:t>
      </w:r>
      <w:r>
        <w:t xml:space="preserve"> </w:t>
      </w:r>
      <w:r>
        <w:rPr>
          <w:b/>
        </w:rPr>
        <w:t xml:space="preserve">12 ayda bir</w:t>
      </w:r>
      <w:r>
        <w:t xml:space="preserve"> </w:t>
      </w:r>
      <w:r>
        <w:t xml:space="preserve">ve şu durumlarda: yeni model ya da sağlayıcı · yeni veri kategorisi (özellikle kişisel/özel nitelikli) · yeni kullanıcı grubu ya da dış kullanıcılar · amaç değişikliği · bu sistemle ilgili AI olayı (TPL-03).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Tetikleyici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Değişen riskler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Onay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AI Risk Değerlendirmesi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TPL-09</vt:lpwstr>
  </property>
  <property fmtid="{D5CDD505-2E9C-101B-9397-08002B2CF9AE}" pid="5" name="version">
    <vt:lpwstr>1.0-draft</vt:lpwstr>
  </property>
</Properties>
</file>