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Yapay</w:t>
      </w:r>
      <w:r>
        <w:t xml:space="preserve"> </w:t>
      </w:r>
      <w:r>
        <w:t xml:space="preserve">Zekâ</w:t>
      </w:r>
      <w:r>
        <w:t xml:space="preserve"> </w:t>
      </w:r>
      <w:r>
        <w:t xml:space="preserve">İnsan</w:t>
      </w:r>
      <w:r>
        <w:t xml:space="preserve"> </w:t>
      </w:r>
      <w:r>
        <w:t xml:space="preserve">Gözetimi</w:t>
      </w:r>
      <w:r>
        <w:t xml:space="preserve"> </w:t>
      </w:r>
      <w:r>
        <w:t xml:space="preserve">Prosedürü</w:t>
      </w:r>
    </w:p>
    <w:p>
      <w:pPr>
        <w:pStyle w:val="Heading1"/>
      </w:pPr>
      <w:bookmarkStart w:id="20" w:name="amaç"/>
      <w:r>
        <w:t xml:space="preserve">1. Amaç</w:t>
      </w:r>
      <w:bookmarkEnd w:id="20"/>
    </w:p>
    <w:p>
      <w:pPr>
        <w:pStyle w:val="FirstParagraph"/>
      </w:pPr>
      <w:r>
        <w:t xml:space="preserve">AI çıktısının kişiler, müşteriler ya da kurum için önemli sonuç doğurmadan önce, gerektiği durumlarda yetkin bir insan tarafından incelenmesini sağlamak.</w:t>
      </w:r>
    </w:p>
    <w:p>
      <w:pPr>
        <w:pStyle w:val="Heading1"/>
      </w:pPr>
      <w:bookmarkStart w:id="21" w:name="genel-kural"/>
      <w:r>
        <w:t xml:space="preserve">2. Genel kural</w:t>
      </w:r>
      <w:bookmarkEnd w:id="21"/>
    </w:p>
    <w:p>
      <w:pPr>
        <w:pStyle w:val="FirstParagraph"/>
      </w:pPr>
      <w:r>
        <w:t xml:space="preserve">Aşağıdaki çıktılar</w:t>
      </w:r>
      <w:r>
        <w:t xml:space="preserve"> </w:t>
      </w:r>
      <w:r>
        <w:rPr>
          <w:b/>
        </w:rPr>
        <w:t xml:space="preserve">her sistemde</w:t>
      </w:r>
      <w:r>
        <w:t xml:space="preserve"> </w:t>
      </w:r>
      <w:r>
        <w:t xml:space="preserve">insan incelemesi olmadan etkili olmaz:</w:t>
      </w:r>
      <w:r>
        <w:t xml:space="preserve"> </w:t>
      </w:r>
      <w:r>
        <w:t xml:space="preserve">- bir kişi hakkında hak, hizmet, istihdam ya da finansal sonuç doğuran karar ya da öneri;</w:t>
      </w:r>
      <w:r>
        <w:t xml:space="preserve"> </w:t>
      </w:r>
      <w:r>
        <w:t xml:space="preserve">- kurum adına dışarıya gönderilen ve hukuki/sözleşmesel bağlayıcılığı olan metin;</w:t>
      </w:r>
      <w:r>
        <w:t xml:space="preserve"> </w:t>
      </w:r>
      <w:r>
        <w:t xml:space="preserve">- davranış kontrollerinin (çıktı filtresi)</w:t>
      </w:r>
      <w:r>
        <w:t xml:space="preserve"> </w:t>
      </w:r>
      <w:r>
        <w:t xml:space="preserve">“</w:t>
      </w:r>
      <w:r>
        <w:t xml:space="preserve">şüpheli</w:t>
      </w:r>
      <w:r>
        <w:t xml:space="preserve">”</w:t>
      </w:r>
      <w:r>
        <w:t xml:space="preserve"> </w:t>
      </w:r>
      <w:r>
        <w:t xml:space="preserve">olarak işaretlediği çıktılar.</w:t>
      </w:r>
    </w:p>
    <w:p>
      <w:pPr>
        <w:pStyle w:val="Heading1"/>
      </w:pPr>
      <w:bookmarkStart w:id="22" w:name="sistem-başına-gözetim-tanımı"/>
      <w:r>
        <w:t xml:space="preserve">3. Sistem başına gözetim tanımı</w:t>
      </w:r>
      <w:bookmarkEnd w:id="22"/>
    </w:p>
    <w:p>
      <w:pPr>
        <w:pStyle w:val="FirstParagraph"/>
      </w:pPr>
      <w:r>
        <w:t xml:space="preserve">Her AI sistemi için bir tablo doldurulur.</w:t>
      </w:r>
    </w:p>
    <w:p>
      <w:pPr>
        <w:pStyle w:val="BodyText"/>
      </w:pPr>
      <w:r>
        <w:rPr>
          <w:b/>
        </w:rPr>
        <w:t xml:space="preserve">Sistem:</w:t>
      </w:r>
      <w:r>
        <w:t xml:space="preserve"> </w:t>
      </w:r>
      <w:r>
        <w:t xml:space="preserve">{{AI-SYS-nnn — ad}} ·</w:t>
      </w:r>
      <w:r>
        <w:t xml:space="preserve"> </w:t>
      </w:r>
      <w:r>
        <w:rPr>
          <w:b/>
        </w:rPr>
        <w:t xml:space="preserve">Sahip:</w:t>
      </w:r>
      <w:r>
        <w:t xml:space="preserve"> </w:t>
      </w:r>
      <w:r>
        <w:t xml:space="preserve">{{…}}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661"/>
        <w:gridCol w:w="5938"/>
      </w:tblGrid>
      <w:tr>
        <w:trPr>
          <w:cnfStyle w:firstRow="1"/>
        </w:trPr>
        <w:tc>
          <w:tcPr>
            <w:tcW w:type="dxa" w:w="366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Unsur</w:t>
            </w:r>
          </w:p>
        </w:tc>
        <w:tc>
          <w:tcPr>
            <w:tcW w:type="dxa" w:w="593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Tanım</w:t>
            </w:r>
          </w:p>
        </w:tc>
      </w:tr>
      <w:tr>
        <w:tc>
          <w:tcPr>
            <w:tcW w:type="dxa" w:w="366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1. İncelenecek çıktı sınıfları</w:t>
            </w:r>
          </w:p>
        </w:tc>
        <w:tc>
          <w:tcPr>
            <w:tcW w:type="dxa" w:w="5938"/>
          </w:tcPr>
          <w:p>
            <w:pPr>
              <w:pStyle w:val="Compact"/>
              <w:jc w:val="left"/>
            </w:pPr>
            <w:r>
              <w:t xml:space="preserve">{{ör. kredi ön değerlendirme notu</w:t>
            </w:r>
            <w:r>
              <w:t xml:space="preserve"> </w:t>
            </w:r>
            <w:r>
              <w:t xml:space="preserve">“</w:t>
            </w:r>
            <w:r>
              <w:t xml:space="preserve">ret</w:t>
            </w:r>
            <w:r>
              <w:t xml:space="preserve">”</w:t>
            </w:r>
            <w:r>
              <w:t xml:space="preserve"> </w:t>
            </w:r>
            <w:r>
              <w:t xml:space="preserve">önerisi; müşteriye gidecek tazminat cevabı; filtre tarafından işaretlenen her çıktı}}</w:t>
            </w:r>
          </w:p>
        </w:tc>
      </w:tr>
      <w:tr>
        <w:tc>
          <w:tcPr>
            <w:tcW w:type="dxa" w:w="366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2. İnceleyen rol</w:t>
            </w:r>
          </w:p>
        </w:tc>
        <w:tc>
          <w:tcPr>
            <w:tcW w:type="dxa" w:w="5938"/>
          </w:tcPr>
          <w:p>
            <w:pPr>
              <w:pStyle w:val="Compact"/>
              <w:jc w:val="left"/>
            </w:pPr>
            <w:r>
              <w:t xml:space="preserve">{{rol}} — yetkinlik: TPL-12 Bölüm 5 eğitimi; inceleyenin çıktıyı reddetme/değiştirme yetkisi var</w:t>
            </w:r>
          </w:p>
        </w:tc>
      </w:tr>
      <w:tr>
        <w:tc>
          <w:tcPr>
            <w:tcW w:type="dxa" w:w="366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3. Süre sınırı (SLA)</w:t>
            </w:r>
          </w:p>
        </w:tc>
        <w:tc>
          <w:tcPr>
            <w:tcW w:type="dxa" w:w="5938"/>
          </w:tcPr>
          <w:p>
            <w:pPr>
              <w:pStyle w:val="Compact"/>
              <w:jc w:val="left"/>
            </w:pPr>
            <w:r>
              <w:t xml:space="preserve">{{ör. 1 iş günü}}; aşılırsa {{üst rol}}’e yükseltilir</w:t>
            </w:r>
          </w:p>
        </w:tc>
      </w:tr>
      <w:tr>
        <w:tc>
          <w:tcPr>
            <w:tcW w:type="dxa" w:w="366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4. İnceleme beklerken çıktıya ne olur</w:t>
            </w:r>
          </w:p>
        </w:tc>
        <w:tc>
          <w:tcPr>
            <w:tcW w:type="dxa" w:w="5938"/>
          </w:tcPr>
          <w:p>
            <w:pPr>
              <w:pStyle w:val="Compact"/>
              <w:jc w:val="left"/>
            </w:pPr>
            <w:r>
              <w:t xml:space="preserve">{{ör. müşteriye gönderilmez; işlem askıda kalır; kullanıcıya</w:t>
            </w:r>
            <w:r>
              <w:t xml:space="preserve"> </w:t>
            </w:r>
            <w:r>
              <w:t xml:space="preserve">“</w:t>
            </w:r>
            <w:r>
              <w:t xml:space="preserve">incelemede</w:t>
            </w:r>
            <w:r>
              <w:t xml:space="preserve">”</w:t>
            </w:r>
            <w:r>
              <w:t xml:space="preserve"> </w:t>
            </w:r>
            <w:r>
              <w:t xml:space="preserve">bilgisi verilir}}</w:t>
            </w:r>
          </w:p>
        </w:tc>
      </w:tr>
      <w:tr>
        <w:tc>
          <w:tcPr>
            <w:tcW w:type="dxa" w:w="3661"/>
          </w:tcPr>
          <w:p>
            <w:pPr>
              <w:pStyle w:val="Compact"/>
              <w:jc w:val="left"/>
            </w:pPr>
            <w:r>
              <w:t xml:space="preserve">İnceleme kaydı nerede tutulur</w:t>
            </w:r>
          </w:p>
        </w:tc>
        <w:tc>
          <w:tcPr>
            <w:tcW w:type="dxa" w:w="5938"/>
          </w:tcPr>
          <w:p>
            <w:pPr>
              <w:pStyle w:val="Compact"/>
              <w:jc w:val="left"/>
            </w:pPr>
            <w:r>
              <w:t xml:space="preserve">{{sistem / kuyruk / tablo}} — alanlar: çıktı no, inceleyen, karar (onay/değişiklik/ret), gerekçe, tarih-saat</w:t>
            </w:r>
          </w:p>
        </w:tc>
      </w:tr>
      <w:tr>
        <w:tc>
          <w:tcPr>
            <w:tcW w:type="dxa" w:w="3661"/>
          </w:tcPr>
          <w:p>
            <w:pPr>
              <w:pStyle w:val="Compact"/>
              <w:jc w:val="left"/>
            </w:pPr>
            <w:r>
              <w:t xml:space="preserve">İnceleyenin göreceği bilgi</w:t>
            </w:r>
          </w:p>
        </w:tc>
        <w:tc>
          <w:tcPr>
            <w:tcW w:type="dxa" w:w="5938"/>
          </w:tcPr>
          <w:p>
            <w:pPr>
              <w:pStyle w:val="Compact"/>
              <w:jc w:val="left"/>
            </w:pPr>
            <w:r>
              <w:t xml:space="preserve">AI çıktısı + dayandığı kaynaklar + sistemin bilinen sınırları</w:t>
            </w:r>
          </w:p>
        </w:tc>
      </w:tr>
    </w:tbl>
    <w:p>
      <w:pPr>
        <w:pStyle w:val="Heading1"/>
      </w:pPr>
      <w:bookmarkStart w:id="23" w:name="inceleme-gerekmez-kararı"/>
      <w:r>
        <w:t xml:space="preserve">4.</w:t>
      </w:r>
      <w:r>
        <w:t xml:space="preserve"> </w:t>
      </w:r>
      <w:r>
        <w:t xml:space="preserve">“</w:t>
      </w:r>
      <w:r>
        <w:t xml:space="preserve">İnceleme gerekmez</w:t>
      </w:r>
      <w:r>
        <w:t xml:space="preserve">”</w:t>
      </w:r>
      <w:r>
        <w:t xml:space="preserve"> </w:t>
      </w:r>
      <w:r>
        <w:t xml:space="preserve">kararı</w:t>
      </w:r>
      <w:bookmarkEnd w:id="23"/>
    </w:p>
    <w:p>
      <w:pPr>
        <w:pStyle w:val="FirstParagraph"/>
      </w:pPr>
      <w:r>
        <w:t xml:space="preserve">Bir sistemin çıktıları Bölüm 2’deki türlerin hiçbirine girmiyorsa (ör. çalışanın kendi kullanımı için özet), sistem sahibi gerekçeli olarak bunu kaydeder.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Gerekçe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Sahip imza / tarih</w:t>
            </w:r>
          </w:p>
        </w:tc>
      </w:tr>
      <w:tr>
        <w:tc>
          <w:p/>
        </w:tc>
        <w:tc>
          <w:p/>
        </w:tc>
        <w:tc>
          <w:p/>
        </w:tc>
      </w:tr>
    </w:tbl>
    <w:p>
      <w:pPr>
        <w:pStyle w:val="Heading1"/>
      </w:pPr>
      <w:bookmarkStart w:id="24" w:name="uçtan-uca-işletim-kaydı-zorunlu"/>
      <w:r>
        <w:t xml:space="preserve">5. Uçtan uca işletim kaydı (zorunlu)</w:t>
      </w:r>
      <w:bookmarkEnd w:id="24"/>
    </w:p>
    <w:p>
      <w:pPr>
        <w:pStyle w:val="FirstParagraph"/>
      </w:pPr>
      <w:r>
        <w:t xml:space="preserve">Prosedür canlıya almadan önce</w:t>
      </w:r>
      <w:r>
        <w:t xml:space="preserve"> </w:t>
      </w:r>
      <w:r>
        <w:rPr>
          <w:b/>
        </w:rPr>
        <w:t xml:space="preserve">gerçek vaka ya da test</w:t>
      </w:r>
      <w:r>
        <w:t xml:space="preserve"> </w:t>
      </w:r>
      <w:r>
        <w:t xml:space="preserve">ile en az bir kez baştan sona işletilir: çıktı sınıflandırılır → kuyruğa düşer → inceleyen karar verir → çıktı bekleme durumundan çıkar → kayıt oluşur.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Vaka/test açıklaması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Sonuç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Bulunan aksaklık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25" w:name="ölçüm"/>
      <w:r>
        <w:t xml:space="preserve">6. Ölçüm</w:t>
      </w:r>
      <w:bookmarkEnd w:id="25"/>
    </w:p>
    <w:p>
      <w:pPr>
        <w:pStyle w:val="FirstParagraph"/>
      </w:pPr>
      <w:r>
        <w:t xml:space="preserve">Her {{6}} ayda bir, sistem başına: incelenen çıktı sayısı · süre sınırı içinde tamamlanma oranı · ret/değişiklik oranı. Sonuçlar AI yönetişim sorumlusuna raporlanır.</w:t>
      </w:r>
    </w:p>
    <w:p>
      <w:pPr>
        <w:pStyle w:val="Heading1"/>
      </w:pPr>
      <w:bookmarkStart w:id="26" w:name="onay"/>
      <w:r>
        <w:t xml:space="preserve">7. Onay</w:t>
      </w:r>
      <w:bookmarkEnd w:id="26"/>
    </w:p>
    <w:p>
      <w:pPr>
        <w:pStyle w:val="FirstParagraph"/>
      </w:pPr>
      <w:r>
        <w:t xml:space="preserve">Belge no / sürüm: {{…}} · Onaylayan: {{Ad, unvan, tarih}} · Gözden geçirme: en geç 12 ayda bir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Yapay Zekâ İnsan Gözetimi Prosedürü</dc:title>
  <dc:creator/>
  <cp:keywords/>
  <dcterms:created xsi:type="dcterms:W3CDTF">2026-10-14T13:00:57Z</dcterms:created>
  <dcterms:modified xsi:type="dcterms:W3CDTF">2026-10-14T13:00:57Z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TPL-13</vt:lpwstr>
  </property>
  <property fmtid="{D5CDD505-2E9C-101B-9397-08002B2CF9AE}" pid="5" name="version">
    <vt:lpwstr>1.0-draft</vt:lpwstr>
  </property>
</Properties>
</file>