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 Nitel Bulgular</w:t>
      </w:r>
    </w:p>
    <w:p>
      <w:pPr>
        <w:jc w:val="both"/>
      </w:pPr>
      <w:r>
        <w:rPr>
          <w:i w:val="0"/>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jc w:val="both"/>
      </w:pPr>
      <w:r>
        <w:rPr>
          <w:i w:val="0"/>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jc w:val="both"/>
      </w:pPr>
      <w:r>
        <w:rPr>
          <w:i w:val="0"/>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pStyle w:val="Heading2"/>
      </w:pPr>
      <w:r>
        <w:t>4.2.1. Problem çözme becerilerinin gelişimine ilişkin görüşler</w:t>
      </w:r>
    </w:p>
    <w:p>
      <w:pPr>
        <w:pStyle w:val="Heading3"/>
      </w:pPr>
      <w:r>
        <w:t>4.2.1.1. Problem belirleme deneyimleri</w:t>
      </w:r>
    </w:p>
    <w:p>
      <w:pPr>
        <w:jc w:val="both"/>
      </w:pPr>
      <w:r>
        <w:rPr>
          <w:i w:val="0"/>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pPr>
        <w:keepNext/>
      </w:pPr>
      <w:r>
        <w:rPr>
          <w:b/>
          <w:sz w:val="22"/>
        </w:rPr>
        <w:t>Tablo 4.11. Problem belirleme deneyimlerine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P01 — Problem belirlemede zorlanma</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K3, K4</w:t>
            </w:r>
          </w:p>
        </w:tc>
      </w:tr>
      <w:tr>
        <w:trPr>
          <w:cantSplit/>
        </w:trPr>
        <w:tc>
          <w:tcPr>
            <w:tcW w:type="dxa" w:w="6293"/>
          </w:tcPr>
          <w:p>
            <w:pPr>
              <w:spacing w:line="252" w:lineRule="auto" w:after="80" w:before="40"/>
            </w:pPr>
            <w:r>
              <w:rPr>
                <w:rFonts w:ascii="Times New Roman" w:hAnsi="Times New Roman"/>
                <w:sz w:val="20"/>
              </w:rPr>
              <w:t>P02 — Problem belirlemede zorlanmama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P03 — Özgünlük arayışının güçlük oluşturması</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K3</w:t>
            </w:r>
          </w:p>
        </w:tc>
      </w:tr>
      <w:tr>
        <w:trPr>
          <w:cantSplit/>
        </w:trPr>
        <w:tc>
          <w:tcPr>
            <w:tcW w:type="dxa" w:w="6293"/>
          </w:tcPr>
          <w:p>
            <w:pPr>
              <w:spacing w:line="252" w:lineRule="auto" w:after="80" w:before="40"/>
            </w:pPr>
            <w:r>
              <w:rPr>
                <w:rFonts w:ascii="Times New Roman" w:hAnsi="Times New Roman"/>
                <w:sz w:val="20"/>
              </w:rPr>
              <w:t>P04 — Uygulanabilir ve çözülebilir problem seçme güçlüğü</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spacing w:line="288" w:lineRule="auto"/>
        <w:ind w:left="397" w:right="170"/>
      </w:pPr>
      <w:r>
        <w:rPr>
          <w:i/>
        </w:rPr>
        <w:t>“Özellikle yaratıcı ve özgün bir problem bulmak bizim için zorlayıcıydı.”</w:t>
      </w:r>
      <w:r>
        <w:t xml:space="preserve"> (K1, Soru 1-a)</w:t>
      </w:r>
    </w:p>
    <w:p>
      <w:pPr>
        <w:spacing w:line="288" w:lineRule="auto"/>
        <w:ind w:left="397" w:right="170"/>
      </w:pPr>
      <w:r>
        <w:rPr>
          <w:i/>
        </w:rPr>
        <w:t>“Zorlanmadık. Konumuz doğal afetler olduğu için kısa bir araştırma süreci bizim için yeterli oldu.”</w:t>
      </w:r>
      <w:r>
        <w:t xml:space="preserve"> (K2, Soru 1-a)</w:t>
      </w:r>
    </w:p>
    <w:p>
      <w:pPr>
        <w:spacing w:line="288" w:lineRule="auto"/>
        <w:ind w:left="397" w:right="170"/>
      </w:pPr>
      <w:r>
        <w:rPr>
          <w:i/>
        </w:rPr>
        <w:t>“Bazı fikirler bulduk ama ya çok genel kaldı ya da çözümünü bizim yapabileceğimiz şekilde somutlaştıramadık.”</w:t>
      </w:r>
      <w:r>
        <w:t xml:space="preserve"> (K4, Soru 1-a)</w:t>
      </w:r>
    </w:p>
    <w:p>
      <w:pPr>
        <w:jc w:val="both"/>
      </w:pPr>
      <w:r>
        <w:rPr>
          <w:i w:val="0"/>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3"/>
      </w:pPr>
      <w:r>
        <w:t>4.2.1.2. Çözüm geliştirme ve güçlüklerle başa çıkma</w:t>
      </w:r>
    </w:p>
    <w:p>
      <w:pPr>
        <w:jc w:val="both"/>
      </w:pPr>
      <w:r>
        <w:rPr>
          <w:i w:val="0"/>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pPr>
        <w:keepNext/>
      </w:pPr>
      <w:r>
        <w:rPr>
          <w:b/>
          <w:sz w:val="22"/>
        </w:rPr>
        <w:t>Tablo 4.12. Çözüm geliştirme sürecine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P05 — Problem ve çözümü birlikte ele alma</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K2, K3</w:t>
            </w:r>
          </w:p>
        </w:tc>
      </w:tr>
      <w:tr>
        <w:trPr>
          <w:cantSplit/>
        </w:trPr>
        <w:tc>
          <w:tcPr>
            <w:tcW w:type="dxa" w:w="6293"/>
          </w:tcPr>
          <w:p>
            <w:pPr>
              <w:spacing w:line="252" w:lineRule="auto" w:after="80" w:before="40"/>
            </w:pPr>
            <w:r>
              <w:rPr>
                <w:rFonts w:ascii="Times New Roman" w:hAnsi="Times New Roman"/>
                <w:sz w:val="20"/>
              </w:rPr>
              <w:t>P06 — Aşamalı araştırma–değerlendirme–uygulama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P18 — Problem için bilgi araştırma</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P07 — Tasarım ve uygulama güçlüğü</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P17 — Teorik problem–çözüm uyumu</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K3</w:t>
            </w:r>
          </w:p>
        </w:tc>
      </w:tr>
      <w:tr>
        <w:trPr>
          <w:cantSplit/>
        </w:trPr>
        <w:tc>
          <w:tcPr>
            <w:tcW w:type="dxa" w:w="6293"/>
          </w:tcPr>
          <w:p>
            <w:pPr>
              <w:spacing w:line="252" w:lineRule="auto" w:after="80" w:before="40"/>
            </w:pPr>
            <w:r>
              <w:rPr>
                <w:rFonts w:ascii="Times New Roman" w:hAnsi="Times New Roman"/>
                <w:sz w:val="20"/>
              </w:rPr>
              <w:t>P08 — Çözüm üretilemeyen problemi değiştirme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P09 — Çözümü sorgulama ve revize etme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P10 — Alternatif deneme ve sürdürme</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P15 — Bilgiyi seçme ve değerlendirme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P16 — Uzmanlara başvurma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spacing w:line="288" w:lineRule="auto"/>
        <w:ind w:left="397" w:right="170"/>
      </w:pPr>
      <w:r>
        <w:rPr>
          <w:i/>
        </w:rPr>
        <w:t>“Çözüm üretemediğimiz durumlarda problemi değiştirdik.”</w:t>
      </w:r>
      <w:r>
        <w:t xml:space="preserve"> (K1, Soru 3-b)</w:t>
      </w:r>
    </w:p>
    <w:p>
      <w:pPr>
        <w:spacing w:line="288" w:lineRule="auto"/>
        <w:ind w:left="397" w:right="170"/>
      </w:pPr>
      <w:r>
        <w:rPr>
          <w:i/>
        </w:rPr>
        <w:t>“Böyle zamanlarda sorundan vazgeçmek yerine grup olarak üzerine gitmeye çalıştık.”</w:t>
      </w:r>
      <w:r>
        <w:t xml:space="preserve"> (K3, Soru 3-b)</w:t>
      </w:r>
    </w:p>
    <w:p>
      <w:pPr>
        <w:spacing w:line="288" w:lineRule="auto"/>
        <w:ind w:left="397" w:right="170"/>
      </w:pPr>
      <w:r>
        <w:rPr>
          <w:i/>
        </w:rPr>
        <w:t>“Böyle durumlarda çözümü geliştirmeye veya değiştirmeye çalıştık.”</w:t>
      </w:r>
      <w:r>
        <w:t xml:space="preserve"> (K4, Soru 3-b)</w:t>
      </w:r>
    </w:p>
    <w:p>
      <w:pPr>
        <w:jc w:val="both"/>
      </w:pPr>
      <w:r>
        <w:rPr>
          <w:i w:val="0"/>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spacing w:line="288" w:lineRule="auto"/>
        <w:ind w:left="397" w:right="170"/>
      </w:pPr>
      <w:r>
        <w:rPr>
          <w:i/>
        </w:rPr>
        <w:t>“Kaynak taraması yaptık, uzmanlara başvurduk ve farklı bilgiler edinmeye çalıştık.”</w:t>
      </w:r>
      <w:r>
        <w:t xml:space="preserve"> (K2, Soru 5-a)</w:t>
      </w:r>
    </w:p>
    <w:p>
      <w:pPr>
        <w:spacing w:line="288" w:lineRule="auto"/>
        <w:ind w:left="397" w:right="170"/>
      </w:pPr>
      <w:r>
        <w:rPr>
          <w:i/>
        </w:rPr>
        <w:t>“Araştırma yaparken de her bulduğumuz bilgiyi kullanamayacağımızı gördük ve işimize yarayan bilgileri seçmeye çalıştık.”</w:t>
      </w:r>
      <w:r>
        <w:t xml:space="preserve"> (K4, Soru 5-a)</w:t>
      </w:r>
    </w:p>
    <w:p>
      <w:pPr>
        <w:jc w:val="both"/>
      </w:pPr>
      <w:r>
        <w:rPr>
          <w:i w:val="0"/>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3"/>
      </w:pPr>
      <w:r>
        <w:t>4.2.1.3. Algılanan beceri katkıları</w:t>
      </w:r>
    </w:p>
    <w:p>
      <w:pPr>
        <w:keepNext/>
      </w:pPr>
      <w:r>
        <w:rPr>
          <w:b/>
          <w:sz w:val="22"/>
        </w:rPr>
        <w:t>Tablo 4.13. Problem çözme sürecinde algılanan beceri katkıları</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P11 — Problem çözme becerisine katkı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P12 — Yaratıcı düşünmeye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K3, K4</w:t>
            </w:r>
          </w:p>
        </w:tc>
      </w:tr>
      <w:tr>
        <w:trPr>
          <w:cantSplit/>
        </w:trPr>
        <w:tc>
          <w:tcPr>
            <w:tcW w:type="dxa" w:w="6293"/>
          </w:tcPr>
          <w:p>
            <w:pPr>
              <w:spacing w:line="252" w:lineRule="auto" w:after="80" w:before="40"/>
            </w:pPr>
            <w:r>
              <w:rPr>
                <w:rFonts w:ascii="Times New Roman" w:hAnsi="Times New Roman"/>
                <w:sz w:val="20"/>
              </w:rPr>
              <w:t>P13 — Araştırma becerisine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P14 — Analitik düşünmeye katkı algısı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spacing w:line="288" w:lineRule="auto"/>
        <w:ind w:left="397" w:right="170"/>
      </w:pPr>
      <w:r>
        <w:rPr>
          <w:i/>
        </w:rPr>
        <w:t>“Araştırma, yaratıcı düşünme, analitik düşünme ve problem çözme becerilerimizin gelişmesine katkı sağladığını düşünüyorum.”</w:t>
      </w:r>
      <w:r>
        <w:t xml:space="preserve"> (K3, Soru 5-a)</w:t>
      </w:r>
    </w:p>
    <w:p>
      <w:pPr>
        <w:jc w:val="both"/>
      </w:pPr>
      <w:r>
        <w:rPr>
          <w:i w:val="0"/>
        </w:rPr>
        <w:t>Bu bulgular katılımcıların kendi deneyimlerine dayalı gelişim değerlendirmeleridir. Görüşmelerden hareketle becerilerde nesnel olarak ne kadar değişim olduğu hesaplanmamış ve bu ifadeler nicel ölçümlerin yerine kullanılmamıştır.</w:t>
      </w:r>
    </w:p>
    <w:p>
      <w:pPr>
        <w:pStyle w:val="Heading2"/>
      </w:pPr>
      <w:r>
        <w:t>4.2.2. İletişim becerilerinin gelişimine ilişkin görüşler</w:t>
      </w:r>
    </w:p>
    <w:p>
      <w:pPr>
        <w:pStyle w:val="Heading3"/>
      </w:pPr>
      <w:r>
        <w:t>4.2.2.1. İfade ortamı ve görüş ayrılıklarının yönetimi</w:t>
      </w:r>
    </w:p>
    <w:p>
      <w:pPr>
        <w:keepNext/>
      </w:pPr>
      <w:r>
        <w:rPr>
          <w:b/>
          <w:sz w:val="22"/>
        </w:rPr>
        <w:t>Tablo 4.14. Grup içi iletişim ve ortak karar süreçlerine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C01 — Fikirlerini rahatça ifade etme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C02 — Tanışıklık ve kendi seçtiği grupla iletişim kolaylığı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C05 — Karşılıklı görüş paylaşımı ve ortak karar</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C06 — Oylama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C07 — Gerekçelendirme ve ikna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K3, K4</w:t>
            </w:r>
          </w:p>
        </w:tc>
      </w:tr>
      <w:tr>
        <w:trPr>
          <w:cantSplit/>
        </w:trPr>
        <w:tc>
          <w:tcPr>
            <w:tcW w:type="dxa" w:w="6293"/>
          </w:tcPr>
          <w:p>
            <w:pPr>
              <w:spacing w:line="252" w:lineRule="auto" w:after="80" w:before="40"/>
            </w:pPr>
            <w:r>
              <w:rPr>
                <w:rFonts w:ascii="Times New Roman" w:hAnsi="Times New Roman"/>
                <w:sz w:val="20"/>
              </w:rPr>
              <w:t>C08 — Dinleme ve uzlaşma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C09 — Eleştiriye alternatif öneri ekleme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spacing w:line="288" w:lineRule="auto"/>
        <w:ind w:left="397" w:right="170"/>
      </w:pPr>
      <w:r>
        <w:rPr>
          <w:i/>
        </w:rPr>
        <w:t>“Grup arkadaşlarımızı kendimiz seçtiğimiz için bu konuda herhangi bir sorun yaşamadık.”</w:t>
      </w:r>
      <w:r>
        <w:t xml:space="preserve"> (K1, Soru 2-a)</w:t>
      </w:r>
    </w:p>
    <w:p>
      <w:pPr>
        <w:spacing w:line="288" w:lineRule="auto"/>
        <w:ind w:left="397" w:right="170"/>
      </w:pPr>
      <w:r>
        <w:rPr>
          <w:i/>
        </w:rPr>
        <w:t>“Gerektiğinde oylama yaparak karar verdik.”</w:t>
      </w:r>
      <w:r>
        <w:t xml:space="preserve"> (K1, Soru 2-b)</w:t>
      </w:r>
    </w:p>
    <w:p>
      <w:pPr>
        <w:spacing w:line="288" w:lineRule="auto"/>
        <w:ind w:left="397" w:right="170"/>
      </w:pPr>
      <w:r>
        <w:rPr>
          <w:i/>
        </w:rPr>
        <w:t>“Bu nedenle eleştirdiğim bir konuda mümkün olduğunca alternatif bir öneri de sunmaya çalıştım.”</w:t>
      </w:r>
      <w:r>
        <w:t xml:space="preserve"> (K3, Soru 2-b)</w:t>
      </w:r>
    </w:p>
    <w:p>
      <w:pPr>
        <w:spacing w:line="288" w:lineRule="auto"/>
        <w:ind w:left="397" w:right="170"/>
      </w:pPr>
      <w:r>
        <w:rPr>
          <w:i/>
        </w:rPr>
        <w:t>“Bence burada birbirimizi dinlemek önemliydi. Herkes sadece kendi fikrinde ısrar etseydi ilerleyemezdik.”</w:t>
      </w:r>
      <w:r>
        <w:t xml:space="preserve"> (K4, Soru 2-b)</w:t>
      </w:r>
    </w:p>
    <w:p>
      <w:pPr>
        <w:jc w:val="both"/>
      </w:pPr>
      <w:r>
        <w:rPr>
          <w:i w:val="0"/>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3"/>
      </w:pPr>
      <w:r>
        <w:t>4.2.2.2. İş birliği ve algılanan iletişim katkısı</w:t>
      </w:r>
    </w:p>
    <w:p>
      <w:pPr>
        <w:keepNext/>
      </w:pPr>
      <w:r>
        <w:rPr>
          <w:b/>
          <w:sz w:val="22"/>
        </w:rPr>
        <w:t>Tablo 4.15. İş birliği ve iletişim katkısına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C03 — Fikir ve alternatif çeşitliliği</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C04 — Yardımlaşma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K4</w:t>
            </w:r>
          </w:p>
        </w:tc>
      </w:tr>
      <w:tr>
        <w:trPr>
          <w:cantSplit/>
        </w:trPr>
        <w:tc>
          <w:tcPr>
            <w:tcW w:type="dxa" w:w="6293"/>
          </w:tcPr>
          <w:p>
            <w:pPr>
              <w:spacing w:line="252" w:lineRule="auto" w:after="80" w:before="40"/>
            </w:pPr>
            <w:r>
              <w:rPr>
                <w:rFonts w:ascii="Times New Roman" w:hAnsi="Times New Roman"/>
                <w:sz w:val="20"/>
              </w:rPr>
              <w:t>C10 — İletişim becerisine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C11 — Görev paylaşımı ve koordinasyon</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C12 — Beceri katkısının büyüklüğünde belirsizlik</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spacing w:line="288" w:lineRule="auto"/>
        <w:ind w:left="397" w:right="170"/>
      </w:pPr>
      <w:r>
        <w:rPr>
          <w:i/>
        </w:rPr>
        <w:t>“Normalde daha sessiz ve çekingen biriyim.”</w:t>
      </w:r>
      <w:r>
        <w:t xml:space="preserve"> (K3, Soru 5-b)</w:t>
      </w:r>
    </w:p>
    <w:p>
      <w:pPr>
        <w:spacing w:line="288" w:lineRule="auto"/>
        <w:ind w:left="397" w:right="170"/>
      </w:pPr>
      <w:r>
        <w:rPr>
          <w:i/>
        </w:rPr>
        <w:t>“Bu süreç sayesinde iletişim becerilerimin güçlendiğini görebiliyorum.”</w:t>
      </w:r>
      <w:r>
        <w:t xml:space="preserve"> (K3, Soru 5-b)</w:t>
      </w:r>
    </w:p>
    <w:p>
      <w:pPr>
        <w:spacing w:line="288" w:lineRule="auto"/>
        <w:ind w:left="397" w:right="170"/>
      </w:pPr>
      <w:r>
        <w:rPr>
          <w:i/>
        </w:rPr>
        <w:t>“Görev paylaşımı yapmak, birbirimizi dinlemek ve yaptığımız şeyleri bir araya getirmek gerekiyordu.”</w:t>
      </w:r>
      <w:r>
        <w:t xml:space="preserve"> (K4, Soru 5-b)</w:t>
      </w:r>
    </w:p>
    <w:p>
      <w:pPr>
        <w:jc w:val="both"/>
      </w:pPr>
      <w:r>
        <w:rPr>
          <w:i w:val="0"/>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spacing w:line="288" w:lineRule="auto"/>
        <w:ind w:left="397" w:right="170"/>
      </w:pPr>
      <w:r>
        <w:rPr>
          <w:i/>
        </w:rPr>
        <w:t>“Ancak bunun belirli bir becerimi ne ölçüde geliştirdiği konusunda kesin bir şey söyleyemiyorum.”</w:t>
      </w:r>
      <w:r>
        <w:t xml:space="preserve"> (K2, Soru 5-b)</w:t>
      </w:r>
    </w:p>
    <w:p>
      <w:pPr>
        <w:jc w:val="both"/>
      </w:pPr>
      <w:r>
        <w:rPr>
          <w:i w:val="0"/>
        </w:rPr>
        <w:t>K1’in 5-b yanıtında ise katkı, belirli bir becerinin gelişimini adlandırmaktan çok fikir çeşitliliği, yardımlaşma ve ortak kararın süreci kolaylaştırması üzerinden anlatılmıştır:</w:t>
      </w:r>
    </w:p>
    <w:p>
      <w:pPr>
        <w:spacing w:line="288" w:lineRule="auto"/>
        <w:ind w:left="397" w:right="170"/>
      </w:pPr>
      <w:r>
        <w:rPr>
          <w:i/>
        </w:rPr>
        <w:t>“Bence katkı sağladı. Grup içerisinde farklı fikirlerin ortaya çıkması ve birlikte çözüm aramamız süreci kolaylaştırdı.”</w:t>
      </w:r>
      <w:r>
        <w:t xml:space="preserve"> (K1, Soru 5-b)</w:t>
      </w:r>
    </w:p>
    <w:p>
      <w:pPr>
        <w:jc w:val="both"/>
      </w:pPr>
      <w:r>
        <w:rPr>
          <w:i w:val="0"/>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pPr>
        <w:pStyle w:val="Heading2"/>
      </w:pPr>
      <w:r>
        <w:t>4.2.3. Doğal afetler teması ve proje tabanlı öğrenme sürecine ilişkin görüş ve öneriler</w:t>
      </w:r>
    </w:p>
    <w:p>
      <w:pPr>
        <w:pStyle w:val="Heading3"/>
      </w:pPr>
      <w:r>
        <w:t>4.2.3.1. Öğrenme deneyimleri ve olumlu değerlendirmeler</w:t>
      </w:r>
    </w:p>
    <w:p>
      <w:pPr>
        <w:keepNext/>
      </w:pPr>
      <w:r>
        <w:rPr>
          <w:b/>
          <w:sz w:val="22"/>
        </w:rPr>
        <w:t>Tablo 4.16. Öğrenme ve uygulamanın olumlu yönlerine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L01 — Afet konusunu öğrenmeye katkı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L02 — Kalıcı öğrenme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L03 — Araştırarak öğrenme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L04 — Uygulayarak ve ürünle öğrenme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L05 — Diğer grupların sunumlarından öğrenme</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L06 — Aktif katılım</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L07 — Öğretmenliğe hazırlık</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L08 — Pratik yapma fırsatı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spacing w:line="288" w:lineRule="auto"/>
        <w:ind w:left="397" w:right="170"/>
      </w:pPr>
      <w:r>
        <w:rPr>
          <w:i/>
        </w:rPr>
        <w:t>“Bu nedenle öğrenmenin kesinlikle daha kalıcı hâle geldiğini düşünüyorum.”</w:t>
      </w:r>
      <w:r>
        <w:t xml:space="preserve"> (K1, Soru 4)</w:t>
      </w:r>
    </w:p>
    <w:p>
      <w:pPr>
        <w:spacing w:line="288" w:lineRule="auto"/>
        <w:ind w:left="397" w:right="170"/>
      </w:pPr>
      <w:r>
        <w:rPr>
          <w:i/>
        </w:rPr>
        <w:t>“Burada kendimiz araştırma yaptığımız ve öğrendiğimiz bilgileri projede kullanmak zorunda olduğumuz için daha fazla aklımda kaldı.”</w:t>
      </w:r>
      <w:r>
        <w:t xml:space="preserve"> (K4, Soru 4)</w:t>
      </w:r>
    </w:p>
    <w:p>
      <w:pPr>
        <w:spacing w:line="288" w:lineRule="auto"/>
        <w:ind w:left="397" w:right="170"/>
      </w:pPr>
      <w:r>
        <w:rPr>
          <w:i/>
        </w:rPr>
        <w:t>“Böylece sadece kendi çalıştığımız afet konusunda değil, hemen hemen bütün doğal afetlerle ilgili fikir sahibi olduk.”</w:t>
      </w:r>
      <w:r>
        <w:t xml:space="preserve"> (K2, Soru 4)</w:t>
      </w:r>
    </w:p>
    <w:p>
      <w:pPr>
        <w:jc w:val="both"/>
      </w:pPr>
      <w:r>
        <w:rPr>
          <w:i w:val="0"/>
        </w:rPr>
        <w:t>K4 dinlemek yerine araştırma, tartışma ve ürün geliştirme yoluyla derse daha aktif katıldığını belirtmiştir. K1’in değerlendirmesinde ise pratik yapma fırsatı ve öğretmenliğe hazırlık öne çıkmaktadır:</w:t>
      </w:r>
    </w:p>
    <w:p>
      <w:pPr>
        <w:spacing w:line="288" w:lineRule="auto"/>
        <w:ind w:left="397" w:right="170"/>
      </w:pPr>
      <w:r>
        <w:rPr>
          <w:i/>
        </w:rPr>
        <w:t>“Öğretmenliğe hazırlayan bir öğretim yöntemi olduğunu düşünüyorum.”</w:t>
      </w:r>
      <w:r>
        <w:t xml:space="preserve"> (K1, Soru 6)</w:t>
      </w:r>
    </w:p>
    <w:p>
      <w:pPr>
        <w:jc w:val="both"/>
      </w:pPr>
      <w:r>
        <w:rPr>
          <w:i w:val="0"/>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3"/>
      </w:pPr>
      <w:r>
        <w:t>4.2.3.2. Süreçte yaşanan güçlükler</w:t>
      </w:r>
    </w:p>
    <w:p>
      <w:pPr>
        <w:keepNext/>
      </w:pPr>
      <w:r>
        <w:rPr>
          <w:b/>
          <w:sz w:val="22"/>
        </w:rPr>
        <w:t>Tablo 4.17. Uygulama sürecinin güçlüklerine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L09 — Yoruculuk ve güçlük</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K3</w:t>
            </w:r>
          </w:p>
        </w:tc>
      </w:tr>
      <w:tr>
        <w:trPr>
          <w:cantSplit/>
        </w:trPr>
        <w:tc>
          <w:tcPr>
            <w:tcW w:type="dxa" w:w="6293"/>
          </w:tcPr>
          <w:p>
            <w:pPr>
              <w:spacing w:line="252" w:lineRule="auto" w:after="80" w:before="40"/>
            </w:pPr>
            <w:r>
              <w:rPr>
                <w:rFonts w:ascii="Times New Roman" w:hAnsi="Times New Roman"/>
                <w:sz w:val="20"/>
              </w:rPr>
              <w:t>L10 — Maddi maliyet ve olanak kısıtı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K2, K4</w:t>
            </w:r>
          </w:p>
        </w:tc>
      </w:tr>
      <w:tr>
        <w:trPr>
          <w:cantSplit/>
        </w:trPr>
        <w:tc>
          <w:tcPr>
            <w:tcW w:type="dxa" w:w="6293"/>
          </w:tcPr>
          <w:p>
            <w:pPr>
              <w:spacing w:line="252" w:lineRule="auto" w:after="80" w:before="40"/>
            </w:pPr>
            <w:r>
              <w:rPr>
                <w:rFonts w:ascii="Times New Roman" w:hAnsi="Times New Roman"/>
                <w:sz w:val="20"/>
              </w:rPr>
              <w:t>L11 — Uzun sürme ve zaman yükü</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L12 — Bekleme ve zaman kaybı</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K3</w:t>
            </w:r>
          </w:p>
        </w:tc>
      </w:tr>
      <w:tr>
        <w:trPr>
          <w:cantSplit/>
        </w:trPr>
        <w:tc>
          <w:tcPr>
            <w:tcW w:type="dxa" w:w="6293"/>
          </w:tcPr>
          <w:p>
            <w:pPr>
              <w:spacing w:line="252" w:lineRule="auto" w:after="80" w:before="40"/>
            </w:pPr>
            <w:r>
              <w:rPr>
                <w:rFonts w:ascii="Times New Roman" w:hAnsi="Times New Roman"/>
                <w:sz w:val="20"/>
              </w:rPr>
              <w:t>L13 — Serbest zamanın verimsiz kullanılması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L14 — Grupların farklı hızlarda ilerlemesi</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spacing w:line="288" w:lineRule="auto"/>
        <w:ind w:left="397" w:right="170"/>
      </w:pPr>
      <w:r>
        <w:rPr>
          <w:i/>
        </w:rPr>
        <w:t>“Ayrıca hazırlanan projeler ekonomik açıdan bizim için maliyetli olabiliyor.”</w:t>
      </w:r>
      <w:r>
        <w:t xml:space="preserve"> (K1, Soru 6)</w:t>
      </w:r>
    </w:p>
    <w:p>
      <w:pPr>
        <w:spacing w:line="288" w:lineRule="auto"/>
        <w:ind w:left="397" w:right="170"/>
      </w:pPr>
      <w:r>
        <w:rPr>
          <w:i/>
        </w:rPr>
        <w:t>“Olumsuz yönü ise sürecin zaman zaman zor ve yorucu olmasıydı.”</w:t>
      </w:r>
      <w:r>
        <w:t xml:space="preserve"> (K3, Soru 6)</w:t>
      </w:r>
    </w:p>
    <w:p>
      <w:pPr>
        <w:spacing w:line="288" w:lineRule="auto"/>
        <w:ind w:left="397" w:right="170"/>
      </w:pPr>
      <w:r>
        <w:rPr>
          <w:i/>
        </w:rPr>
        <w:t>“Özellikle tasarım ve uygulama aşaması düşündüğümüzden daha uzun sürdü.”</w:t>
      </w:r>
      <w:r>
        <w:t xml:space="preserve"> (K4, Soru 6)</w:t>
      </w:r>
    </w:p>
    <w:p>
      <w:pPr>
        <w:spacing w:line="288" w:lineRule="auto"/>
        <w:ind w:left="397" w:right="170"/>
      </w:pPr>
      <w:r>
        <w:rPr>
          <w:i/>
        </w:rPr>
        <w:t>“Onların geride kalması bazen bizim de beklememize ve sürecimizin gecikmesine neden oldu.”</w:t>
      </w:r>
      <w:r>
        <w:t xml:space="preserve"> (K2, Soru 6)</w:t>
      </w:r>
    </w:p>
    <w:p>
      <w:pPr>
        <w:jc w:val="both"/>
      </w:pPr>
      <w:r>
        <w:rPr>
          <w:i w:val="0"/>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3"/>
      </w:pPr>
      <w:r>
        <w:t>4.2.3.3. Öğretim sürecini düzenlemeye yönelik öneriler</w:t>
      </w:r>
    </w:p>
    <w:p>
      <w:pPr>
        <w:keepNext/>
      </w:pPr>
      <w:r>
        <w:rPr>
          <w:b/>
          <w:sz w:val="22"/>
        </w:rPr>
        <w:t>Tablo 4.18. Öğretim sürecine ilişkin düzenleme önerileri</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R01 — Daha fazla süre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R02 — Serbest zamanı planlama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R03 — Problem belirlemede yönlendirme</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R04 — Başlangıç örneklerini artırma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R05 — Bütçe ve malzeme desteği</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R06 — Bekleme sürelerini azaltma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r>
        <w:trPr>
          <w:cantSplit/>
        </w:trPr>
        <w:tc>
          <w:tcPr>
            <w:tcW w:type="dxa" w:w="6293"/>
          </w:tcPr>
          <w:p>
            <w:pPr>
              <w:spacing w:line="252" w:lineRule="auto" w:after="80" w:before="40"/>
            </w:pPr>
            <w:r>
              <w:rPr>
                <w:rFonts w:ascii="Times New Roman" w:hAnsi="Times New Roman"/>
                <w:sz w:val="20"/>
              </w:rPr>
              <w:t>R07 — Aşamaya uygun farklı görevler</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R08 — Küçük grup büyüklüğü</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R09 — Özerk problem seçimini koruma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spacing w:line="288" w:lineRule="auto"/>
        <w:ind w:left="397" w:right="170"/>
      </w:pPr>
      <w:r>
        <w:rPr>
          <w:i/>
        </w:rPr>
        <w:t>“Bu nedenle verilen zamanın daha planlı ve verimli kullanılmasını sağlayacak bir düzenleme yapılabilir.”</w:t>
      </w:r>
      <w:r>
        <w:t xml:space="preserve"> (K1, Soru 7)</w:t>
      </w:r>
    </w:p>
    <w:p>
      <w:pPr>
        <w:spacing w:line="288" w:lineRule="auto"/>
        <w:ind w:left="397" w:right="170"/>
      </w:pPr>
      <w:r>
        <w:rPr>
          <w:i/>
        </w:rPr>
        <w:t>“Bu nedenle proje sürecinde kullanılabilecek malzemeler veya bütçe konusunda da bazı düzenlemeler yapılabilir.”</w:t>
      </w:r>
      <w:r>
        <w:t xml:space="preserve"> (K2, Soru 7)</w:t>
      </w:r>
    </w:p>
    <w:p>
      <w:pPr>
        <w:spacing w:line="288" w:lineRule="auto"/>
        <w:ind w:left="397" w:right="170"/>
      </w:pPr>
      <w:r>
        <w:rPr>
          <w:i/>
        </w:rPr>
        <w:t>“Direkt problem verilmesini istemezdim çünkü o zaman çalışmanın amacı değişirdi ama nasıl bir problemin proje için uygun olduğu konusunda birkaç farklı örnek görmek işimizi kolaylaştırabilirdi.”</w:t>
      </w:r>
      <w:r>
        <w:t xml:space="preserve"> (K4, Soru 7)</w:t>
      </w:r>
    </w:p>
    <w:p>
      <w:pPr>
        <w:spacing w:line="288" w:lineRule="auto"/>
        <w:ind w:left="397" w:right="170"/>
      </w:pPr>
      <w:r>
        <w:rPr>
          <w:i/>
        </w:rPr>
        <w:t>“Ders içinde gruplara aşamalarına göre farklı görevler verilmesi süreci daha verimli hale getirebilirdi.”</w:t>
      </w:r>
      <w:r>
        <w:t xml:space="preserve"> (K4, Soru 7)</w:t>
      </w:r>
    </w:p>
    <w:p>
      <w:pPr>
        <w:jc w:val="both"/>
      </w:pPr>
      <w:r>
        <w:rPr>
          <w:i w:val="0"/>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pPr>
        <w:pStyle w:val="Heading2"/>
      </w:pPr>
      <w:r>
        <w:t>4.2.4. Nitel bulguların genel değerlendirilmesi</w:t>
      </w:r>
    </w:p>
    <w:p>
      <w:pPr>
        <w:jc w:val="both"/>
      </w:pPr>
      <w:r>
        <w:rPr>
          <w:i w:val="0"/>
        </w:rPr>
        <w:t>Nitel bulgular, görüşülen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jc w:val="both"/>
      </w:pPr>
      <w:r>
        <w:rPr>
          <w:i w:val="0"/>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jc w:val="both"/>
      </w:pPr>
      <w:r>
        <w:rPr>
          <w:i w:val="0"/>
        </w:rPr>
        <w:t>Nitel verilerde iletişime ilişkin olumlu deneyimlerin anlatılması, nicel iletişim ölçeğinde istatistiksel olarak anlamlı fark saptanmamış olması sonucunu ortadan kaldırmamaktadır. Görüşmelerin betimlediği deneyimler ile ölçeklerin değerlendirdiği puan değişimi farklı bilgi sağlamaktadır. Bu bulguların birbirini hangi yönlerden tamamladığı, sonuç ve tartışma bölümünde araştırmanın deseni ve sınırlılıkları gözetilerek birlikte ele alınmalıdır.</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