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s="Times New Roman" w:eastAsia="Times New Roman"/>
          <w:b/>
          <w:sz w:val="30"/>
        </w:rPr>
        <w:t>SES KAYDI SONRASI DÜZENLEMELER — KONTROL LİSTESİ</w:t>
      </w:r>
    </w:p>
    <w:p>
      <w:r>
        <w:t>Gökhan Kaya — 26 Ekim 2026</w:t>
      </w:r>
    </w:p>
    <w:p>
      <w:r>
        <w:t>Kapsam: Son danışman PDF’siyle bağlantılı 26 Ekim tarihli ses kaydı ve kullanıcının “tablolar için önce rapor, diğer talepleri uygula; SPSS kararı beklesin” yönlendirmesi. Bu kayıt önceki taleplerin devamı olarak değerlendirildi; yapılmış işlemler yeniden yapılmış gibi sunulmadı.</w:t>
      </w:r>
    </w:p>
    <w:p>
      <w:pPr>
        <w:keepNext/>
      </w:pPr>
      <w:r>
        <w:rPr>
          <w:rFonts w:ascii="Times New Roman" w:hAnsi="Times New Roman" w:cs="Times New Roman" w:eastAsia="Times New Roman"/>
          <w:b/>
          <w:sz w:val="24"/>
        </w:rPr>
        <w:t>Yöntemi sade anlatma — Uygulandı</w:t>
      </w:r>
    </w:p>
    <w:p>
      <w:r>
        <w:t>Önceki durum: Son PDF sonrasında tek gruplu desen ve tamamlayıcı görüşmeler zaten yazılmıştı.</w:t>
      </w:r>
    </w:p>
    <w:p>
      <w:r>
        <w:t>Bu turda: 3.1’de yinelenen takvim açıklaması kaldırıldı; takvim 3.4 ve şemalarda korundu. Giriş/amaç ve yöntem tekrarları azaltıldı. Ölçek ve görüşme bulgularına açıklayıcı başlıklar verildi.</w:t>
      </w:r>
    </w:p>
    <w:p>
      <w:pPr>
        <w:keepNext/>
      </w:pPr>
      <w:r>
        <w:rPr>
          <w:rFonts w:ascii="Times New Roman" w:hAnsi="Times New Roman" w:cs="Times New Roman" w:eastAsia="Times New Roman"/>
          <w:b/>
          <w:sz w:val="24"/>
        </w:rPr>
        <w:t>Görüşmelerin analiz açıklaması — Uygulandı</w:t>
      </w:r>
    </w:p>
    <w:p>
      <w:r>
        <w:t>Önceki durum: İçerik analizi, kod/tema ve alıntı açıklaması vardı; bazı cümleler aynı işlemi yineliyordu.</w:t>
      </w:r>
    </w:p>
    <w:p>
      <w:r>
        <w:t>Bu turda: 3.5’te döküm, okuma, kodlama, benzer kodları gruplama, farklı anlamları ayırma ve alıntıyla açıklama sırası yazıldı. f’nin farklı katılımcı sayısı olduğu belirtildi. Danışmanın yalnız bir görüşmeye ait notlarının kapsamı doğru açıklandı.</w:t>
      </w:r>
    </w:p>
    <w:p>
      <w:pPr>
        <w:keepNext/>
      </w:pPr>
      <w:r>
        <w:rPr>
          <w:rFonts w:ascii="Times New Roman" w:hAnsi="Times New Roman" w:cs="Times New Roman" w:eastAsia="Times New Roman"/>
          <w:b/>
          <w:sz w:val="24"/>
        </w:rPr>
        <w:t>Tabloları alışılmış düzende sunma — İnceleme ve örnek tamam; ana tablo değişikliği uygulanmadı</w:t>
      </w:r>
    </w:p>
    <w:p>
      <w:r>
        <w:t>Önceki durum: Tablo 4.5 ve 4.10 yan yana ön–son sütunlu ve 8 puntoydu.</w:t>
      </w:r>
    </w:p>
    <w:p>
      <w:r>
        <w:t>Bu turda: Üç özgün danışman tezi incelendi. Karşılaştırma raporu ve aynı sayılarla iki alternatif örnek tablo hazırlandı. Ana tezdeki tablolar bu aşamada korunmuştur.</w:t>
      </w:r>
    </w:p>
    <w:p>
      <w:pPr>
        <w:keepNext/>
      </w:pPr>
      <w:r>
        <w:rPr>
          <w:rFonts w:ascii="Times New Roman" w:hAnsi="Times New Roman" w:cs="Times New Roman" w:eastAsia="Times New Roman"/>
          <w:b/>
          <w:sz w:val="24"/>
        </w:rPr>
        <w:t>Literatürde kaynak dengesini düzeltme — Uygulandı</w:t>
      </w:r>
    </w:p>
    <w:p>
      <w:r>
        <w:t>Önceki durum: Önceki turda proje tabanlı öğrenme ve resmî çerçeve kaynakları güçlendirilmişti.</w:t>
      </w:r>
    </w:p>
    <w:p>
      <w:r>
        <w:t>Bu turda: Girişte kaynaklarla bağ kuruldu. Problem çözme bölümüne Weiyi vd. (2025), iletişime Amin vd. (2022) eklendi. İlgili çalışmalar bölümüne iletişim araştırması alındı. İki kaynak tam metinlerden kontrol edilerek kaynakçaya ve tıklanabilir DOI bağlantılarıyla işlendi.</w:t>
      </w:r>
    </w:p>
    <w:p>
      <w:pPr>
        <w:keepNext/>
      </w:pPr>
      <w:r>
        <w:rPr>
          <w:rFonts w:ascii="Times New Roman" w:hAnsi="Times New Roman" w:cs="Times New Roman" w:eastAsia="Times New Roman"/>
          <w:b/>
          <w:sz w:val="24"/>
        </w:rPr>
        <w:t>Araştırma sorularını sadeleştirme — Önceden uygulanmış; yeniden kontrol edildi</w:t>
      </w:r>
    </w:p>
    <w:p>
      <w:r>
        <w:t>Önceki durum: Danışmanın PDF’de istediği üç alt problem son sürümde zaten vardı.</w:t>
      </w:r>
    </w:p>
    <w:p>
      <w:r>
        <w:t>Bu turda: Ana soru ve üç alt problemin kapsamı değiştirilmeden korundu. “Anlamlı fark var mı” veya alt boyutlar için ek sorular üretilmedi. Amaç, yöntem ve bulgu başlangıcı bu üç soruyla uyumlu kontrol edildi.</w:t>
      </w:r>
    </w:p>
    <w:p>
      <w:pPr>
        <w:keepNext/>
      </w:pPr>
      <w:r>
        <w:rPr>
          <w:rFonts w:ascii="Times New Roman" w:hAnsi="Times New Roman" w:cs="Times New Roman" w:eastAsia="Times New Roman"/>
          <w:b/>
          <w:sz w:val="24"/>
        </w:rPr>
        <w:t>SPSS/Python kararı — Bekliyor — kullanıcı/danışman kararı</w:t>
      </w:r>
    </w:p>
    <w:p>
      <w:r>
        <w:t>Önceki durum: Yeni PDF ve ses kaydında danışmanın açık SPSS talebi var. Kullanıcı kararı bekleniyor.</w:t>
      </w:r>
    </w:p>
    <w:p>
      <w:r>
        <w:t>Bu turda: Analiz yazılımı gerçekte kullanılan Python olarak korundu. SPSS kullanıldığı yazılmadı, sonuçları varmış gibi gösterilmedi. Yeni sayısal analiz yapılmadı.</w:t>
      </w:r>
    </w:p>
    <w:p>
      <w:pPr>
        <w:keepNext/>
      </w:pPr>
      <w:r>
        <w:rPr>
          <w:rFonts w:ascii="Times New Roman" w:hAnsi="Times New Roman" w:cs="Times New Roman" w:eastAsia="Times New Roman"/>
          <w:b/>
          <w:sz w:val="24"/>
        </w:rPr>
        <w:t>Korunan veriler ve sınırlar</w:t>
      </w:r>
    </w:p>
    <w:p>
      <w:r>
        <w:t>40 kişilik ortak analiz grubu, 33 kadın/7 erkek dağılımı, ölçek puanları, güvenirlik katsayıları, t testleri, normallik/ek kontrol sonuçları, 32 fiziksel tablo, sekiz şekil, 30 doğrudan katılımcı alıntısı ve 53 kodun içerikleri önceki güncel dosyayla karşılaştırılarak korunmuştur. İletişim için p=,098; problem çözme toplamı için p=,023 sonucu değişmemiştir. Tablo raporundaki örnekler de aynı değerleri taşımaktadır.</w:t>
      </w:r>
    </w:p>
    <w:p>
      <w:r>
        <w:t>Kaynakça 17 kayıttan 19 kayda çıktı. Bu turda eklenen iki yayının özgün tam metinleri okundu; diğer kaynakların tümünün yeniden tam metin kontrolünden geçirildiği iddia edilmemektedir. PÇBÖ puanlama anahtarı bu turda bağımsız olarak yeniden doğrulanmadı. Yeni benzerlik raporu alınmadı; oran güvencesi verilemez. Word dosyası LibreOffice ile PDF’ye dönüştürülmüştür; gerçek Microsoft Word uygulamasında açılış testi yapılmamıştır.</w:t>
      </w:r>
    </w:p>
    <w:p>
      <w:r>
        <w:t>Önceki dosyalar tarihî sürümdür. Bu turdaki ana tez “GOKHAN-KAYA-TEZ-SESKAYDI-GUNCEL-26-10-2026” dosyasıdır. Tablo raporundaki görünüm değişiklikleri ana teze aktarılmış değildir; raporla birlikte incelenmelidir.</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