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Danışmanın talepleri ve yapılan düzenlemeler</w:t>
      </w:r>
    </w:p>
    <w:p>
      <w:r>
        <w:t>26 Ekim 2026 • İki danışman PDF’si, paylaşılan kılavuz ve araştırmacının doğrulamaları esas alınmıştır.</w:t>
      </w:r>
    </w:p>
    <w:p>
      <w:r>
        <w:t>SPSS’e geçiş, araştırmacının açık talebiyle bekletilmiştir. Bunun dışındaki metin, kaynak, desen, takvim ve biçim düzenlemeleri uygulanmıştır. Bu dosya danışman incelemesi için hazırlanan sürümün kontrol özetidir; benzerlik taraması veya enstitü teslim onayı değildir.</w:t>
      </w:r>
    </w:p>
    <w:p>
      <w:pPr>
        <w:pStyle w:val="Heading2"/>
      </w:pPr>
      <w:r>
        <w:t>☑ İki PDF’nin bütün notlarını birlikte ele alma</w:t>
      </w:r>
    </w:p>
    <w:p>
      <w:r>
        <w:t>111 işaret/not tek envanterde izlendi; önceki 60 not ile eklenen 51 işaret ayrıldı. Durum: Tamamlandı.</w:t>
      </w:r>
    </w:p>
    <w:p>
      <w:pPr>
        <w:pStyle w:val="Heading2"/>
      </w:pPr>
      <w:r>
        <w:t>☑ Ortak katılımcı sayıları</w:t>
      </w:r>
    </w:p>
    <w:p>
      <w:r>
        <w:t>İki ölçeğin ön/son testinde aynı 40 kişi; araştırmacı teyidiyle 33 kadın ve 7 erkek. Durum: Tamamlandı.</w:t>
      </w:r>
    </w:p>
    <w:p>
      <w:pPr>
        <w:pStyle w:val="Heading2"/>
      </w:pPr>
      <w:r>
        <w:t>☑ Nicel bulgu–sonuç uyumu</w:t>
      </w:r>
    </w:p>
    <w:p>
      <w:r>
        <w:t>PÇBÖ p=.023; iletişim p=.098. Anlamlı olmayan iletişim sonucu korundu. t testleri, ham veriler ve puanlama değiştirilmedi. Durum: Tamamlandı.</w:t>
      </w:r>
    </w:p>
    <w:p>
      <w:pPr>
        <w:pStyle w:val="Heading2"/>
      </w:pPr>
      <w:r>
        <w:t>☑ Güvenirlik değerleri</w:t>
      </w:r>
    </w:p>
    <w:p>
      <w:r>
        <w:t>Mevcut ortak-40 analizindeki ön/son alfa değerleri ayrı raporlandı: PÇBÖ .917/.904; İBDÖ .864/.865. İlgili yöntem ve bulgu tabloları eşlendi. Durum: Tamamlandı.</w:t>
      </w:r>
    </w:p>
    <w:p>
      <w:pPr>
        <w:pStyle w:val="Heading2"/>
      </w:pPr>
      <w:r>
        <w:t>☑ Literatürde kaynak ve iddia uyumu</w:t>
      </w:r>
    </w:p>
    <w:p>
      <w:r>
        <w:t>MEB 2018/2025, OECD 2018, Guo 2020, Zhang ve Ma 2023, Bilgin vd. 2015 gibi ilgili kaynaklarla metin yeniden kuruldu. Durum: Tamamlandı.</w:t>
      </w:r>
    </w:p>
    <w:p>
      <w:pPr>
        <w:pStyle w:val="Heading2"/>
      </w:pPr>
      <w:r>
        <w:t>☑ Yeni resmî program</w:t>
      </w:r>
    </w:p>
    <w:p>
      <w:r>
        <w:t>Erişilen ortak metnin kapağındaki 2025 yılı esas alındı; okunmayan 2024 sürümüne içerik atfedilmedi. Durum: Tamamlandı.</w:t>
      </w:r>
    </w:p>
    <w:p>
      <w:pPr>
        <w:pStyle w:val="Heading2"/>
      </w:pPr>
      <w:r>
        <w:t>☑ Kaynaksız/ilgisiz içerik</w:t>
      </w:r>
    </w:p>
    <w:p>
      <w:r>
        <w:t>Doğrulanamayan tez özetleri ve kaynaksız PISA/UNESCO genellemeleri çıkarıldı; ilgili bulunmayan dijital hikâye/animasyon örnekleri çıkarıldı. Durum: Tamamlandı.</w:t>
      </w:r>
    </w:p>
    <w:p>
      <w:pPr>
        <w:pStyle w:val="Heading2"/>
      </w:pPr>
      <w:r>
        <w:t>☑ Literatürde kuramsal akış</w:t>
      </w:r>
    </w:p>
    <w:p>
      <w:r>
        <w:t>Kendi çalışmasının veri kapsamını tekrarlayan paragraflar ve eski kapsam tablosu çıkarıldı. Durum: Tamamlandı.</w:t>
      </w:r>
    </w:p>
    <w:p>
      <w:pPr>
        <w:pStyle w:val="Heading2"/>
      </w:pPr>
      <w:r>
        <w:t>☑ Araştırma deseni</w:t>
      </w:r>
    </w:p>
    <w:p>
      <w:r>
        <w:t>Tek gruplu ön test–son test deseni; dört görüşme süreci açıklayan tamamlayıcı bulgular. Özet, yöntem, şema ve yorumlar uyumlandırıldı. Durum: Tamamlandı.</w:t>
      </w:r>
    </w:p>
    <w:p>
      <w:pPr>
        <w:pStyle w:val="Heading2"/>
      </w:pPr>
      <w:r>
        <w:t>☑ Ön test zamanlaması</w:t>
      </w:r>
    </w:p>
    <w:p>
      <w:r>
        <w:t>Kullanıcının doğruladığı ilk ders/kısa bilgilendirme/konu öğretimi öncesi sırası yöntem, uygulama, sınırlılık ve şemalara işlendi. Durum: Tamamlandı.</w:t>
      </w:r>
    </w:p>
    <w:p>
      <w:pPr>
        <w:pStyle w:val="Heading2"/>
      </w:pPr>
      <w:r>
        <w:t>☑ Akış şemasının yeri</w:t>
      </w:r>
    </w:p>
    <w:p>
      <w:r>
        <w:t>Model bölümündeki şema uygulama sürecine taşındı; iki şema yeni desen ve takvimle yeniden çizildi. Durum: Tamamlandı.</w:t>
      </w:r>
    </w:p>
    <w:p>
      <w:pPr>
        <w:pStyle w:val="Heading2"/>
      </w:pPr>
      <w:r>
        <w:t>☑ Görüşme formu ve uzman</w:t>
      </w:r>
    </w:p>
    <w:p>
      <w:r>
        <w:t>Danışman kimliği ve uzmanlık açıklaması eklendi. Drive taslağı/son form/sunu karşılaştırıldı; yedi ana soru ve revizyon süreci açıklandı. Durum: Tamamlandı.</w:t>
      </w:r>
    </w:p>
    <w:p>
      <w:pPr>
        <w:pStyle w:val="Heading2"/>
      </w:pPr>
      <w:r>
        <w:t>☑ Yöntemin dili</w:t>
      </w:r>
    </w:p>
    <w:p>
      <w:r>
        <w:t>Verilerin Analizi tek başlıkta sadeleştirildi; 11/44/140 teknik sayım anlatımı çıkarıldı. K1–K4 kodları açıklandı. Durum: Tamamlandı.</w:t>
      </w:r>
    </w:p>
    <w:p>
      <w:pPr>
        <w:pStyle w:val="Heading2"/>
      </w:pPr>
      <w:r>
        <w:t>☑ Kaynakça ve yöntem dayanakları</w:t>
      </w:r>
    </w:p>
    <w:p>
      <w:r>
        <w:t>Metin içi atıflar eşlendi, ilgili yeni kayıtlar eklendi; içerik analizi ve etki büyüklüğü için yöntem kaynakları eklendi; bağlantılar tıklanabilir yapıldı. Durum: Tamamlandı.</w:t>
      </w:r>
    </w:p>
    <w:p>
      <w:pPr>
        <w:pStyle w:val="Heading2"/>
      </w:pPr>
      <w:r>
        <w:t>☑ Kılavuza göre ana biçim</w:t>
      </w:r>
    </w:p>
    <w:p>
      <w:r>
        <w:t>A4; sol 3 cm, diğer kenarlar 2,5 cm; ana metin Times New Roman 12 ve 1,5 satır; paragraf, tablo ve şekil düzeni güncellendi. Durum: Tamamlandı.</w:t>
      </w:r>
    </w:p>
    <w:p>
      <w:pPr>
        <w:pStyle w:val="Heading2"/>
      </w:pPr>
      <w:r>
        <w:t>☑ Numaralar ve dizinler</w:t>
      </w:r>
    </w:p>
    <w:p>
      <w:r>
        <w:t>Ön sayfalarda küçük Romen; ana metinde sağ üst numara, bölüm ilk sayfaları numarasız. İçindekiler/tablo/şekil başvuruları PDF ile eşlendi. Durum: Tamamlandı.</w:t>
      </w:r>
    </w:p>
    <w:p>
      <w:pPr>
        <w:pStyle w:val="Heading2"/>
      </w:pPr>
      <w:r>
        <w:t>☑ Tablo ve şekiller</w:t>
      </w:r>
    </w:p>
    <w:p>
      <w:r>
        <w:t>22 numaralı tablo ve eklerdeki kod kitabı tabloları; sekiz görsel korundu/güncellendi. Uzun kod kitabı ayrı devam tablolarına bölündü. Durum: Tamamlandı.</w:t>
      </w:r>
    </w:p>
    <w:p>
      <w:pPr>
        <w:pStyle w:val="Heading2"/>
      </w:pPr>
      <w:r>
        <w:t>☑ Python için Türkiye’den emsal</w:t>
      </w:r>
    </w:p>
    <w:p>
      <w:r>
        <w:t>YÖK’ten iki eğitim konulu yüksek lisans örneği dahil beş kayıt ve Yıldız Teknik Üniversitesi resmî programı ayrı Word/PDF dosyalarına tıklanabilir bağlantılarla eklendi. Durum: Tamamlandı.</w:t>
      </w:r>
    </w:p>
    <w:p>
      <w:pPr>
        <w:pStyle w:val="Heading2"/>
      </w:pPr>
      <w:r>
        <w:t>☐ SPSS’e geçiş</w:t>
      </w:r>
    </w:p>
    <w:p>
      <w:r>
        <w:t>Kullanıcının talebiyle bekletildi. Analiz SPSS’te yapılmış gibi yazılmadı. Durum: Bekletildi — kullanıcı kararı.</w:t>
      </w:r>
    </w:p>
    <w:p>
      <w:pPr>
        <w:pStyle w:val="Heading2"/>
      </w:pPr>
      <w:r>
        <w:t>☑ Son dosya kontrolleri</w:t>
      </w:r>
    </w:p>
    <w:p>
      <w:r>
        <w:t>Word/PDF, sayı ve tablo korunumu, bağlantılar ve görünüm kontrolü ayrı doğrulama kaydında özetlendi. Durum: Kontrol kaydına bakınız.</w:t>
      </w:r>
    </w:p>
    <w:p>
      <w:pPr>
        <w:pStyle w:val="Heading1"/>
      </w:pPr>
      <w:r>
        <w:t>İndirilecek dosyalar</w:t>
      </w:r>
    </w:p>
    <w:p>
      <w:hyperlink r:id="rId9">
        <w:r>
          <w:t>GOKHAN-KAYA-TEZ-GUNCEL-26-10-2026.docx</w:t>
        </w:r>
      </w:hyperlink>
    </w:p>
    <w:p>
      <w:hyperlink r:id="rId10">
        <w:r>
          <w:t>GOKHAN-KAYA-TEZ-GUNCEL-26-10-2026.pdf</w:t>
        </w:r>
      </w:hyperlink>
    </w:p>
    <w:p>
      <w:hyperlink r:id="rId11">
        <w:r>
          <w:t>HOCAYA-SUNULACAK-PYTHON-BILGI-NOTU.pdf</w:t>
        </w:r>
      </w:hyperlink>
    </w:p>
    <w:p>
      <w:hyperlink r:id="rId12">
        <w:r>
          <w:t>PYTHON-SAVUNMA-VE-GORUSME-REHBERI.pdf</w:t>
        </w:r>
      </w:hyperlink>
    </w:p>
    <w:p>
      <w:hyperlink r:id="rId13">
        <w:r>
          <w:t>DANISMAN-KONTROL-LISTESI.xlsx</w:t>
        </w:r>
      </w:hyperlink>
    </w:p>
    <w:p>
      <w:pPr>
        <w:pStyle w:val="Heading1"/>
      </w:pPr>
      <w:r>
        <w:t>Teslimden önce araştırmacının tamamlayacağı belgeler</w:t>
      </w:r>
    </w:p>
    <w:p>
      <w:r>
        <w:t>Etik kurul/uygulama izinleri, katılımcı onamı ve ölçek kullanım izinleri; gerçek uygulama ürünleri ve gerekli ekler; enstitünün onay/teslim sayfaları, imzalar ve son tarih bilgileri gerçek belgeler üzerinden kontrol edilmelidir. Bunların var olduğu, onaylandığı veya bu turda tamamlandığı ileri sürülmemiştir.</w:t>
      </w:r>
    </w:p>
    <w:p>
      <w:r>
        <w:t>Ölçek puanlaması bu turda değiştirilmemiştir. Kaynak kontrolünün düzeyi Excel’de kaynak bazında belirtilmiştir. Benzerlik yazılımında yeni tarama yapılmadığından önceki %19 oranının korunduğu veya belirli bir sınırın altında kalacağı garanti edilmemektedir.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gokhantechnology-lab/tez-analiz/raw/refs/heads/main/tez-calisma-ciktilari-2026-10-20/danisman-duzeltmeleri-2026-10-26/GOKHAN-KAYA-TEZ-GUNCEL-26-10-2026.docx" TargetMode="External"/><Relationship Id="rId10" Type="http://schemas.openxmlformats.org/officeDocument/2006/relationships/hyperlink" Target="https://github.com/gokhantechnology-lab/tez-analiz/raw/refs/heads/main/tez-calisma-ciktilari-2026-10-20/danisman-duzeltmeleri-2026-10-26/GOKHAN-KAYA-TEZ-GUNCEL-26-10-2026.pdf" TargetMode="External"/><Relationship Id="rId11" Type="http://schemas.openxmlformats.org/officeDocument/2006/relationships/hyperlink" Target="https://github.com/gokhantechnology-lab/tez-analiz/raw/refs/heads/main/tez-calisma-ciktilari-2026-10-20/danisman-duzeltmeleri-2026-10-26/HOCAYA-SUNULACAK-PYTHON-BILGI-NOTU.pdf" TargetMode="External"/><Relationship Id="rId12" Type="http://schemas.openxmlformats.org/officeDocument/2006/relationships/hyperlink" Target="https://github.com/gokhantechnology-lab/tez-analiz/raw/refs/heads/main/tez-calisma-ciktilari-2026-10-20/danisman-duzeltmeleri-2026-10-26/PYTHON-SAVUNMA-VE-GORUSME-REHBERI.pdf" TargetMode="External"/><Relationship Id="rId13" Type="http://schemas.openxmlformats.org/officeDocument/2006/relationships/hyperlink" Target="https://github.com/gokhantechnology-lab/tez-analiz/raw/refs/heads/main/tez-calisma-ciktilari-2026-10-20/danisman-duzeltmeleri-2026-10-26/DANISMAN-KONTROL-LISTESI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