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Görüşme belgeleri: kapsam ve ön inceleme</w:t>
      </w:r>
    </w:p>
    <w:p>
      <w:r>
        <w:t>Bu belge tamamlanmış nitel bulgular bölümü değildir. Dört katılımcının yüklenen metinlerini tanımlar. Kullanıcı görüşme sayısının dört olduğunu, katılımcıların rastgele seçildiğini, görüşmelerin çalışma bitiminde ve nicel analizler görüldükten sonra yapıldığını teyit etti. Metinlerin kayıtlarla birebir örtüşüp örtüşmediği henüz teyit edilmedi. Katılımcılar dosyadaki sırayla K1–K4 olarak kodlanmıştır; bu sıra başarı düzeyi veya ölçek puanı göstermez.</w:t>
      </w:r>
    </w:p>
    <w:p>
      <w:pPr>
        <w:pStyle w:val="Heading1"/>
      </w:pPr>
      <w:r>
        <w:t>Belge kapsamı</w:t>
      </w:r>
    </w:p>
    <w:p>
      <w:r>
        <w:t>Güncel görüşme formunda 7 ana soru ve alt sorularla birlikte 11 yanıt başlığı vardır. Yanıt dosyasında dört katılımcının her biri bu 11 başlığa yanıt vermektedir: toplam 44 soru–katılımcı birimi. Bu sayı, kod sıklığı veya bağımsız 44 katılımcı anlamına gelmez. Kullanıcı gerçekleşen görüşme sayısının dört olduğunu teyit etti; tezdeki altı kişi ve puan düzeyine göre seçim ifadeleri düzeltilmelidir.</w:t>
      </w:r>
    </w:p>
    <w:p>
      <w:pPr>
        <w:pStyle w:val="Heading1"/>
      </w:pPr>
      <w:r>
        <w:t>Araştırma sorularıyla ilişki</w:t>
      </w:r>
    </w:p>
    <w:p>
      <w:pPr>
        <w:pStyle w:val="ListBullet"/>
      </w:pPr>
      <w:r>
        <w:t>Problem çözme deneyimi: 1a,1b,3a,3b ve 5a.</w:t>
      </w:r>
    </w:p>
    <w:p>
      <w:pPr>
        <w:pStyle w:val="ListBullet"/>
      </w:pPr>
      <w:r>
        <w:t>İletişim deneyimi: 2a,2b,5b; 1b ve 3b yardımcı bağlam sunar.</w:t>
      </w:r>
    </w:p>
    <w:p>
      <w:pPr>
        <w:pStyle w:val="ListBullet"/>
      </w:pPr>
      <w:r>
        <w:t>Afet teması ve sürece ilişkin değerlendirmeler: 4,6,7.</w:t>
      </w:r>
    </w:p>
    <w:p>
      <w:pPr>
        <w:pStyle w:val="ListBullet"/>
      </w:pPr>
      <w:r>
        <w:t>Soruların varlığı veya “güncel” dosya adı, nicel analizden önce/sonra hazırlanışını göstermez. Nicel puanlar ile görüşmeciler arasında isimden hareketle eşleştirme veya başarı grubu ataması yapılmadı.</w:t>
      </w:r>
    </w:p>
    <w:p>
      <w:pPr>
        <w:pStyle w:val="Heading1"/>
      </w:pPr>
      <w:r>
        <w:t>Veriye dayalı ön gözlemler</w:t>
      </w:r>
    </w:p>
    <w:p>
      <w:r>
        <w:t>K1, K3 ve K4 problem belirlemede güçlük anlatırken K2 güçlük yaşamadığını belirtmektedir. Dört katılımcı da 4. soruda konuyu öğrenmeye katkı algısı bildirmektedir; bu, gecikmeli ölçümle kanıtlanmış öğrenme kalıcılığı değildir. Yanıtlarda grup içi fikir paylaşımı, uygulama/tasarım sorunları, zaman ve maddi kaynak koşulları yer alır. Olumlu görüşler kadar alternatif deneyimler ve belirsizlikler de korunmalıdır.</w:t>
      </w:r>
    </w:p>
    <w:p>
      <w:pPr>
        <w:pStyle w:val="Heading1"/>
      </w:pPr>
      <w:r>
        <w:t>Doğrudan alıntı adayları — yüklenen metinden aynen</w:t>
      </w:r>
    </w:p>
    <w:p>
      <w:pPr>
        <w:pStyle w:val="Heading2"/>
      </w:pPr>
      <w:r>
        <w:t>K1 / Soru 1-a: Özgün ve çözülebilir problem belirleme güçlüğü</w:t>
      </w:r>
    </w:p>
    <w:p>
      <w:r>
        <w:t>“Zorlandık. Özellikle yaratıcı ve özgün bir problem bulmak bizim için zorlayıcıydı. Ayrıca bir problem bulsak bile buna uygun bir çözüm geliştirip geliştiremeyeceğimizi de düşünüyorduk. Bu nedenle çözüm üretebileceğimiz uygun bir problem bulmakta da zorlandık.”</w:t>
      </w:r>
    </w:p>
    <w:p>
      <w:pPr>
        <w:pStyle w:val="Heading2"/>
      </w:pPr>
      <w:r>
        <w:t>K2 / Soru 1-a: Problem belirlemede güçlük yaşanmaması / karşıt deneyim</w:t>
      </w:r>
    </w:p>
    <w:p>
      <w:r>
        <w:t>“Zorlanmadık. Konumuz doğal afetler olduğu için kısa bir araştırma süreci bizim için yeterli oldu. Araştırma yaptıktan sonra ele alabileceğimiz problemleri belirleyebildik.”</w:t>
      </w:r>
    </w:p>
    <w:p>
      <w:pPr>
        <w:pStyle w:val="Heading2"/>
      </w:pPr>
      <w:r>
        <w:t>K1 / Soru 3-b: Çözülemeyen problemi değiştirme</w:t>
      </w:r>
    </w:p>
    <w:p>
      <w:r>
        <w:t>“Belirlediğimiz probleme uygun bir çözüm bulamadığımızda yeni çözüm yolları aramaya çok fazla odaklanmadık. Bunun yerine o problemden vazgeçip başka bir problem belirlemeye çalıştık. Yani problem ve çözümü birbirinden ayrı iki aşama olarak değil, bir bütün olarak ele aldık. Çözüm üretemediğimiz durumlarda problemi değiştirdik.”</w:t>
      </w:r>
    </w:p>
    <w:p>
      <w:pPr>
        <w:pStyle w:val="Heading2"/>
      </w:pPr>
      <w:r>
        <w:t>K3 / Soru 3-b: Tasarım sorununda sürdürme ve alternatif deneme</w:t>
      </w:r>
    </w:p>
    <w:p>
      <w:r>
        <w:t>“Teorik olarak problem ve çözümün uyumu konusunda çok fazla sorun yaşamadık. Daha çok uygulama aşamasında zorlandığımız yerler oldu. Özellikle tasarım sürecinde bazen işin içinden çıkamadığımız durumlarla karşılaştık. Böyle zamanlarda sorundan vazgeçmek yerine grup olarak üzerine gitmeye çalıştık. Farklı yollar deneyerek bir şekilde çözüm bulduk ve sonuçta ortaya çıkarmak istediğimiz ürünü tamamlayabildik.”</w:t>
      </w:r>
    </w:p>
    <w:p>
      <w:pPr>
        <w:pStyle w:val="Heading2"/>
      </w:pPr>
      <w:r>
        <w:t>K2 / Soru 5-b: Beceri katkısının büyüklüğü konusunda belirsizlik</w:t>
      </w:r>
    </w:p>
    <w:p>
      <w:r>
        <w:t>“Grup olarak çalışmanın daha fazla kişiyle iletişim kurma, farklı bağlantılardan yararlanma ve bir problem karşısında daha fazla çözüm alternatifi ortaya çıkarma gibi katkıları oldu. Ancak bunun belirli bir becerimi ne ölçüde geliştirdiği konusunda kesin bir şey söyleyemiyorum.”</w:t>
      </w:r>
    </w:p>
    <w:p>
      <w:pPr>
        <w:pStyle w:val="Heading2"/>
      </w:pPr>
      <w:r>
        <w:t>K3 / Soru 5-b: Algılanan iletişim gelişimi</w:t>
      </w:r>
    </w:p>
    <w:p>
      <w:r>
        <w:t>“Evet. Özellikle benim iletişim becerilerime katkı sağladığını düşünüyorum. Normalde daha sessiz ve çekingen biriyim. Bu çalışma sırasında grup arkadaşlarımla sürekli iletişim kurmam, fikirlerimi paylaşmam ve birlikte karar vermem gerekti. Bu süreç sayesinde iletişim becerilerimin güçlendiğini görebiliyorum.”</w:t>
      </w:r>
    </w:p>
    <w:p>
      <w:pPr>
        <w:pStyle w:val="Heading2"/>
      </w:pPr>
      <w:r>
        <w:t>K4 / Soru 7: Problem belirleme için örnek ve aşamaya uygun görev önerisi</w:t>
      </w:r>
    </w:p>
    <w:p>
      <w:r>
        <w:t>“Bence başlangıçta problem belirleme konusunda biraz daha yönlendirme yapılabilirdi. Direkt problem verilmesini istemezdim çünkü o zaman çalışmanın amacı değişirdi ama nasıl bir problemin proje için uygun olduğu konusunda birkaç farklı örnek görmek işimizi kolaylaştırabilirdi. Bir de grupların farklı hızlarda ilerlemesi bazen ders süresinin verimli kullanılmasını zorlaştırdı. Bazı gruplar bir aşamayı tamamlamışken diğerleri hâlâ önceki aşamada olabiliyordu. Ders içinde gruplara aşamalarına göre farklı görevler verilmesi süreci daha verimli hale getirebilirdi.”</w:t>
      </w:r>
    </w:p>
    <w:p>
      <w:pPr>
        <w:pStyle w:val="Heading1"/>
      </w:pPr>
      <w:r>
        <w:t>Kesinleştirmeden önce</w:t>
      </w:r>
    </w:p>
    <w:p>
      <w:r>
        <w:t>Dökümlerin birebir mi yoksa düzenlenmiş özet mi olduğu henüz teyit edilmelidir. Rastgele seçimin nasıl uygulandığı ayrıntılandırılmalı; nicel analiz görülmüş olsa da görüşmelerin sonuçları açıklama amacıyla nasıl tasarlandığı belgelenmeden karma desen etiketi kesinleştirilmemelidir. Birden fazla kodlayıcı çalışmadı; kodlayıcı uyumu veya katılımcı teyidi yapılmış gibi raporlanmamalıdır. Nitel olumlu görüşler iletişim ölçeğinde anlamlı fark bulunmadığı sonucunun yerine geçirilmemelidir.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