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Nicel bulgular: grafik ve doğrulama çalışma dosyası</w:t>
      </w:r>
    </w:p>
    <w:p>
      <w:r>
        <w:t>Gökhan Kaya • İnceleme sürümü • 20 Ekim 2026</w:t>
        <w:br/>
        <w:t>Orijinal tez ve Git deposu değiştirilmemiştir. Bu dosya, teze eklenebilecek grafiklerin ve doğrulama notlarının ayrı çalışma kopyasıdır. PÇBÖ şekilleri kesinleşmiş sonuç değildir.</w:t>
      </w:r>
    </w:p>
    <w:p>
      <w:pPr>
        <w:pStyle w:val="Heading1"/>
      </w:pPr>
      <w:r>
        <w:t>Önceki çalışmalardan bulunanlar</w:t>
      </w:r>
    </w:p>
    <w:p>
      <w:r>
        <w:t>iletisim_notebook.ipynb ve problem_cozme_notebook.ipynb içinde dörder kayıtlı grafik bulundu: güvenirlik, ön–son ortalamalar, t istatistiği/etki büyüklüğü ve violin dağılımları. Bunlar onceki-grafikler klasörüne çıkarıldı. Yeni şekiller ham Excel verilerinden mevcut analiz betikleri kullanılarak yeniden üretildi. Git ana dalı ve serif uç commitleri karşılaştırıldı; analiz kodları aynı. tanimlayici_istatistikler.xlsx dosyasında 10 satırlık bir tanımlayıcı istatistik sayfası var.</w:t>
      </w:r>
    </w:p>
    <w:p>
      <w:pPr>
        <w:pStyle w:val="Heading1"/>
      </w:pPr>
      <w:r>
        <w:t>Teze aktarılmadan önce</w:t>
      </w:r>
    </w:p>
    <w:p>
      <w:pPr>
        <w:pStyle w:val="ListBullet"/>
      </w:pPr>
      <w:r>
        <w:t>Özetteki yakınsayan paralel desen ile yöntemdeki açımlayıcı sıralı desen birbiriyle çelişiyor; gerçek uygulama sırası ve nitel örneklem/soru seçiminin nicel sonuçlarla ilişkisiyle belirlenmeli.</w:t>
      </w:r>
    </w:p>
    <w:p>
      <w:pPr>
        <w:pStyle w:val="ListBullet"/>
      </w:pPr>
      <w:r>
        <w:t>PÇBÖ yöntem metnindeki yüksek puan = iyi yorumu ile bulgulardaki düşük puan = iyi yorumu çelişiyor. Uygulama formunun sonunda Türkçe uyarlama altı faktörlü olarak tanımlanmış; kod üç faktör kullanıyor. 9, 12 ve 22. maddelerin toplam puana katılması, ters madde listesi ve madde–faktör eşleşmeleri yetkili puanlama kaynağıyla doğrulanmalı. Yalnızca ifade değiştirerek giderilemez.</w:t>
      </w:r>
    </w:p>
    <w:p>
      <w:pPr>
        <w:pStyle w:val="ListBullet"/>
      </w:pPr>
      <w:r>
        <w:t>İletişim için toplam ve alt boyut karşılaştırmalarında anlamlı fark yoktur; özette her iki beceride etkili olduğu yönündeki kesin ifade bu sonuçla uyumlu değildir.</w:t>
      </w:r>
    </w:p>
    <w:p>
      <w:pPr>
        <w:pStyle w:val="ListBullet"/>
      </w:pPr>
      <w:r>
        <w:t>Eşleşmiş t testi açısından normallik, iki ölçümün ayrı dağılımından önce kişi içi farklar üzerinde incelenmeli. Excel dosyasında farkların Shapiro–Wilk sonuçları ve %95 güven aralıkları eklendi. p&gt;.05 normalliğin kanıtı olarak sunulmamalı.</w:t>
      </w:r>
    </w:p>
    <w:p>
      <w:pPr>
        <w:pStyle w:val="ListBullet"/>
      </w:pPr>
      <w:r>
        <w:t>Tek gruplu desen nedeniyle gözlenen değişimi yalnızca uygulamaya bağlayan nedensel cümleler sınırlandırılmalı.</w:t>
      </w:r>
    </w:p>
    <w:p>
      <w:pPr>
        <w:pStyle w:val="ListBullet"/>
      </w:pPr>
      <w:r>
        <w:t>PÇBÖ mevcut sayıları yeniden üretilebilse de puanlamanın geçerliliği henüz doğrulanmadı. Çoklu alt boyut testlerinin birincil/ikincil durumu ve düzeltme yaklaşımı yöntem bölümünde açıklanmalı.</w:t>
      </w:r>
    </w:p>
    <w:p>
      <w:pPr>
        <w:pStyle w:val="Heading1"/>
      </w:pPr>
      <w:r>
        <w:t>İletişim bulguları için özgün metin önerisi</w:t>
      </w:r>
    </w:p>
    <w:p>
      <w:r>
        <w:t>Eşleşen 44 katılımcının iletişim ölçeği madde puan ortalaması ön testte 3.832, son testte 3.910 olarak hesaplanmıştır. Son test ile ön test arasındaki ortalama fark 0.078 puandır (%95 GA [-0.029, 0.185]). Ortalama puan artışına rağmen bu fark istatistiksel olarak anlamlı bulunmamıştır (p = 0.147). Güven aralığının sıfırı içermesi, bu örneklemde değişimin yönü ve büyüklüğüne ilişkin belirsizliği göstermektedir. Bu sonuç, iletişim becerilerinin değişmediğinin kanıtı olarak yorumlanmamalıdır.</w:t>
      </w:r>
    </w:p>
    <w:p>
      <w:r>
        <w:t>Not: Mevcut iletişim betiği t istatistiğini son test − ön test yönünde hesaplar. Tezdeki t(43)=1.476 ve d=.223 bu yönle uyumludur. d burada eşleşmiş farkların standart sapmasına bölünen ortalama farktır (d_z).</w:t>
      </w:r>
    </w:p>
    <w:p>
      <w:r>
        <w:br w:type="page"/>
      </w:r>
    </w:p>
    <w:p>
      <w:pPr>
        <w:pStyle w:val="Heading1"/>
      </w:pPr>
      <w:r>
        <w:t>İletişim: eklenebilir çalışma şekli</w:t>
      </w:r>
    </w:p>
    <w:p>
      <w:r>
        <w:drawing>
          <wp:inline xmlns:a="http://schemas.openxmlformats.org/drawingml/2006/main" xmlns:pic="http://schemas.openxmlformats.org/drawingml/2006/picture">
            <wp:extent cx="5577840" cy="2989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BDO_ortalamal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9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Çalışma Şekli 1. IBDO: ön test–son test madde puan ortalamaları</w:t>
      </w:r>
    </w:p>
    <w:p>
      <w:r>
        <w:t>Not. N=44. Ölçek ekseni 1–5. Noktalar eşleşen örneklem ortalamalarıdır; bağlantılar bireysel değişimi göstermez. Ortalama artışı tek başına istatistiksel anlamlılık göstermez.</w:t>
      </w:r>
    </w:p>
    <w:p>
      <w:r>
        <w:t>Yerleştirme: ilgili ölçeğin tanımlayıcı istatistik tablosunun ve kısa açıklamasının ardından. Ortalama profili grafiği, tablodaki tüm sayıları metinde tekrar etme ihtiyacını azaltır.</w:t>
      </w:r>
    </w:p>
    <w:p>
      <w:r>
        <w:br w:type="page"/>
      </w:r>
    </w:p>
    <w:p>
      <w:pPr>
        <w:pStyle w:val="Heading1"/>
      </w:pPr>
      <w:r>
        <w:t>İletişim: eklenebilir çalışma şekli</w:t>
      </w:r>
    </w:p>
    <w:p>
      <w:r>
        <w:drawing>
          <wp:inline xmlns:a="http://schemas.openxmlformats.org/drawingml/2006/main" xmlns:pic="http://schemas.openxmlformats.org/drawingml/2006/picture">
            <wp:extent cx="5577840" cy="2980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BDO_fark_GA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Çalışma Şekli 2. IBDO: eşleşmiş ortalama farklar ve %95 güven aralıkları</w:t>
      </w:r>
    </w:p>
    <w:p>
      <w:r>
        <w:t>Not. Aralıklar kişi içi farklardan, t dağılımıyla hesaplanmıştır; çoklu karşılaştırma düzeltmesi uygulanmamıştır. Sıfırı içeren aralık, iki yönlü eşleşmiş t testinde .05 düzeyinde anlamlı fark bulunmamasıyla uyumludur. İletişim ölçeğindeki tüm aralıklar sıfırı içerir.</w:t>
      </w:r>
    </w:p>
    <w:p>
      <w:r>
        <w:t>Yerleştirme: ilgili t testi tablosunun ardından. Ortalama farkın belirsizliğini gösterir; ayrı ayrı ölçüm ortalamalarının güven aralıkları ile karıştırılmamalıdır.</w:t>
      </w:r>
    </w:p>
    <w:p>
      <w:r>
        <w:br w:type="page"/>
      </w:r>
    </w:p>
    <w:p>
      <w:pPr>
        <w:pStyle w:val="Heading1"/>
      </w:pPr>
      <w:r>
        <w:t>İletişim: eklenebilir çalışma şekli</w:t>
      </w:r>
    </w:p>
    <w:p>
      <w:r>
        <w:drawing>
          <wp:inline xmlns:a="http://schemas.openxmlformats.org/drawingml/2006/main" xmlns:pic="http://schemas.openxmlformats.org/drawingml/2006/picture">
            <wp:extent cx="5577840" cy="28951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BDO_eslesmis_dagil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95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Çalışma Şekli 3. IBDO: toplam puanın bireysel değişimi ve fark dağılımı</w:t>
      </w:r>
    </w:p>
    <w:p>
      <w:r>
        <w:t>Not. Her ince çizgi aynı katılımcının iki ölçümünü birleştirir; kimlik bilgisi içermez. Histogram kişi içi farkları gösterir. Bireysel artış ve azalışlar grup ortalamasıyla birlikte değerlendirilmelidir.</w:t>
      </w:r>
    </w:p>
    <w:p>
      <w:r>
        <w:t>Yerleştirme: ana metinde ihtiyaç varsa, aksi hâlde eklerde. Kişi içi değişkenliği görünür kılar; dağılım tanılarıyla birlikte değerlendirilir.</w:t>
      </w:r>
    </w:p>
    <w:p>
      <w:r>
        <w:br w:type="page"/>
      </w:r>
    </w:p>
    <w:p>
      <w:pPr>
        <w:pStyle w:val="Heading1"/>
      </w:pPr>
      <w:r>
        <w:t>PÇBÖ: puanlama doğrulaması bekleyen taslak</w:t>
      </w:r>
    </w:p>
    <w:p>
      <w:r>
        <w:drawing>
          <wp:inline xmlns:a="http://schemas.openxmlformats.org/drawingml/2006/main" xmlns:pic="http://schemas.openxmlformats.org/drawingml/2006/picture">
            <wp:extent cx="5577840" cy="2974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O_ortalamal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Çalışma Şekli 4. PCBO: ön test–son test madde puan ortalamaları</w:t>
      </w:r>
    </w:p>
    <w:p>
      <w:r>
        <w:t>Not. N=40. Ölçek ekseni 1–6. Noktalar eşleşen örneklem ortalamalarıdır; bağlantılar bireysel değişimi göstermez. PÇBÖ mevcut kodun çıktısıdır; puanlama doğrulanmadan tezde kullanılmamalıdır.</w:t>
      </w:r>
    </w:p>
    <w:p>
      <w:r>
        <w:t>Yerleştirme: ilgili ölçeğin tanımlayıcı istatistik tablosunun ve kısa açıklamasının ardından. Ortalama profili grafiği, tablodaki tüm sayıları metinde tekrar etme ihtiyacını azaltır.</w:t>
      </w:r>
    </w:p>
    <w:p>
      <w:r>
        <w:br w:type="page"/>
      </w:r>
    </w:p>
    <w:p>
      <w:pPr>
        <w:pStyle w:val="Heading1"/>
      </w:pPr>
      <w:r>
        <w:t>PÇBÖ: puanlama doğrulaması bekleyen taslak</w:t>
      </w:r>
    </w:p>
    <w:p>
      <w:r>
        <w:drawing>
          <wp:inline xmlns:a="http://schemas.openxmlformats.org/drawingml/2006/main" xmlns:pic="http://schemas.openxmlformats.org/drawingml/2006/picture">
            <wp:extent cx="5577840" cy="29693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O_fark_GA9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9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Çalışma Şekli 5. PCBO: eşleşmiş ortalama farklar ve %95 güven aralıkları</w:t>
      </w:r>
    </w:p>
    <w:p>
      <w:r>
        <w:t>Not. Aralıklar kişi içi farklardan, t dağılımıyla hesaplanmıştır; çoklu karşılaştırma düzeltmesi uygulanmamıştır. Sıfırı içeren aralık, iki yönlü eşleşmiş t testinde .05 düzeyinde anlamlı fark bulunmamasıyla uyumludur. PÇBÖ puanlama doğrulaması beklemektedir.</w:t>
      </w:r>
    </w:p>
    <w:p>
      <w:r>
        <w:t>Yerleştirme: ilgili t testi tablosunun ardından. Ortalama farkın belirsizliğini gösterir; ayrı ayrı ölçüm ortalamalarının güven aralıkları ile karıştırılmamalıdır.</w:t>
      </w:r>
    </w:p>
    <w:p>
      <w:r>
        <w:br w:type="page"/>
      </w:r>
    </w:p>
    <w:p>
      <w:pPr>
        <w:pStyle w:val="Heading1"/>
      </w:pPr>
      <w:r>
        <w:t>PÇBÖ: puanlama doğrulaması bekleyen taslak</w:t>
      </w:r>
    </w:p>
    <w:p>
      <w:r>
        <w:drawing>
          <wp:inline xmlns:a="http://schemas.openxmlformats.org/drawingml/2006/main" xmlns:pic="http://schemas.openxmlformats.org/drawingml/2006/picture">
            <wp:extent cx="5577840" cy="28963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O_eslesmis_dagili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96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Çalışma Şekli 6. PCBO: toplam puanın bireysel değişimi ve fark dağılımı</w:t>
      </w:r>
    </w:p>
    <w:p>
      <w:r>
        <w:t>Not. Her ince çizgi aynı katılımcının iki ölçümünü birleştirir; kimlik bilgisi içermez. Histogram kişi içi farkları gösterir. PÇBÖ puanlama doğrulaması beklemektedir.</w:t>
      </w:r>
    </w:p>
    <w:p>
      <w:r>
        <w:t>Yerleştirme: ana metinde ihtiyaç varsa, aksi hâlde eklerde. Kişi içi değişkenliği görünür kılar; dağılım tanılarıyla birlikte değerlendirilir.</w:t>
      </w:r>
    </w:p>
    <w:p>
      <w:r>
        <w:br w:type="page"/>
      </w:r>
    </w:p>
    <w:p>
      <w:pPr>
        <w:pStyle w:val="Heading1"/>
      </w:pPr>
      <w:r>
        <w:t>Örnek tezlerden yapısal gözlemler</w:t>
      </w:r>
    </w:p>
    <w:p>
      <w:r>
        <w:t>Depoda bulunan ve aynı danışmanın yönettiği örnekler incelendi. Bu inceleme bölüm düzeni ve bulgu sunumu içindir; örneklerin istatistiksel yorumları doğruluk ölçütü olarak alınmamıştır. YÖK web sitesine doğrudan istek ağ vekilinde 403 ile engellendi; çevrimiçi son 10 yıl taraması tamamlanmış değildir.</w:t>
      </w:r>
    </w:p>
    <w:p>
      <w:pPr>
        <w:pStyle w:val="ListBullet"/>
      </w:pPr>
      <w:r>
        <w:t>Gözde Çokyaşar Özdemir (2023), YÖK dosya numarası 830106: basılı s.39–43, nicel bulgular alt problemlere ayrılmış; tanımlayıcı ve eşleşmiş karşılaştırma tabloları izleniyor. Nicel/nitel bölüm ayrımı bu tez için uygun bir yapısal örnek.</w:t>
      </w:r>
    </w:p>
    <w:p>
      <w:pPr>
        <w:pStyle w:val="ListBullet"/>
      </w:pPr>
      <w:r>
        <w:t>Cahide Buse Karasu (kapakta 2024; iç kapak/savunma 2023), dosya 877028: basılı s.54–62, ölçek ve alt problem başlıklarıyla testler sunuluyor. Kontrol gruplu deseni mevcut tek gruplu çalışmaya taşımamak gerekir. Tarih, dış katalogdan ayrıca doğrulanmalı.</w:t>
      </w:r>
    </w:p>
    <w:p>
      <w:pPr>
        <w:pStyle w:val="ListBullet"/>
      </w:pPr>
      <w:r>
        <w:t>Gökmen Özkara (2024), dosya 906492: basılı s.83 ve devamında alt problemler üzerinden sunum yapılıyor. Normallik ve test yorumlarında kontrol gerektiren ifadeler bulunduğundan yöntem seçimi için örnek alınmamalı.</w:t>
      </w:r>
    </w:p>
    <w:p>
      <w:pPr>
        <w:pStyle w:val="Heading1"/>
      </w:pPr>
      <w:r>
        <w:t>Sıradaki aşamalar</w:t>
      </w:r>
    </w:p>
    <w:p>
      <w:r>
        <w:t>PÇBÖ yetkili puanlama anahtarı doğrulandıktan sonra gerekli analiz ve şekiller yeniden hesaplanacak. Nitel bulgular ve sonuç bölümleri bu dosyada boş; görüşme dökümleri olmadan tema veya katılımcı alıntısı üretilmeyecek. Kaynakça–metin eşleşmesi, özgün kaynak kontrolü ve benzerlik raporu incelemesi bütüncül düzenleme aşamasında tamamlanacak. Hiçbir benzerlik yüzdesi garantisi verilmez; burada önerilen metin kendi veri çıktılarından özgün olarak yazılmıştır.</w:t>
      </w:r>
    </w:p>
    <w:p>
      <w:r>
        <w:br w:type="page"/>
      </w:r>
    </w:p>
    <w:p>
      <w:pPr>
        <w:pStyle w:val="Heading1"/>
      </w:pPr>
      <w:r>
        <w:t>Ek doğrulama ve editoryal notlar</w:t>
      </w:r>
    </w:p>
    <w:p>
      <w:pPr>
        <w:pStyle w:val="ListBullet"/>
      </w:pPr>
      <w:r>
        <w:t>Katılım sayıları: İBDÖ ön test Excelinde 50 satırın 49’u geçerli numaralıdır; son testte 52 yanıt satırı, 51 benzersiz numara ve bir yinelenen numara vardır. PÇBÖ ön testte 50 satırın 48’i geçerli numaralıdır. Ham yanıt sayısı ve benzersiz katılımcı sayısı açıkça ayrılmalıdır.</w:t>
      </w:r>
    </w:p>
    <w:p>
      <w:pPr>
        <w:pStyle w:val="ListBullet"/>
      </w:pPr>
      <w:r>
        <w:t>Kişi içi farkların Shapiro–Wilk testi, iletişimde Kendini İfade Etme (p&lt;.001), Etkin Dinleme (p=.044) ve İletişim Kurmaya İsteklilik (p=.037) için sapma gösterir; toplamda p=.244’tür. Mevcut PÇ toplamında p=.002 bulunmuştur; PÇ puanlaması henüz doğrulanmamıştır. Test seçimi yalnızca ayrı ön/son normallik sonuçlarına dayandırılmamalıdır.</w:t>
      </w:r>
    </w:p>
    <w:p>
      <w:pPr>
        <w:pStyle w:val="ListBullet"/>
      </w:pPr>
      <w:r>
        <w:t>İletişim için ek duyarlılık kontrolünde Wilcoxon iki yönlü yaklaşık p değerleri sırasıyla .202, .318, .282, .586; toplamda .197’dir. Farklar sayısal yuvarlama hatalarına karşı 12 ondalığa yuvarlandı; sıfır farklar çıkarıldı. Bu kontrol, t testinin yerine otomatik ikame veya normalliğin kanıtı değildir; fark simetrisi ve bağlar dikkate alınmalıdır.</w:t>
      </w:r>
    </w:p>
    <w:p>
      <w:pPr>
        <w:pStyle w:val="ListBullet"/>
      </w:pPr>
      <w:r>
        <w:t>Tezdeki Tablo4.3,4.5,4.8,4.10 için karşılaştırılan ortalama, SS, N, t, sd ve etki büyüklüğü sütunlarında mevcut analiz koduna göre sayısal fark saptanmadı. Bu, ölçek anahtarının geçerliliğini doğrulamaz.</w:t>
      </w:r>
    </w:p>
    <w:p>
      <w:pPr>
        <w:pStyle w:val="ListBullet"/>
      </w:pPr>
      <w:r>
        <w:t>Belgede kalan editoryal not: “Bu metin uzunluk bakımından yeterli...” paragrafı nihai metinden çıkarılmalıdır. Yöntemdeki “buraya uygun nitel yöntem kaynağı eklenecek” yer tutucusu tamamlanmalıdır. Kaynakça–metin eşleştirmesi ayrıca yapılmalıdır.</w:t>
      </w:r>
    </w:p>
    <w:p>
      <w:pPr>
        <w:pStyle w:val="ListBullet"/>
      </w:pPr>
      <w:r>
        <w:t>Ölçek adı kaynakta İletişim Becerileri Ölçeği iken tezin farklı bölümlerinde Değerlendirme Ölçeği denmiştir. Adlandırma kullanılan 2014 ölçeğine göre tutarlı hâle getirilmelidir.</w:t>
      </w:r>
    </w:p>
    <w:p>
      <w:pPr>
        <w:pStyle w:val="ListBullet"/>
      </w:pPr>
      <w:r>
        <w:t>Google Drive ve paylaşılan iki Google Doküman bağlantısı ağ vekilinde engellendi; içerikleri okunamadı. PÇ puanlama kaynağı ve görüşme zamanlaması bu belgelerden henüz doğrulanmadı.</w:t>
      </w:r>
    </w:p>
    <w:p>
      <w:pPr>
        <w:pStyle w:val="ListBullet"/>
      </w:pPr>
      <w:r>
        <w:t>Ön testin ikinci haftada yapıldığı açıklaması ile akış şemasındaki ön test sonrası sekiz haftalık uygulama gösterimi aynı takvime göre düzenlenmelidir.</w:t>
      </w:r>
    </w:p>
    <w:p>
      <w:r>
        <w:t>Ek geçmiş dosya: data/GENEL TABLO.docx önceki analiz planını ve yapay zekâ ile yazışma/şablonları içeriyor. Gerçek görüşme verisi değildir. Dosyadaki iki beceride anlamlı artış beklentileri gerçek analiz sonucu olarak kullanılmamalıdır. Mevcut iletişim verisinde bu beklenti doğrulanmamıştır.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