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Yeni belgeler: doğrulamalar ve yöntem düzeltmeleri</w:t>
      </w:r>
    </w:p>
    <w:p>
      <w:r>
        <w:t>Çalışma sürümü • 20 Ekim 2026. Bu rapor yeni yüklenen sekiz belgeyi, depo verilerini ve kullanıcının araştırma sürecine ilişkin açıklamalarını birlikte ele alır. Orijinal tez dosyasına veya GitHub deposuna değişiklik yapılmadı.</w:t>
      </w:r>
    </w:p>
    <w:p>
      <w:pPr>
        <w:pStyle w:val="Heading1"/>
      </w:pPr>
      <w:r>
        <w:t>Kesinleşen bilgiler</w:t>
      </w:r>
    </w:p>
    <w:p>
      <w:pPr>
        <w:pStyle w:val="ListBullet"/>
      </w:pPr>
      <w:r>
        <w:t>Dört Excel dosyasında hücre değerleri, sütun adları ve satır/sütun boyutları depodaki karşılıklarıyla aynıdır. Ölçek formlarının çıkarılan metinleri de depodaki formlarla aynıdır. Bu karşılaştırma puanlama anahtarının doğruluğunu değil dosya içeriklerinin aynılığını doğrular.</w:t>
      </w:r>
    </w:p>
    <w:p>
      <w:pPr>
        <w:pStyle w:val="ListBullet"/>
      </w:pPr>
      <w:r>
        <w:t>Gerçekleşen görüşme sayısı kullanıcı tarafından dört olarak teyit edildi. Yanıt belgesinde de dört kişi ve her kişi için 11 yanıt başlığı vardır. Katılımcılar kimliksiz çalışma dosyalarında K1–K4 olarak gösterildi.</w:t>
      </w:r>
    </w:p>
    <w:p>
      <w:pPr>
        <w:pStyle w:val="ListBullet"/>
      </w:pPr>
      <w:r>
        <w:t>Kullanıcı, katılımcıların rastgele seçildiğini ve görüşmelerin tüm çalışma tamamlandıktan sonra yapıldığını belirtti. Nicel analiz sonuçlarının görüşmelerden önce görülmüş olduğu da teyit edildi. Puan düzeyine göre iyi–orta–düşük örnekleme yapılmış gibi yazılmamalıdır.</w:t>
      </w:r>
    </w:p>
    <w:p>
      <w:pPr>
        <w:pStyle w:val="ListBullet"/>
      </w:pPr>
      <w:r>
        <w:t>Kayıtların birebir dökümü olup olmadığı henüz teyit edilmedi. Kaynak belge metinleri değiştirilmeden, yalnızca katılımcı adları K kodlarıyla değiştirilerek bir görüşme envanteri oluşturuldu.</w:t>
      </w:r>
    </w:p>
    <w:p>
      <w:pPr>
        <w:pStyle w:val="Heading1"/>
      </w:pPr>
      <w:r>
        <w:t>Yöntemde doğrudan değiştirilebilecek paragraf</w:t>
      </w:r>
    </w:p>
    <w:p>
      <w:r>
        <w:t>Yer: 3.3.3 Yarı Yapılandırılmış Görüşmeler bölümünde “Görüşmeler, uygulama sürecinin tamamlanmasının ardından bir hafta içerisinde...” diye başlayan paragrafın yerine.</w:t>
      </w:r>
    </w:p>
    <w:p>
      <w:r>
        <w:t>Görüşmeler, uygulama süreci tamamlandıktan ve nicel analiz sonuçları incelendikten sonra gerçekleştirilmiştir. Görüşmelere araştırmanın çalışma grubundan rastgele seçilen dört öğretmen adayı katılmıştır.</w:t>
      </w:r>
    </w:p>
    <w:p>
      <w:r>
        <w:t>Editoryal not: Bu ifade kullanıcının açıklamasına dayanır. “Bir hafta”, gönüllülük, rastgele seçimin teknik yöntemi veya başarı düzeyleri gibi henüz teyit edilmemiş ayrıntılar eklenmemiştir. İzin ve ses kaydı bilgisi tezin mevcut sonraki paragrafında yer alır; bunların uygulama belgeleriyle teyidi ayrıca yapılmalıdır.</w:t>
      </w:r>
    </w:p>
    <w:p>
      <w:pPr>
        <w:pStyle w:val="Heading1"/>
      </w:pPr>
      <w:r>
        <w:t>Karma araştırma deseni: hâlâ açıklanması gereken nokta</w:t>
      </w:r>
    </w:p>
    <w:p>
      <w:r>
        <w:t>Nicel analizin önce tamamlanması ve görüşmelerin sonra yapılması sıralı bir veri toplama düzeniyle uyumludur. Bununla birlikte açımlayıcı sıralı karma deseni temellendirmek için hangi nicel bulguların görüşmelerle açıklanmaya çalışıldığı, görüşme sorularının buna göre değişip değişmediği ve bütünleştirmenin nasıl yapıldığı belirtilmelidir. Katılımcıların rastgele seçilmesi bu deseni tek başına dışlamaz; ancak sonuçlara göre seçilmiş iyi–orta–düşük gruplar iddiasını desteklemez. Özetteki yakınsayan paralel tanımı ile yöntem metni, gerçek araştırma akışı açıklanarak uyumlandırılmalıdır. Henüz kesin desen adı atanmadı.</w:t>
      </w:r>
    </w:p>
    <w:p>
      <w:pPr>
        <w:pStyle w:val="Heading1"/>
      </w:pPr>
      <w:r>
        <w:t>PÇBÖ neden henüz kesinleştirilmedi?</w:t>
      </w:r>
    </w:p>
    <w:tbl>
      <w:tblPr>
        <w:tblStyle w:val="TableGrid"/>
        <w:tblW w:type="auto" w:w="0"/>
        <w:tblLook w:firstColumn="1" w:firstRow="1" w:lastColumn="0" w:lastRow="0" w:noHBand="0" w:noVBand="1" w:val="04A0"/>
      </w:tblPr>
      <w:tblGrid>
        <w:gridCol w:w="2880"/>
        <w:gridCol w:w="2880"/>
        <w:gridCol w:w="2880"/>
      </w:tblGrid>
      <w:tr>
        <w:tc>
          <w:tcPr>
            <w:tcW w:type="dxa" w:w="2880"/>
          </w:tcPr>
          <w:p>
            <w:r>
              <w:t>Konu</w:t>
            </w:r>
          </w:p>
        </w:tc>
        <w:tc>
          <w:tcPr>
            <w:tcW w:type="dxa" w:w="2880"/>
          </w:tcPr>
          <w:p>
            <w:r>
              <w:t>Yeni form / mevcut kod</w:t>
            </w:r>
          </w:p>
        </w:tc>
        <w:tc>
          <w:tcPr>
            <w:tcW w:type="dxa" w:w="2880"/>
          </w:tcPr>
          <w:p>
            <w:r>
              <w:t>Gerekli doğrulama</w:t>
            </w:r>
          </w:p>
        </w:tc>
      </w:tr>
      <w:tr>
        <w:tc>
          <w:tcPr>
            <w:tcW w:type="dxa" w:w="2880"/>
          </w:tcPr>
          <w:p>
            <w:r>
              <w:t>Faktör yapısı</w:t>
            </w:r>
          </w:p>
        </w:tc>
        <w:tc>
          <w:tcPr>
            <w:tcW w:type="dxa" w:w="2880"/>
          </w:tcPr>
          <w:p>
            <w:r>
              <w:t>Formun sonunda Türkçe uyarlama altı faktörlü; kod üç faktörlü.</w:t>
            </w:r>
          </w:p>
        </w:tc>
        <w:tc>
          <w:tcPr>
            <w:tcW w:type="dxa" w:w="2880"/>
          </w:tcPr>
          <w:p>
            <w:r>
              <w:t>Kullanılan sürümün faktör adları ve madde anahtarı.</w:t>
            </w:r>
          </w:p>
        </w:tc>
      </w:tr>
      <w:tr>
        <w:tc>
          <w:tcPr>
            <w:tcW w:type="dxa" w:w="2880"/>
          </w:tcPr>
          <w:p>
            <w:r>
              <w:t>Puan dışı maddeler</w:t>
            </w:r>
          </w:p>
        </w:tc>
        <w:tc>
          <w:tcPr>
            <w:tcW w:type="dxa" w:w="2880"/>
          </w:tcPr>
          <w:p>
            <w:r>
              <w:t>Formda Ω işaretleri 9,22,29’da. Kod notunda dolgu maddeler 9,12,22; toplamda 35 madde var.</w:t>
            </w:r>
          </w:p>
        </w:tc>
        <w:tc>
          <w:tcPr>
            <w:tcW w:type="dxa" w:w="2880"/>
          </w:tcPr>
          <w:p>
            <w:r>
              <w:t>Ω işaretinin tanımı ve gerçekten puan dışı tutulan maddeler. Sembolden tek başına karar verilemez.</w:t>
            </w:r>
          </w:p>
        </w:tc>
      </w:tr>
      <w:tr>
        <w:tc>
          <w:tcPr>
            <w:tcW w:type="dxa" w:w="2880"/>
          </w:tcPr>
          <w:p>
            <w:r>
              <w:t>Ters puanlama</w:t>
            </w:r>
          </w:p>
        </w:tc>
        <w:tc>
          <w:tcPr>
            <w:tcW w:type="dxa" w:w="2880"/>
          </w:tcPr>
          <w:p>
            <w:r>
              <w:t>Formdaki 11. madde olumsuz içerikli; kodun ters listesinde yok. 22. madde olumlu içerikli; kodda tersleniyor.</w:t>
            </w:r>
          </w:p>
        </w:tc>
        <w:tc>
          <w:tcPr>
            <w:tcW w:type="dxa" w:w="2880"/>
          </w:tcPr>
          <w:p>
            <w:r>
              <w:t>Yetkili ters madde anahtarı. Yalnızca dilsel olumlu/olumsuz oluşa göre nihai puanlama yapılmayacak.</w:t>
            </w:r>
          </w:p>
        </w:tc>
      </w:tr>
      <w:tr>
        <w:tc>
          <w:tcPr>
            <w:tcW w:type="dxa" w:w="2880"/>
          </w:tcPr>
          <w:p>
            <w:r>
              <w:t>Puan yönü</w:t>
            </w:r>
          </w:p>
        </w:tc>
        <w:tc>
          <w:tcPr>
            <w:tcW w:type="dxa" w:w="2880"/>
          </w:tcPr>
          <w:p>
            <w:r>
              <w:t>Tez yöntem ve depo notları yüksek=iyi; bulgular düşük=iyi diyor.</w:t>
            </w:r>
          </w:p>
        </w:tc>
        <w:tc>
          <w:tcPr>
            <w:tcW w:type="dxa" w:w="2880"/>
          </w:tcPr>
          <w:p>
            <w:r>
              <w:t>Kodlama tamamlandıktan sonra toplam ve alt boyut puanlarının yönü.</w:t>
            </w:r>
          </w:p>
        </w:tc>
      </w:tr>
      <w:tr>
        <w:tc>
          <w:tcPr>
            <w:tcW w:type="dxa" w:w="2880"/>
          </w:tcPr>
          <w:p>
            <w:r>
              <w:t>Alfa .920</w:t>
            </w:r>
          </w:p>
        </w:tc>
        <w:tc>
          <w:tcPr>
            <w:tcW w:type="dxa" w:w="2880"/>
          </w:tcPr>
          <w:p>
            <w:r>
              <w:t>Gönderilen form, hangi örneklem olduğu belgelenmemiş bir “deney grubu öntesti” için .920 yazıyor.</w:t>
            </w:r>
          </w:p>
        </w:tc>
        <w:tc>
          <w:tcPr>
            <w:tcW w:type="dxa" w:w="2880"/>
          </w:tcPr>
          <w:p>
            <w:r>
              <w:t>Bu ifade mevcut çalışmanın güvenirlik sonucu olarak aktarılamaz; kendi verisinden hesaplanmalı.</w:t>
            </w:r>
          </w:p>
        </w:tc>
      </w:tr>
    </w:tbl>
    <w:p>
      <w:r>
        <w:t>Bu karşılaştırmalar sorunu belirler; geçerli anahtarı kendi başına sağlamaz. Formun alındığı tez/makalenin kaynak bilgisi ve puanlama açıklaması gereklidir. PÇBÖ için önceki grafikler ve sayısal sonuçlar şimdilik puanlama doğrulaması bekleyen taslak olarak kalır.</w:t>
      </w:r>
    </w:p>
    <w:p>
      <w:pPr>
        <w:pStyle w:val="Heading1"/>
      </w:pPr>
      <w:r>
        <w:t>İletişim için tamamlanan çalışma</w:t>
      </w:r>
    </w:p>
    <w:p>
      <w:r>
        <w:t>iletisim-nicel-bulgular-duzenlenmis.docx dosyasında katılım/tekilleştirme açıklaması, mevcut güvenirlik ve tanımlayıcı tabloları, ayrı zamanlarda alfa, kişi içi farkların normallik tablosu, mevcut eşleşmiş t testleri, duyarlılık kontrolü ve üç grafik birlikte düzenlendi. Yalnızca iki grafik ana metin için önerildi; bireysel değişim şekli ek adayı olarak ayrıldı. Yeni metin bu verilerden özgün olarak yazıldı; örnek tezlerden cümle alınmadı. Benzerlik oranı ölçülmedi veya garanti edilmedi.</w:t>
      </w:r>
    </w:p>
    <w:p>
      <w:r>
        <w:t>Toplam iletişim puanında artış .078 puan; %95 GA [−.029,.185], eşleşmiş t testi p=.147, d_z=.223. Alt boyutlarda da istatistiksel anlamlı fark yoktur. Ek Wilcoxon kontrolü bu sonucu değiştirmemiştir. Nitel olumlu deneyimler bu nicel sonuçtan ayrı ve birlikte yorumlanmalıdır.</w:t>
      </w:r>
    </w:p>
    <w:p>
      <w:pPr>
        <w:pStyle w:val="Heading1"/>
      </w:pPr>
      <w:r>
        <w:t>İzlenecek sıra</w:t>
      </w:r>
    </w:p>
    <w:p>
      <w:r>
        <w:t>1. PÇBÖ anahtarını yetkili kaynaktan doğrula. 2. Gerekirse PÇBÖ puanlarını, tablolarını ve grafiklerini yeniden hesapla. 3. Nicel bölüm kesinleşince dört görüşmenin nitel kodlamasını alıntılar ve karşıt örneklerle tamamla. 4. Sonuç/tartışmayı iki veri türünü bütünleştirerek yaz. 5. Bütün tezde özetler, kaynaklar, ölçek adları ve biçimi uyumlandır.</w:t>
      </w:r>
    </w:p>
    <w:p>
      <w:r>
        <w:t>Kullanıcının son açıklaması da özgün üç faktör / Türkçe altı faktör ayrımını belirtmektedir. Bu bilgi, mevcut kodun üç faktörlü yapısını sorgulamayı gerektirir; tek başına madde–faktör ve puanlama anahtarı sağlamaz. .920 değerinin bu veri setinden elde edildiğine ilişkin hesap dökümü sunulmadığından güncel bulgu olarak kullanılmadı.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