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Tezin bütünleştirilmesi ve tamamlanacak belgeler</w:t>
      </w:r>
    </w:p>
    <w:p>
      <w:pPr>
        <w:pStyle w:val="Heading2"/>
      </w:pPr>
      <w:r>
        <w:t>Bu dosyada tamamlananlar</w:t>
      </w:r>
    </w:p>
    <w:p>
      <w:pPr>
        <w:pStyle w:val="ListBullet"/>
      </w:pPr>
      <w:r>
        <w:rPr>
          <w:b w:val="0"/>
        </w:rPr>
        <w:t>Güncel ana tez, 13 sayfalık nitel/ortak bulgular ve ayrı sonuç–tartışma–öneriler metni birleştirildi. Ayrı raporlardaki aynı bulgular yeniden eklenerek çoğaltılmadı.</w:t>
      </w:r>
    </w:p>
    <w:p>
      <w:pPr>
        <w:pStyle w:val="ListBullet"/>
      </w:pPr>
      <w:r>
        <w:rPr>
          <w:b w:val="0"/>
        </w:rPr>
        <w:t>Nitel bulguların 10 tablosu ve iki görseli ana teze aktarıldı. Nicel tabloların sayısal değerleri değiştirilmedi.</w:t>
      </w:r>
    </w:p>
    <w:p>
      <w:pPr>
        <w:pStyle w:val="ListBullet"/>
      </w:pPr>
      <w:r>
        <w:rPr>
          <w:b w:val="0"/>
        </w:rPr>
        <w:t>Türkçe ve İngilizce özetler gerçek sonuçlarla uyumlu yazıldı: PÇBÖ toplamında anlamlı azalma, iletişimde anlamlı olmayan artış; eşleşen n=40 ve n=44; dört görüşmeci.</w:t>
      </w:r>
    </w:p>
    <w:p>
      <w:pPr>
        <w:pStyle w:val="ListBullet"/>
      </w:pPr>
      <w:r>
        <w:rPr>
          <w:b w:val="0"/>
        </w:rPr>
        <w:t>Yöntemde altı kişi/puan düzeyine göre seçim anlatımı dört kişi/rastgele seçim bilgisiyle düzeltildi; kodlama yöntemi yapılan analizle eşleştirildi.</w:t>
      </w:r>
    </w:p>
    <w:p>
      <w:pPr>
        <w:pStyle w:val="ListBullet"/>
      </w:pPr>
      <w:r>
        <w:rPr>
          <w:b w:val="0"/>
        </w:rPr>
        <w:t>Özette ve yöntemde çelişen karma desen alt türleri yerine doğrulanmış işlem sırası yazıldı. İkinci hafta ön test zamanlaması akış şemasında ve metinde açıklandı. Daha özel desen adı, nitel soruların nicel bulgulardan nasıl türetildiği açıklanmadan kesinleştirilmedi.</w:t>
      </w:r>
    </w:p>
    <w:p>
      <w:pPr>
        <w:pStyle w:val="ListBullet"/>
      </w:pPr>
      <w:r>
        <w:rPr>
          <w:b w:val="0"/>
        </w:rPr>
        <w:t>Ön ve son ölçümler birleştirilerek hesaplanan alfa katsayılarının kapsamı ve ayrı ölçümlerin normallik testlerinin fark puanlarının normalliğini göstermediği açıklandı. Mevcut test sonuçları değiştirilmedi.</w:t>
      </w:r>
    </w:p>
    <w:p>
      <w:pPr>
        <w:pStyle w:val="ListBullet"/>
      </w:pPr>
      <w:r>
        <w:rPr>
          <w:b w:val="0"/>
        </w:rPr>
        <w:t>Proje tabanlı öğrenme ile problem tabanlı öğrenmeyi karıştıran bilinen atıflar ilgili giriş paragraflarında kaldırılıp araştırmanın kendi gerekçesi yazıldı. Doğrulanamayan AFAD ülke sırası çıkarıldı.</w:t>
      </w:r>
    </w:p>
    <w:p>
      <w:pPr>
        <w:pStyle w:val="ListBullet"/>
      </w:pPr>
      <w:r>
        <w:rPr>
          <w:b w:val="0"/>
        </w:rPr>
        <w:t>Ölçeğin gerçek adı İletişim Becerileri Ölçeği olarak düzeltildi; mevcut analizlerle bağlantı için tezdeki İBDÖ kısaltmasının kullanımı açıklandı.</w:t>
      </w:r>
    </w:p>
    <w:p>
      <w:pPr>
        <w:pStyle w:val="ListBullet"/>
      </w:pPr>
      <w:r>
        <w:rPr>
          <w:b w:val="0"/>
        </w:rPr>
        <w:t>Yeni kaynak Çokyaşar Özdemir (2023) ana kaynakçaya bir kez eklendi. Mevcut Korkut Owen ve Bugay (2014) kaydı yinelenmedi. Eklerdeki ölçekler kaynaklarıyla gösterildi.</w:t>
      </w:r>
    </w:p>
    <w:p>
      <w:pPr>
        <w:pStyle w:val="ListBullet"/>
      </w:pPr>
      <w:r>
        <w:rPr>
          <w:b w:val="0"/>
        </w:rPr>
        <w:t>Kullanıcının son talimatıyla kaynakça karşılığı bulunmayan atıflar ve bağlı iddialar çıkarıldı. İlgili giriş/kuramsal çerçeve paragrafları yeniden yazıldı veya kaldırıldı. Varsayımsal literatür boşluğu, ülke örnekleri ve doğrulanamayan etki iddiaları korunmadı.</w:t>
      </w:r>
    </w:p>
    <w:p>
      <w:pPr>
        <w:pStyle w:val="ListBullet"/>
      </w:pPr>
      <w:r>
        <w:rPr>
          <w:b w:val="0"/>
        </w:rPr>
        <w:t>Atıfsız kalan 10 kaynakça kaydı ve eksik Yucasu (2015) künyesi kaldırıldı. Son durumda kaynakçada 28 eser var; her birinin metin içinde karşılığı denetlendi. Bu, eski 26 eserin özgün tam metinlerinin yeniden doğrulandığı anlamına gelmez.</w:t>
      </w:r>
    </w:p>
    <w:p>
      <w:pPr>
        <w:pStyle w:val="ListBullet"/>
      </w:pPr>
      <w:r>
        <w:rPr>
          <w:b w:val="0"/>
        </w:rPr>
        <w:t>Eski Tablo 2.1’de kaynakları belirsiz yeterlik iddiaları yerine bu araştırmanın etkinlik/ölçüm kapsamı yazıldı. Nicel veri tabloları değiştirilmedi.</w:t>
      </w:r>
    </w:p>
    <w:p>
      <w:pPr>
        <w:pStyle w:val="ListBullet"/>
      </w:pPr>
      <w:r>
        <w:rPr>
          <w:b w:val="0"/>
        </w:rPr>
        <w:t>Katılımcı alıntıları K1–K4 ve soru numarasıyla tanımlandı; bunlar yayımlanmış eser veya kaynakçada ayrı kişi kaydı olarak gösterilmedi. Otuz alıntı, kaynak yanıt metinleriyle birebir karşılaştırıldı.</w:t>
      </w:r>
    </w:p>
    <w:p>
      <w:pPr>
        <w:pStyle w:val="ListBullet"/>
      </w:pPr>
      <w:r>
        <w:rPr>
          <w:b w:val="0"/>
        </w:rPr>
        <w:t>İçindekiler, tablolar ve şekiller listeleri ile sayfa bilgileri bütünleşik dosyaya göre düzenlendi. Gereksiz boş ön sayfalar giderildi; yeni görsellerin boyutları ve belge içindeki ilişkileri kontrol edildi.</w:t>
      </w:r>
    </w:p>
    <w:p>
      <w:pPr>
        <w:pStyle w:val="Heading2"/>
      </w:pPr>
      <w:r>
        <w:t>Ana teze eklenen ekler</w:t>
      </w:r>
    </w:p>
    <w:p>
      <w:r>
        <w:rPr>
          <w:b w:val="0"/>
        </w:rPr>
        <w:t xml:space="preserve">1. </w:t>
      </w:r>
      <w:r>
        <w:rPr>
          <w:b/>
        </w:rPr>
        <w:t>Ek 1 — İletişim Becerileri Ölçeği:</w:t>
      </w:r>
      <w:r>
        <w:rPr>
          <w:b w:val="0"/>
        </w:rPr>
        <w:t xml:space="preserve"> Paylaşılan formdan 25 madde ve beş yanıt seçeneği.</w:t>
      </w:r>
    </w:p>
    <w:p>
      <w:r>
        <w:rPr>
          <w:b w:val="0"/>
        </w:rPr>
        <w:t xml:space="preserve">2. </w:t>
      </w:r>
      <w:r>
        <w:rPr>
          <w:b/>
        </w:rPr>
        <w:t>Ek 2 — Problem Çözme Becerileri Ölçeği:</w:t>
      </w:r>
      <w:r>
        <w:rPr>
          <w:b w:val="0"/>
        </w:rPr>
        <w:t xml:space="preserve"> Paylaşılan formdan 35 madde ve altı yanıt seçeneği. Kaynak formun * ve Ω işaretleri korundu; bunlardan yeni bir puanlama anahtarı türetilmedi. Formun sonunda başka bir çalışmaya ait görünen ,920 alfa cümlesi bu araştırmanın sonucu olarak aktarılmadı.</w:t>
      </w:r>
    </w:p>
    <w:p>
      <w:r>
        <w:rPr>
          <w:b w:val="0"/>
        </w:rPr>
        <w:t xml:space="preserve">3. </w:t>
      </w:r>
      <w:r>
        <w:rPr>
          <w:b/>
        </w:rPr>
        <w:t>Ek 3 — Güncel görüşme soruları:</w:t>
      </w:r>
      <w:r>
        <w:rPr>
          <w:b w:val="0"/>
        </w:rPr>
        <w:t xml:space="preserve"> Yedi ana soru/11 yanıt başlığı; numaralandırma ve küçük dil bilgisi düzeltmeleriyle.</w:t>
      </w:r>
    </w:p>
    <w:p>
      <w:r>
        <w:rPr>
          <w:b w:val="0"/>
        </w:rPr>
        <w:t xml:space="preserve">4. </w:t>
      </w:r>
      <w:r>
        <w:rPr>
          <w:b/>
        </w:rPr>
        <w:t>Ek 4 — Nitel kod kitabı:</w:t>
      </w:r>
      <w:r>
        <w:rPr>
          <w:b w:val="0"/>
        </w:rPr>
        <w:t xml:space="preserve"> 53 kod, dört tema, kapsama ve dışlama ölçütleri.</w:t>
      </w:r>
    </w:p>
    <w:p>
      <w:pPr>
        <w:pStyle w:val="Heading2"/>
      </w:pPr>
      <w:r>
        <w:t>Öncelik 1: Savunma/teslim öncesinde kapatılması gerekenler</w:t>
      </w:r>
    </w:p>
    <w:p>
      <w:pPr>
        <w:pStyle w:val="Heading3"/>
      </w:pPr>
      <w:r>
        <w:t>Kaynak temizliği — tamamlanan işlem ve doğrulama sınırı</w:t>
      </w:r>
    </w:p>
    <w:p>
      <w:r>
        <w:rPr>
          <w:b w:val="0"/>
        </w:rPr>
        <w:t>Kullanıcının “karşılığı yoksa sil” talimatı uygulandı. Kaynakçada karşılığı olmayan atıflar yalnızca parantezleri silinerek korunmadı: bunlara bağlanan iddialar ve doğrulanamayan araştırma özetleri de kaldırıldı ya da bölüm, araştırmanın kendi kapsamı açıklanarak yeniden yazıldı. Kaynak uydurulmadı. Eksik Yucasu (2015) kaydı ve ilgili özet çıkarıldı; kullanılmayan 10 kaynakça kaydı da temizlendi. Eski kaynak sorunları artık “PDF bekleyen açık işler” değildir; yapılan işlemler olarak kayıt altındadır.</w:t>
      </w:r>
    </w:p>
    <w:p>
      <w:r>
        <w:rPr>
          <w:b w:val="0"/>
        </w:rPr>
        <w:t xml:space="preserve">ATIF-KAYNAKCA-KONTROLU.xlsx dosyasında son sürümdeki </w:t>
      </w:r>
      <w:r>
        <w:rPr>
          <w:b/>
        </w:rPr>
        <w:t>28 metin–kaynakça eşleşmesi</w:t>
      </w:r>
      <w:r>
        <w:rPr>
          <w:b w:val="0"/>
        </w:rPr>
        <w:t>, eski sorunlu kayıtların kaldırılma durumu ve kaynakçadan çıkarılan kullanılmayan eserler yer alır. Yeni bölümdeki atıflar, yerel tam metni okunan ölçek makalesine ve örnek teze dayanır. Eski tezde tam künyesi bulunan ve metinde kullanılmaya devam eden diğer kaynakların özgün tam metinleri bu oturumda dış erişim engeli nedeniyle yeniden doğrulanmamıştır. Dolayısıyla eşleştirme denetimi, her eski yayının içerik ve künye doğrulamasının tamamlandığı şeklinde yorumlanmamalıdır.</w:t>
      </w:r>
    </w:p>
    <w:p>
      <w:pPr>
        <w:pStyle w:val="Heading3"/>
      </w:pPr>
      <w:r>
        <w:t>Ölçme aracı ve analiz raporlaması</w:t>
      </w:r>
    </w:p>
    <w:p>
      <w:r>
        <w:rPr>
          <w:b w:val="0"/>
        </w:rPr>
        <w:t>Mevcut GitHub sonuçları kullanıldı; puanlar yeniden tanımlanmadı. PÇBÖ uygulama formundaki işaretler, Türkçe altı faktör anlatımı ve mevcut kodun üç alt boyut/toplam düzeni arasında kaynakla açıklanması gereken farklar bulunmaktadır. Kullanılan sürüm ve anahtara ilişkin dayanak yöntem ve ekte tutarlı gösterilmelidir. Bu madde aktarımı durdurmak için kullanılmadı; bilimsel raporlamada açık kalan konuyu kayda geçirmek için belirtildi. Ayrı ön–son alfa hesapları ve fark puanlarına dayalı varsayım/duyarlılık değerlendirmesi de nihai nicel raporlamada ele alınmalıdır.</w:t>
      </w:r>
    </w:p>
    <w:p>
      <w:pPr>
        <w:pStyle w:val="Heading3"/>
      </w:pPr>
      <w:r>
        <w:t>Etik kurul ve uygulama izinleri</w:t>
      </w:r>
    </w:p>
    <w:p>
      <w:r>
        <w:rPr>
          <w:b w:val="0"/>
        </w:rPr>
        <w:t>Gereken: Varsa etik kurul karar belgesi (kurul adı, tarih ve sayı), kurum/uygulama izni ve kullanılan bilgilendirme–gönüllü katılım/onam formu. Bu belgeler görülmediği için tarih, karar numarası veya “izin alınmıştır” cümlesi üretilmedi. Etik beyan sayfası etik kurul karar belgesinin yerine geçmez. Onay/izin gerekliliklerini ve belge yoksa izlenecek yolu danışmanın ve enstitünle netleştir; geriye dönük belge veya işlem uydurulamaz.</w:t>
      </w:r>
    </w:p>
    <w:p>
      <w:pPr>
        <w:pStyle w:val="Heading3"/>
      </w:pPr>
      <w:r>
        <w:t>Ölçek kullanım izinleri</w:t>
      </w:r>
    </w:p>
    <w:p>
      <w:r>
        <w:rPr>
          <w:b w:val="0"/>
        </w:rPr>
        <w:t>Gereken: Yazarlardan alınmış izin yazışmaları, izin belgesi veya ölçeğin kullanım koşullarını gösteren kaynak. Ölçeklerin madde metinleri kaynak gösterilerek eklendi; bu aktarım, ayrıca kullanım izni bulunduğunun doğrulanması anlamına gelmez. İzin yazışmaları eklenecekse gereksiz kişisel iletişim bilgileri gizlenebilir.</w:t>
      </w:r>
    </w:p>
    <w:p>
      <w:pPr>
        <w:pStyle w:val="Heading3"/>
      </w:pPr>
      <w:r>
        <w:t>Yöntem ayrıntıları</w:t>
      </w:r>
    </w:p>
    <w:p>
      <w:r>
        <w:rPr>
          <w:b w:val="0"/>
        </w:rPr>
        <w:t>Gereken: Uygulama dönemi ve tarih aralığı; görüşmelerin tarih aralığı, yaklaşık süreleri ve görüşmeyi kimin yaptığı; rastgele seçimin somut olarak nasıl yürütüldüğü; görüşme formu için gerçekten alınmış uzman görüşlerinin kimlerden/hangi alanlardan ve nasıl alındığı. Eski metindeki uzman değerlendirmesi anlatımı araştırmacı beyanı olarak korundu, yeni uzman/işlem eklenmedi. Bu bilgiler varsa belgeleriyle tamamlanmalı; yapılmayan işlem tezde yapıldı diye yazılmamalıdır.</w:t>
      </w:r>
    </w:p>
    <w:p>
      <w:pPr>
        <w:pStyle w:val="Heading3"/>
      </w:pPr>
      <w:r>
        <w:t>Danışman/enstitü biçim kontrolü</w:t>
      </w:r>
    </w:p>
    <w:p>
      <w:r>
        <w:rPr>
          <w:b w:val="0"/>
        </w:rPr>
        <w:t>Gereken: Geçerli Marmara EBE tez yazım kılavuzu ve varsa zorunlu Word şablonu. Bu oturumda güncel resmî kılavuza erişilmedi. Mevcut tezin ana düzeni korundu; bölüm aktarımı ve okunabilirlik düzeltildi. Kenar boşlukları, kaynakça standardı, kapak başlığının kayıtlı biçimi, imza/onay sayfaları ve özgeçmiş gibi zorunlu sayfalar güncel kurala göre son kez denetlenmeli. İngilizce başlıktaki Türkçe İ karakterleri ve kapaktaki “yönetiminin/yönteminin” yazımı düzeltildi; resmî kayıtlı tez başlığıyla karşılaştırılmalı.</w:t>
      </w:r>
    </w:p>
    <w:p>
      <w:pPr>
        <w:pStyle w:val="Heading2"/>
      </w:pPr>
      <w:r>
        <w:t>Öncelik 2: Uygulama sürecini belgelendirecek güçlü ekler</w:t>
      </w:r>
    </w:p>
    <w:p>
      <w:pPr>
        <w:pStyle w:val="ListBullet"/>
      </w:pPr>
      <w:r>
        <w:rPr>
          <w:b w:val="0"/>
        </w:rPr>
      </w:r>
      <w:r>
        <w:rPr>
          <w:b/>
        </w:rPr>
        <w:t>Haftalık ders/uygulama planı:</w:t>
      </w:r>
      <w:r>
        <w:rPr>
          <w:b w:val="0"/>
        </w:rPr>
        <w:t xml:space="preserve"> Amaç, etkinlik, süre, araç–gereç, öğretim elemanı ve öğrenci rolleri, ara ürünler ve değerlendirme. Ana metinde sekiz haftalık akış vardır; ayrıntılı uygulama planı ayrıca gönderilirse Ek 5 olarak düzenlenebilir.</w:t>
      </w:r>
    </w:p>
    <w:p>
      <w:pPr>
        <w:pStyle w:val="ListBullet"/>
      </w:pPr>
      <w:r>
        <w:rPr>
          <w:b w:val="0"/>
        </w:rPr>
      </w:r>
      <w:r>
        <w:rPr>
          <w:b/>
        </w:rPr>
        <w:t>Proje yönergesi ve gerçek problem durumları:</w:t>
      </w:r>
      <w:r>
        <w:rPr>
          <w:b w:val="0"/>
        </w:rPr>
        <w:t xml:space="preserve"> Öğrencilere verilen açıklama, görev, sınırlılıklar ve beklenen ürün. Uygulamada kullanılmamış yeni bir yönergeyi geçmişte kullanılmış gibi eklememeliyiz.</w:t>
      </w:r>
    </w:p>
    <w:p>
      <w:pPr>
        <w:pStyle w:val="ListBullet"/>
      </w:pPr>
      <w:r>
        <w:rPr>
          <w:b w:val="0"/>
        </w:rPr>
      </w:r>
      <w:r>
        <w:rPr>
          <w:b/>
        </w:rPr>
        <w:t>Öğrenci ürünleri ve revizyon örnekleri:</w:t>
      </w:r>
      <w:r>
        <w:rPr>
          <w:b w:val="0"/>
        </w:rPr>
        <w:t xml:space="preserve"> Anonim proje taslağı, prototip/fotoğraf, rapor/sunum ve varsa ilk–son sürüm. Görsellerin altına proje kodu, neyi gösterdiği ve aşaması yazılabilir. Seçim çeşitliliği yansıtmalı; yalnızca en başarılı ürünlerle süreç olduğundan farklı gösterilmemeli.</w:t>
      </w:r>
    </w:p>
    <w:p>
      <w:pPr>
        <w:pStyle w:val="ListBullet"/>
      </w:pPr>
      <w:r>
        <w:rPr>
          <w:b w:val="0"/>
        </w:rPr>
      </w:r>
      <w:r>
        <w:rPr>
          <w:b/>
        </w:rPr>
        <w:t>Kullanılan değerlendirme araçları:</w:t>
      </w:r>
      <w:r>
        <w:rPr>
          <w:b w:val="0"/>
        </w:rPr>
        <w:t xml:space="preserve"> Gerçekten uygulanmış rubrik, kontrol listesi veya geri bildirim formu varsa eklenebilir. Kullanılmayan rubriğe dayalı geçmiş başarı puanları üretilmez.</w:t>
      </w:r>
    </w:p>
    <w:p>
      <w:pPr>
        <w:pStyle w:val="ListBullet"/>
      </w:pPr>
      <w:r>
        <w:rPr>
          <w:b w:val="0"/>
        </w:rPr>
      </w:r>
      <w:r>
        <w:rPr>
          <w:b/>
        </w:rPr>
        <w:t>Gerçek süreç kayıtları:</w:t>
      </w:r>
      <w:r>
        <w:rPr>
          <w:b w:val="0"/>
        </w:rPr>
        <w:t xml:space="preserve"> Varsa çalışma günlükleri, ara değerlendirme/geri bildirim örnekleri ve ders gözlem notları. Bunlar yeni bir veri kaynağı olarak analiz edilecekse yöntem ve bulgular ayrıca güncellenmelidir; yalnızca belge örneği olarak eklemek yeni sonuç üretildiği anlamına gelmez.</w:t>
      </w:r>
    </w:p>
    <w:p>
      <w:r>
        <w:rPr>
          <w:b w:val="0"/>
        </w:rPr>
        <w:t>Bu ekler mevcut belgelere göre numaralandırılmalı; olmayan belgeler için tezde boş veya yanıltıcı ek sayfaları bırakılmadı. Etik/izin belgeleri geldiğinde Ek 5 ve sonrası sırası yeniden düzenlenebilir.</w:t>
      </w:r>
    </w:p>
    <w:p>
      <w:pPr>
        <w:pStyle w:val="Heading2"/>
      </w:pPr>
      <w:r>
        <w:t>Öncelik 3: Hangi sonuçlar eklerde olmalı?</w:t>
      </w:r>
    </w:p>
    <w:p>
      <w:pPr>
        <w:pStyle w:val="ListBullet"/>
      </w:pPr>
      <w:r>
        <w:rPr>
          <w:b w:val="0"/>
        </w:rPr>
      </w:r>
      <w:r>
        <w:rPr>
          <w:b/>
        </w:rPr>
        <w:t>Ana bulgular</w:t>
      </w:r>
      <w:r>
        <w:rPr>
          <w:b w:val="0"/>
        </w:rPr>
        <w:t xml:space="preserve"> zaten bölüm 4’tedir; bütün tabloları eklerde yeniden çoğaltmaya gerek yoktur.</w:t>
      </w:r>
    </w:p>
    <w:p>
      <w:pPr>
        <w:pStyle w:val="ListBullet"/>
      </w:pPr>
      <w:r>
        <w:rPr>
          <w:b w:val="0"/>
        </w:rPr>
      </w:r>
      <w:r>
        <w:rPr>
          <w:b/>
        </w:rPr>
        <w:t>Ayrıntılı analiz çıktıları</w:t>
      </w:r>
      <w:r>
        <w:rPr>
          <w:b w:val="0"/>
        </w:rPr>
        <w:t xml:space="preserve"> (örneğin ayrı zaman güvenirliği, fark puanı incelemeleri ve ek duyarlılık sonuçları) gerçekten hesaplanıp yöntemle ilişkilendirildikten sonra eklenebilir. Mevcut kodlama ve kanıt Excel’i çalışma dosyası olarak korunmuştur.</w:t>
      </w:r>
    </w:p>
    <w:p>
      <w:pPr>
        <w:pStyle w:val="ListBullet"/>
      </w:pPr>
      <w:r>
        <w:rPr>
          <w:b w:val="0"/>
        </w:rPr>
      </w:r>
      <w:r>
        <w:rPr>
          <w:b/>
        </w:rPr>
        <w:t>Ham Excel verileri</w:t>
      </w:r>
      <w:r>
        <w:rPr>
          <w:b w:val="0"/>
        </w:rPr>
        <w:t xml:space="preserve"> isim, e-posta ve öğrenci numarası içerdiği için olduğu gibi teze veya herkese açık ek pakete konmamalıdır. Analitik olarak gerekli bir veri eki hazırlanacaksa geri tanımlamaya yol açmayacak biçimde kodlanmalı; kod–kimlik anahtarı ayrı ve güvenli tutulmalıdır.</w:t>
      </w:r>
    </w:p>
    <w:p>
      <w:pPr>
        <w:pStyle w:val="ListBullet"/>
      </w:pPr>
      <w:r>
        <w:rPr>
          <w:b w:val="0"/>
        </w:rPr>
      </w:r>
      <w:r>
        <w:rPr>
          <w:b/>
        </w:rPr>
        <w:t>Tam görüşme dökümleri</w:t>
      </w:r>
      <w:r>
        <w:rPr>
          <w:b w:val="0"/>
        </w:rPr>
        <w:t xml:space="preserve"> zorunlu kabul edilmedi. Danışman/enstitü ister ve katılım koşulları uygunsa K1–K4 kodlarıyla, kişi/kurum tanımlayıcıları temizlenerek eklenebilir. Seçilmiş doğrudan alıntılar ve kod kitabı şu an ana dosyada bulunmaktadır.</w:t>
      </w:r>
    </w:p>
    <w:p>
      <w:pPr>
        <w:pStyle w:val="ListBullet"/>
      </w:pPr>
      <w:r>
        <w:rPr>
          <w:b w:val="0"/>
        </w:rPr>
      </w:r>
      <w:r>
        <w:rPr>
          <w:b/>
        </w:rPr>
        <w:t>Danışmanın el yazısı kodlama notları</w:t>
      </w:r>
      <w:r>
        <w:rPr>
          <w:b w:val="0"/>
        </w:rPr>
        <w:t xml:space="preserve"> dijital analiz raporunda korunmaktadır; öğrenci adı içerebilecek ham fotoğraflar tez ekine aktarılmadı. Gerekiyorsa kimliksiz bir kodlama örneği seçilebilir. Bu notlar bağımsız iki kodlayıcılı analiz yapıldığının kanıtı olarak sunulmamalıdır.</w:t>
      </w:r>
    </w:p>
    <w:p>
      <w:pPr>
        <w:pStyle w:val="Heading2"/>
      </w:pPr>
      <w:r>
        <w:t>Benzerlik ve alıntı sınırı</w:t>
      </w:r>
    </w:p>
    <w:p>
      <w:r>
        <w:rPr>
          <w:b w:val="0"/>
        </w:rPr>
        <w:t>Yeni anlatım özgün sentezle yazıldı; öğrenci alıntıları kaynak yanıtlarına sadık tutuldu, ölçek maddeleri kaynaklarıyla açıkça ayrıldı. Benzerlik taraması yapacak Turnitin/iThenticate erişimi yoktur; oran hesaplanmadı ve %20 altında kalacağı garanti edilemez. Tam ölçek metinleri benzerlik eşleşmesi oluşturabilir. Gerekli maddeleri eşleşmeyi azaltmak için yeniden yazmak yerine, enstitünün alıntı/kaynakça/eklerin taranmasına ilişkin kuralları uygulanmalıdır. Son bütünleşik dosyanın raporu danışmanınla birlikte incelenmelidir.</w:t>
      </w:r>
    </w:p>
    <w:sectPr w:rsidR="00FC693F" w:rsidRPr="0006063C" w:rsidSect="00034616">
      <w:footerReference w:type="default" r:id="rId9"/>
      <w:pgSz w:w="11906" w:h="16838"/>
      <w:pgMar w:top="1304" w:right="1417" w:bottom="130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Gökhan Kaya</dc:creator>
  <cp:keywords/>
  <dc:description>generated by python-docx</dc:description>
  <cp:lastModifiedBy/>
  <cp:revision>1</cp:revision>
  <dcterms:created xsi:type="dcterms:W3CDTF">2013-12-23T23:15:00Z</dcterms:created>
  <dcterms:modified xsi:type="dcterms:W3CDTF">2013-12-23T23:15:00Z</dcterms:modified>
  <cp:category/>
</cp:coreProperties>
</file>