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sz w:val="30"/>
        </w:rPr>
        <w:t>TABLO DÜZENİ: DANIŞMAN TEZLERİYLE KARŞILAŞTIRMA VE ÖNERİ</w:t>
      </w:r>
    </w:p>
    <w:p>
      <w:r>
        <w:t>Gökhan Kaya — 26 Ekim 2026</w:t>
      </w:r>
    </w:p>
    <w:p>
      <w:r>
        <w:t>Amaç: Hocanın ses kaydındaki “bizim tablolarımız gibi” talebini, danışmanlığındaki gerçek tezlerle karşılaştırmak ve mevcut sonuçları değiştirmeden uygulanabilecek sunum seçeneklerini göstermek. Bu belge bir değerlendirme ve örnek düzen dosyasıdır; ana tezdeki veri tabloları bu aşamada değiştirilmemiştir.</w:t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1. İncelenen tezler ve doğrulanmış örnekler</w:t>
      </w:r>
    </w:p>
    <w:p>
      <w:r>
        <w:t>Son PDF’de adı özellikle verilen üç yazar esas alındı. Aşağıda belirtilen yöntem ve bulgu sayfaları özgün tam metinlerden incelendi; tezlerin tamamının baştan sona okunduğu iddia edilmiyor. Yeni ulaşılan iki tezin danışman bilgisi resmî YÖK kayıtları ve iç kapaklarıyla doğrulandı.</w:t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Gözde Çokyaşar Özdemir (2023), YÖK 830106</w:t>
      </w:r>
    </w:p>
    <w:p>
      <w:r>
        <w:t>Yer bilimi dersinde bilim tarihi temelli dijital hikâye uygulamalarının etkililiğinin incelenmesi: Fen bilgisi öğretmen adayları örneği</w:t>
      </w:r>
    </w:p>
    <w:p>
      <w:r>
        <w:t>Basılı s. 37–38 (PDF 50–51): analiz; s. 40–44 (PDF 53–57): tablolar. Özellikle Tablo 4.3 ve 4.5.</w:t>
      </w:r>
    </w:p>
    <w:p>
      <w:r>
        <w:t>Aynı ölçek/alt boyut için ön test ve son test ayrı satırlar; N, Ortalama, SS, sd, t ve p sütunları. Toplam ve alt boyutlar birlikte.</w:t>
      </w:r>
    </w:p>
    <w:p>
      <w:hyperlink r:id="rId10">
        <w:r>
          <w:rPr>
            <w:color w:val="0563C1"/>
          </w:rPr>
          <w:t>Kaynağı aç</w:t>
        </w:r>
      </w:hyperlink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Sümeyye Demiryapan (2024), YÖK 865670</w:t>
      </w:r>
    </w:p>
    <w:p>
      <w:r>
        <w:t>Rol oynama ile desteklenmiş hikâyelerin 7. sınıf öğrencilerinin küresel ısınma konusundaki bilgi ve algıları ile bilim hakkındaki görüşlerine etkisi</w:t>
      </w:r>
    </w:p>
    <w:p>
      <w:r>
        <w:t>Basılı s. 67–68 (PDF 85–86): içerik analizi; s. 69–70 (PDF 87–88): Tablo 4.0 ve 4.1.</w:t>
      </w:r>
    </w:p>
    <w:p>
      <w:r>
        <w:t>Ön–son ölçüm satırları; ardından ortalamalar ve anlamlılıkla kısa açıklama. Açık uçlu yanıtlarda kod/tema, frekans ve örnek ifadeler.</w:t>
      </w:r>
    </w:p>
    <w:p>
      <w:hyperlink r:id="rId11">
        <w:r>
          <w:rPr>
            <w:color w:val="0563C1"/>
          </w:rPr>
          <w:t>Kaynağı aç</w:t>
        </w:r>
      </w:hyperlink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Çiğdem Çakır Şık (2023), YÖK 810978</w:t>
      </w:r>
    </w:p>
    <w:p>
      <w:r>
        <w:t>Bilimkurgu filmleri ve bilimkurgu kitaplarının 7. sınıf öğrencileri üzerinde çevre okuryazarlığına etkisinin incelenmesi</w:t>
      </w:r>
    </w:p>
    <w:p>
      <w:r>
        <w:t>Basılı s. 60 (PDF 76): analiz; s. 62–65 (PDF 78–81): nicel tablolar; s. 87–88 (PDF 103–104): kod/frekans/örnek öğrenci yanıtları.</w:t>
      </w:r>
    </w:p>
    <w:p>
      <w:r>
        <w:t>Araştırma sorusu, kullanılacak karşılaştırma, tablo ve kısa yorum sırası. Görüşme/açık uçlu verilerde frekans ve örnek cevap ilişkisi açık.</w:t>
      </w:r>
    </w:p>
    <w:p>
      <w:hyperlink r:id="rId12">
        <w:r>
          <w:rPr>
            <w:color w:val="0563C1"/>
          </w:rPr>
          <w:t>Kaynağı aç</w:t>
        </w:r>
      </w:hyperlink>
    </w:p>
    <w:p>
      <w:r>
        <w:t>Erişim notu: YÖK ayrıntı bağlantıları yapılandırılmış kayıt gösterebilir. Bağlantı çalışmazsa https://tez.yok.gov.tr/UlusalTezMerkezi/ üzerinden tez numarasıyla arama yapılabilir. Erişim sağlanan tam metinler yalnız çalışma alanında tutuldu; bu rapora yeniden dağıtım amacıyla eklenmedi.</w:t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2. Bizim sunumumuz ne ölçüde farklı?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40" w:type="dxa"/>
          <w:bottom w:w="40" w:type="dxa"/>
          <w:right w:w="40" w:type="dxa"/>
        </w:tblCellMar>
        <w:tblBorders>
          <w:top w:val="single" w:sz="4" w:color="909090"/>
          <w:bottom w:val="single" w:sz="4" w:color="909090"/>
          <w:insideH w:val="single" w:sz="4" w:color="909090"/>
        </w:tblBorders>
      </w:tblPr>
      <w:tblGrid>
        <w:gridCol w:w="1417"/>
        <w:gridCol w:w="3458"/>
        <w:gridCol w:w="4195"/>
      </w:tblGrid>
      <w:tr>
        <w:trPr>
          <w:tblHeader/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Alan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Mevcut durum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Önerilen düzen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 testi düzeni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Tablo 4.5 ve 4.10: ön ortalama/SS ile son ortalama/SS yan yana; 10 sütun.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Ölçümleri alt alta iki satırda ver; test başına sd, t ve p değerlerini ortak hücrede göster.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Okunabilirlik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Mevcut PDF’de t testi sayfasında tablo metni 8 punto. Kılavuz alt sınırına uygun olsa da sıkışık.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Yerleşime göre 10–11 punto hedefle; başlığı ve tablo notunu aynı sayfada tut.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Sütun adları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“Ön x̄”, “Son x̄”, İngilizce “Cohen’s d/dz” ve farklı p yazımları var.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“Ölçek/Alt boyut, Ölçüm, N, Ortalama, SS, sd, t, p, |dz|” başlıklarını tutarlı kullan.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İstatistik notu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Etki büyüklüğü bir tabloda d, diğerinde dz olarak adlandırılıyor; işaret yönü kolay izlenmiyor.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Eşleştirilmiş ölçüm için dz tanımını açıkla. Mevcut pozitif büyüklükleri |dz| ile ver. Fark yönünü her ölçek için belirt.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Tanımlayıcı tablolar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Tablo 4.3 ve 4.8 zaten ön–son satırları ve N, ortalama, SS içeriyor.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Temel yapı korunabilir. Min/Max gerekli görülmezse eke taşınabilir; zorunlu silme önerilmiyor.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Normallik tabloları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Mevcut Tablo 4.4 ve 4.9 eşleştirilmiş farkların normalliğini gösteriyor.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Doğru birim olan fark puanlarını koru. Sütunları sadeleştirmek istenirse W ve p ana tabloda, fark SS ek kayıtta verilebilir.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Görüşme tabloları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Kod/kategori, f ve katılımcı kodları; doğrudan alıntılar tablo altında.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Bu biçim kullanılabilir. Seçilmiş tablolarda örnek alıntı ek sütunla ilişkilendirilebilir; bütün alıntıları tabloya doldurmak sayfayı sıkıştırır.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Tekrarlar</w:t>
            </w:r>
          </w:p>
        </w:tc>
        <w:tc>
          <w:tcPr>
            <w:tcW w:type="dxa" w:w="345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Her ölçekte N=40 katılım tablosu; ayrıca güvenirlik ve aynı bilgileri yineleyen açıklamalar var.</w:t>
            </w:r>
          </w:p>
        </w:tc>
        <w:tc>
          <w:tcPr>
            <w:tcW w:type="dxa" w:w="419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İkinci aşamada katılım bilgisi tek yerde toplanabilir. Bu, tablo numaralarının ve tüm atıfların birlikte güncellenmesini gerektirir.</w:t>
            </w:r>
          </w:p>
        </w:tc>
      </w:tr>
    </w:tbl>
    <w:p>
      <w:r>
        <w:br w:type="page"/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3. Önerilen düzenin kendi verilerimizle örneği</w:t>
      </w:r>
    </w:p>
    <w:p>
      <w:r>
        <w:t>Aşağıdaki iki tablo, ana tezdeki Tablo 4.5 ve 4.10’un aynı sayılarıyla hazırlanmıştır. Yeni test yapılmadı; katılımcı, puan, p değeri veya anlamlılık sonucu değiştirilmedi. Biçim önerisi, SPSS kullanıldığını göstermez. Ortalama ve SS üç ondalıkla korundu; Türkçe gösterim için ondalık ayıracı virgüldür.</w:t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Örnek A — PÇBÖ ön test–son test karşılaştırması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40" w:type="dxa"/>
          <w:bottom w:w="40" w:type="dxa"/>
          <w:right w:w="40" w:type="dxa"/>
        </w:tblCellMar>
        <w:tblBorders>
          <w:top w:val="single" w:sz="4" w:color="909090"/>
          <w:bottom w:val="single" w:sz="4" w:color="909090"/>
          <w:insideH w:val="single" w:sz="4" w:color="909090"/>
        </w:tblBorders>
      </w:tblPr>
      <w:tblGrid>
        <w:gridCol w:w="2721"/>
        <w:gridCol w:w="850"/>
        <w:gridCol w:w="454"/>
        <w:gridCol w:w="1077"/>
        <w:gridCol w:w="765"/>
        <w:gridCol w:w="454"/>
        <w:gridCol w:w="765"/>
        <w:gridCol w:w="737"/>
        <w:gridCol w:w="850"/>
      </w:tblGrid>
      <w:tr>
        <w:trPr>
          <w:tblHeader/>
          <w:cantSplit/>
        </w:trPr>
        <w:tc>
          <w:tcPr>
            <w:tcW w:type="dxa" w:w="2721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Ölçek/Alt boyut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Ölçüm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Ortalama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SS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</w:t>
            </w:r>
          </w:p>
        </w:tc>
        <w:tc>
          <w:tcPr>
            <w:tcW w:type="dxa" w:w="73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|dz|</w:t>
            </w:r>
          </w:p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Problem Çözmeye Güvenme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2,659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0,637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3,885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&lt; ,001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0,614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2,386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0,608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Yaklaşma-Kaçınma Stili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3,033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0,629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0,553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,584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0,087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2,986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0,613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Kişisel Kontrol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2,815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0,668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2,609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,013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0,412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2,525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0,683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PÇBÖ Toplam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2,904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0,577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2,372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,023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0,375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2,741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0,520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</w:tbl>
    <w:p>
      <w:r>
        <w:t>Not. N=40; sd=39. Testler çift yönlüdür. PÇBÖ için t işareti mevcut analizde ön test − son test yönündedir. Düşük puan daha olumlu problem çözme öz değerlendirmesidir. |dz|, eşleştirilmiş fark için hesaplanan Cohen dz katsayısının mutlak büyüklüğüdür. Alt boyutlar ikincil karşılaştırmalardır; çoklu karşılaştırma düzeltmesi uygulanmamıştır. &lt;,001 ifadesi p’nin sıfır olduğu anlamına gelmez.</w:t>
      </w:r>
    </w:p>
    <w:p>
      <w:r>
        <w:br w:type="page"/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Örnek B — İBDÖ ön test–son test karşılaştırması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40" w:type="dxa"/>
          <w:bottom w:w="40" w:type="dxa"/>
          <w:right w:w="40" w:type="dxa"/>
        </w:tblCellMar>
        <w:tblBorders>
          <w:top w:val="single" w:sz="4" w:color="909090"/>
          <w:bottom w:val="single" w:sz="4" w:color="909090"/>
          <w:insideH w:val="single" w:sz="4" w:color="909090"/>
        </w:tblBorders>
      </w:tblPr>
      <w:tblGrid>
        <w:gridCol w:w="2721"/>
        <w:gridCol w:w="850"/>
        <w:gridCol w:w="454"/>
        <w:gridCol w:w="1077"/>
        <w:gridCol w:w="765"/>
        <w:gridCol w:w="454"/>
        <w:gridCol w:w="765"/>
        <w:gridCol w:w="737"/>
        <w:gridCol w:w="850"/>
      </w:tblGrid>
      <w:tr>
        <w:trPr>
          <w:tblHeader/>
          <w:cantSplit/>
        </w:trPr>
        <w:tc>
          <w:tcPr>
            <w:tcW w:type="dxa" w:w="2721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Ölçek/Alt boyut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Ölçüm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Ortalama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SS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</w:t>
            </w:r>
          </w:p>
        </w:tc>
        <w:tc>
          <w:tcPr>
            <w:tcW w:type="dxa" w:w="73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|dz|</w:t>
            </w:r>
          </w:p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İletişim İlkeleri ve Temel Beceriler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3,908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0,405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1,563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,126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0,247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4,012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0,341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Kendini İfade Etme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3,675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0,631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1,220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,230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0,193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3,800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0,641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Etkin Dinleme ve Sözel Olmayan İletişim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3,912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0,451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1,589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,120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0,251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4,017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0,404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İletişim Kurmaya İsteklilik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3,690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0,522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0,726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,472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0,115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3,730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0,497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rPr>
          <w:cantSplit/>
        </w:trPr>
        <w:tc>
          <w:tcPr>
            <w:tcW w:type="dxa" w:w="2721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İBDÖ Toplam</w:t>
            </w:r>
          </w:p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Ön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3,828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0,387</w:t>
            </w:r>
          </w:p>
        </w:tc>
        <w:tc>
          <w:tcPr>
            <w:tcW w:type="dxa" w:w="454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39</w:t>
            </w:r>
          </w:p>
        </w:tc>
        <w:tc>
          <w:tcPr>
            <w:tcW w:type="dxa" w:w="765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1,695</w:t>
            </w:r>
          </w:p>
        </w:tc>
        <w:tc>
          <w:tcPr>
            <w:tcW w:type="dxa" w:w="737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,098</w:t>
            </w:r>
          </w:p>
        </w:tc>
        <w:tc>
          <w:tcPr>
            <w:tcW w:type="dxa" w:w="850"/>
            <w:vMerge w:val="restart"/>
            <w:vAlign w:val="center"/>
          </w:tcPr>
          <w:p>
            <w:r>
              <w:rPr>
                <w:rFonts w:ascii="Times New Roman" w:hAnsi="Times New Roman" w:cs="Times New Roman" w:eastAsia="Times New Roman"/>
                <w:sz w:val="20"/>
              </w:rPr>
              <w:t>0,268</w:t>
            </w:r>
          </w:p>
        </w:tc>
      </w:tr>
      <w:tr>
        <w:trPr>
          <w:cantSplit/>
        </w:trPr>
        <w:tc>
          <w:tcPr>
            <w:tcW w:type="dxa" w:w="2721"/>
            <w:vMerge/>
            <w:vAlign w:val="center"/>
          </w:tcPr>
          <w:p/>
        </w:tc>
        <w:tc>
          <w:tcPr>
            <w:tcW w:type="dxa" w:w="85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Son test</w:t>
            </w:r>
          </w:p>
        </w:tc>
        <w:tc>
          <w:tcPr>
            <w:tcW w:type="dxa" w:w="45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3,923</w:t>
            </w:r>
          </w:p>
        </w:tc>
        <w:tc>
          <w:tcPr>
            <w:tcW w:type="dxa" w:w="765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0,364</w:t>
            </w:r>
          </w:p>
        </w:tc>
        <w:tc>
          <w:tcPr>
            <w:tcW w:type="dxa" w:w="454"/>
            <w:vMerge/>
            <w:vAlign w:val="center"/>
          </w:tcPr>
          <w:p/>
        </w:tc>
        <w:tc>
          <w:tcPr>
            <w:tcW w:type="dxa" w:w="765"/>
            <w:vMerge/>
            <w:vAlign w:val="center"/>
          </w:tcPr>
          <w:p/>
        </w:tc>
        <w:tc>
          <w:tcPr>
            <w:tcW w:type="dxa" w:w="737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</w:tbl>
    <w:p>
      <w:r>
        <w:t>Not. N=40; sd=39. Testler çift yönlüdür. İBDÖ için t işareti mevcut analizde son test − ön test yönündedir. Yüksek puan daha olumlu iletişim öz değerlendirmesidir. |dz|, eşleştirilmiş fark için hesaplanan Cohen dz katsayısının mutlak büyüklüğüdür. Alt boyutlar ikincil karşılaştırmalardır; çoklu karşılaştırma düzeltmesi uygulanmamıştır. &lt;,001 ifadesi p’nin sıfır olduğu anlamına gelmez.</w:t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4. Ne korunmalı, ne kopyalanmamalı?</w:t>
      </w:r>
    </w:p>
    <w:p>
      <w:r>
        <w:t>Tek grupta iki ölçüm karşılaştırıldığı için bağımlı/eşleştirilmiş örneklemler t testi korunmalıdır. Yalnız “tek grup” ifadesinden hareketle tek örneklem t testine geçilmez. Kontrol grubu veya deney grubu üretilemez. Örnek tezlerdeki farklı yöntemler, normallik eşikleri veya p=0,000 yazımı bu çalışmaya aktarılmayacaktır. İletişim toplam puanı için p=,098 ve anlamlı olmayan sonuç korunur; PÇBÖ toplam p=,023 olarak kalır.</w:t>
      </w:r>
    </w:p>
    <w:p>
      <w:r>
        <w:t>Görüşmelerde dört kişinin frekanslarını yüzdeyle büyütmek yerine f ve katılımcı kodları tercih edilmelidir. Bağımsız ikinci kodlayıcı, doygunluk veya katılımcı teyidi yapılmış gibi yazılmayacaktır. Kaynak tezlerin cümleleri kopyalanmaz; yalnız sunum ilkeleri karşılaştırılır.</w:t>
      </w:r>
    </w:p>
    <w:p>
      <w:pPr>
        <w:keepNext/>
      </w:pPr>
      <w:r>
        <w:rPr>
          <w:rFonts w:ascii="Times New Roman" w:hAnsi="Times New Roman" w:cs="Times New Roman" w:eastAsia="Times New Roman"/>
          <w:b/>
          <w:sz w:val="24"/>
        </w:rPr>
        <w:t>5. Bu turdaki uygulama sınırı</w:t>
      </w:r>
    </w:p>
    <w:p>
      <w:r>
        <w:t>Yöntem anlatımı, görüşme analizi açıklaması, kaynak dengesi ve başlık dili güncel ana tezde düzenlenmektedir. Araştırma sorularının danışmanın PDF’de önerdiği üç soruya zaten indirildiği doğrulandı; kapsamı değiştirmeden korundu. Ana bulgu tabloları, sonuçları ve grafikler aynı bırakıldı. Yukarıdaki iki tablo, uygulanabilecek görünümü önceden değerlendirmeniz içindir. İstenirse sonraki aşamada iki t testi tablosu bu düzene geçirilir ve dizin/sayfa atıfları birlikte yenilenir.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okhantechnology-lab/tez-analiz/blob/main/data/%C3%96RNEK%20ALINAN%20TEZLER/830106%20%281%29.pdf" TargetMode="External"/><Relationship Id="rId11" Type="http://schemas.openxmlformats.org/officeDocument/2006/relationships/hyperlink" Target="https://tez.yok.gov.tr/UlusalTezMerkezi/tezBilgiDetay.jsp?kayitNo=6aZfPVBG3pTBIaZu51uz3w&amp;tezNo=qS7bISrQpGUyatzcgTZhjw" TargetMode="External"/><Relationship Id="rId12" Type="http://schemas.openxmlformats.org/officeDocument/2006/relationships/hyperlink" Target="https://tez.yok.gov.tr/UlusalTezMerkezi/tezBilgiDetay.jsp?kayitNo=gGrD7A-pk6cQ7GpT-Jka3Q&amp;tezNo=Fo39x5fsExJoPCYIT34sg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