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t>NİCEL–NİTEL ORTAK GÖSTERİM — ÇALIŞMA DOSYASI</w:t>
      </w:r>
    </w:p>
    <w:p>
      <w:pPr>
        <w:spacing w:after="80" w:line="269" w:lineRule="auto"/>
        <w:jc w:val="both"/>
      </w:pPr>
      <w:r>
        <w:rPr>
          <w:rFonts w:ascii="Times New Roman" w:hAnsi="Times New Roman"/>
          <w:sz w:val="22"/>
        </w:rPr>
        <w:t>Bu bölüm sonuç/tartışma ve karma yöntem bütünleştirmesi için hazırlanmış çalışma metnidir. Ana nitel bulgular metnine otomatik olarak eklenmemiştir. Nicel sonuçlar mevcut depo analizinden alınmış, puanlama veya anlamlılık sonuçları değiştirilmemiştir. Katılımcı bazında nicel puanlar ve görüşmeler arasında eşleştirme yapılmamıştır.</w:t>
      </w:r>
    </w:p>
    <w:p>
      <w:pPr>
        <w:keepNext/>
        <w:spacing w:after="80" w:line="269" w:lineRule="auto"/>
        <w:jc w:val="both"/>
      </w:pPr>
      <w:r>
        <w:rPr>
          <w:rFonts w:ascii="Times New Roman" w:hAnsi="Times New Roman"/>
          <w:b/>
          <w:sz w:val="22"/>
        </w:rPr>
        <w:t>Ortak gösterim çalışma tablosu — numarası sonuç/tartışmadaki yerleşime göre belirlenecek</w:t>
      </w:r>
    </w:p>
    <w:tbl>
      <w:tblPr>
        <w:tblStyle w:val="TableGrid"/>
        <w:tblW w:type="auto" w:w="0"/>
        <w:tblLayout w:type="fixed"/>
        <w:tblLook w:firstColumn="1" w:firstRow="1" w:lastColumn="0" w:lastRow="0" w:noHBand="0" w:noVBand="1" w:val="04A0"/>
      </w:tblPr>
      <w:tblGrid>
        <w:gridCol w:w="1134"/>
        <w:gridCol w:w="1984"/>
        <w:gridCol w:w="2268"/>
        <w:gridCol w:w="1587"/>
        <w:gridCol w:w="2268"/>
      </w:tblGrid>
      <w:tr>
        <w:trPr>
          <w:tblHeader/>
          <w:cantSplit/>
        </w:trPr>
        <w:tc>
          <w:tcPr>
            <w:tcW w:type="dxa" w:w="1860"/>
          </w:tcPr>
          <w:p>
            <w:pPr>
              <w:spacing w:before="40" w:after="60" w:line="252" w:lineRule="auto"/>
            </w:pPr>
            <w:r>
              <w:rPr>
                <w:rFonts w:ascii="Times New Roman" w:hAnsi="Times New Roman"/>
                <w:sz w:val="19"/>
              </w:rPr>
              <w:t>Bulgu alanı</w:t>
            </w:r>
          </w:p>
        </w:tc>
        <w:tc>
          <w:tcPr>
            <w:tcW w:type="dxa" w:w="1860"/>
          </w:tcPr>
          <w:p>
            <w:pPr>
              <w:spacing w:before="40" w:after="60" w:line="252" w:lineRule="auto"/>
            </w:pPr>
            <w:r>
              <w:rPr>
                <w:rFonts w:ascii="Times New Roman" w:hAnsi="Times New Roman"/>
                <w:sz w:val="19"/>
              </w:rPr>
              <w:t>Nicel bulgu</w:t>
            </w:r>
          </w:p>
        </w:tc>
        <w:tc>
          <w:tcPr>
            <w:tcW w:type="dxa" w:w="1860"/>
          </w:tcPr>
          <w:p>
            <w:pPr>
              <w:spacing w:before="40" w:after="60" w:line="252" w:lineRule="auto"/>
            </w:pPr>
            <w:r>
              <w:rPr>
                <w:rFonts w:ascii="Times New Roman" w:hAnsi="Times New Roman"/>
                <w:sz w:val="19"/>
              </w:rPr>
              <w:t>Nitel karşılık</w:t>
            </w:r>
          </w:p>
        </w:tc>
        <w:tc>
          <w:tcPr>
            <w:tcW w:type="dxa" w:w="1860"/>
          </w:tcPr>
          <w:p>
            <w:pPr>
              <w:spacing w:before="40" w:after="60" w:line="252" w:lineRule="auto"/>
            </w:pPr>
            <w:r>
              <w:rPr>
                <w:rFonts w:ascii="Times New Roman" w:hAnsi="Times New Roman"/>
                <w:sz w:val="19"/>
              </w:rPr>
              <w:t>Birlikte okuma</w:t>
            </w:r>
          </w:p>
        </w:tc>
        <w:tc>
          <w:tcPr>
            <w:tcW w:type="dxa" w:w="1860"/>
          </w:tcPr>
          <w:p>
            <w:pPr>
              <w:spacing w:before="40" w:after="60" w:line="252" w:lineRule="auto"/>
            </w:pPr>
            <w:r>
              <w:rPr>
                <w:rFonts w:ascii="Times New Roman" w:hAnsi="Times New Roman"/>
                <w:sz w:val="19"/>
              </w:rPr>
              <w:t>Yorum sınırı</w:t>
            </w:r>
          </w:p>
        </w:tc>
      </w:tr>
      <w:tr>
        <w:trPr>
          <w:cantSplit/>
        </w:trPr>
        <w:tc>
          <w:tcPr>
            <w:tcW w:type="dxa" w:w="1134"/>
          </w:tcPr>
          <w:p>
            <w:pPr>
              <w:spacing w:before="40" w:after="60" w:line="252" w:lineRule="auto"/>
            </w:pPr>
            <w:r>
              <w:rPr>
                <w:rFonts w:ascii="Times New Roman" w:hAnsi="Times New Roman"/>
                <w:sz w:val="19"/>
              </w:rPr>
              <w:t>Problem çözme toplam puanı</w:t>
            </w:r>
          </w:p>
        </w:tc>
        <w:tc>
          <w:tcPr>
            <w:tcW w:type="dxa" w:w="1984"/>
          </w:tcPr>
          <w:p>
            <w:pPr>
              <w:spacing w:before="40" w:after="60" w:line="252" w:lineRule="auto"/>
            </w:pPr>
            <w:r>
              <w:rPr>
                <w:rFonts w:ascii="Times New Roman" w:hAnsi="Times New Roman"/>
                <w:sz w:val="19"/>
              </w:rPr>
              <w:t>Mevcut analizde N=40; ön 2.904, son 2.741; t(39)=2.372, p=.023, d_z=.375. Bu puanlamada düşük puan daha olumlu algıdır.</w:t>
            </w:r>
          </w:p>
        </w:tc>
        <w:tc>
          <w:tcPr>
            <w:tcW w:type="dxa" w:w="2268"/>
          </w:tcPr>
          <w:p>
            <w:pPr>
              <w:spacing w:before="40" w:after="60" w:line="252" w:lineRule="auto"/>
            </w:pPr>
            <w:r>
              <w:rPr>
                <w:rFonts w:ascii="Times New Roman" w:hAnsi="Times New Roman"/>
                <w:sz w:val="19"/>
              </w:rPr>
              <w:t>Dört görüşmede problem çözmeye katkı algısı vardır (P11). K1 problemi değiştirmeyi; K2, K3 ve K4 alternatif/çözüm üzerinde çalışmayı anlatır.</w:t>
            </w:r>
          </w:p>
        </w:tc>
        <w:tc>
          <w:tcPr>
            <w:tcW w:type="dxa" w:w="1587"/>
          </w:tcPr>
          <w:p>
            <w:pPr>
              <w:spacing w:before="40" w:after="60" w:line="252" w:lineRule="auto"/>
            </w:pPr>
            <w:r>
              <w:rPr>
                <w:rFonts w:ascii="Times New Roman" w:hAnsi="Times New Roman"/>
                <w:sz w:val="19"/>
              </w:rPr>
              <w:t>Genel yön bakımından uyum; deneyimlerde çeşitlilik.</w:t>
            </w:r>
          </w:p>
        </w:tc>
        <w:tc>
          <w:tcPr>
            <w:tcW w:type="dxa" w:w="2268"/>
          </w:tcPr>
          <w:p>
            <w:pPr>
              <w:spacing w:before="40" w:after="60" w:line="252" w:lineRule="auto"/>
            </w:pPr>
            <w:r>
              <w:rPr>
                <w:rFonts w:ascii="Times New Roman" w:hAnsi="Times New Roman"/>
                <w:sz w:val="19"/>
              </w:rPr>
              <w:t>Görüşmeler puan değişiminin nedeni veya bağımsız doğrulaması değildir. Dört görüşmeciyle 40 kişilik eşleşmiş örneklem arasında bireysel puan eşleştirmesi yapılmadı.</w:t>
            </w:r>
          </w:p>
        </w:tc>
      </w:tr>
      <w:tr>
        <w:trPr>
          <w:cantSplit/>
        </w:trPr>
        <w:tc>
          <w:tcPr>
            <w:tcW w:type="dxa" w:w="1134"/>
          </w:tcPr>
          <w:p>
            <w:pPr>
              <w:spacing w:before="40" w:after="60" w:line="252" w:lineRule="auto"/>
            </w:pPr>
            <w:r>
              <w:rPr>
                <w:rFonts w:ascii="Times New Roman" w:hAnsi="Times New Roman"/>
                <w:sz w:val="19"/>
              </w:rPr>
              <w:t>Problem çözmede alt boyutlar</w:t>
            </w:r>
          </w:p>
        </w:tc>
        <w:tc>
          <w:tcPr>
            <w:tcW w:type="dxa" w:w="1984"/>
          </w:tcPr>
          <w:p>
            <w:pPr>
              <w:spacing w:before="40" w:after="60" w:line="252" w:lineRule="auto"/>
            </w:pPr>
            <w:r>
              <w:rPr>
                <w:rFonts w:ascii="Times New Roman" w:hAnsi="Times New Roman"/>
                <w:sz w:val="19"/>
              </w:rPr>
              <w:t>Mevcut analizde Güvenme: p&lt;.001; Kişisel Kontrol: p=.013; Yaklaşma–Kaçınma: p=.584. Düzeltilmemiş p değerleri.</w:t>
            </w:r>
          </w:p>
        </w:tc>
        <w:tc>
          <w:tcPr>
            <w:tcW w:type="dxa" w:w="2268"/>
          </w:tcPr>
          <w:p>
            <w:pPr>
              <w:spacing w:before="40" w:after="60" w:line="252" w:lineRule="auto"/>
            </w:pPr>
            <w:r>
              <w:rPr>
                <w:rFonts w:ascii="Times New Roman" w:hAnsi="Times New Roman"/>
                <w:sz w:val="19"/>
              </w:rPr>
              <w:t>K1 çözüm bulamayınca problemi değiştirir (3-b). K2/K3 tasarım sorununda alternatif dener; K4 çözümün probleme yanıtını sorgular (3-b).</w:t>
            </w:r>
          </w:p>
        </w:tc>
        <w:tc>
          <w:tcPr>
            <w:tcW w:type="dxa" w:w="1587"/>
          </w:tcPr>
          <w:p>
            <w:pPr>
              <w:spacing w:before="40" w:after="60" w:line="252" w:lineRule="auto"/>
            </w:pPr>
            <w:r>
              <w:rPr>
                <w:rFonts w:ascii="Times New Roman" w:hAnsi="Times New Roman"/>
                <w:sz w:val="19"/>
              </w:rPr>
              <w:t>Nitel veriler tek tip olmayan süreç deneyimleri ekler.</w:t>
            </w:r>
          </w:p>
        </w:tc>
        <w:tc>
          <w:tcPr>
            <w:tcW w:type="dxa" w:w="2268"/>
          </w:tcPr>
          <w:p>
            <w:pPr>
              <w:spacing w:before="40" w:after="60" w:line="252" w:lineRule="auto"/>
            </w:pPr>
            <w:r>
              <w:rPr>
                <w:rFonts w:ascii="Times New Roman" w:hAnsi="Times New Roman"/>
                <w:sz w:val="19"/>
              </w:rPr>
              <w:t>Bu anlatılar ölçek alt boyutlarıyla birebir eşitlenemez; anlamlı/anlamsız sonuçların nedenini kanıtladığı söylenemez.</w:t>
            </w:r>
          </w:p>
        </w:tc>
      </w:tr>
      <w:tr>
        <w:trPr>
          <w:cantSplit/>
        </w:trPr>
        <w:tc>
          <w:tcPr>
            <w:tcW w:type="dxa" w:w="1134"/>
          </w:tcPr>
          <w:p>
            <w:pPr>
              <w:spacing w:before="40" w:after="60" w:line="252" w:lineRule="auto"/>
            </w:pPr>
            <w:r>
              <w:rPr>
                <w:rFonts w:ascii="Times New Roman" w:hAnsi="Times New Roman"/>
                <w:sz w:val="19"/>
              </w:rPr>
              <w:t>İletişim toplam puanı</w:t>
            </w:r>
          </w:p>
        </w:tc>
        <w:tc>
          <w:tcPr>
            <w:tcW w:type="dxa" w:w="1984"/>
          </w:tcPr>
          <w:p>
            <w:pPr>
              <w:spacing w:before="40" w:after="60" w:line="252" w:lineRule="auto"/>
            </w:pPr>
            <w:r>
              <w:rPr>
                <w:rFonts w:ascii="Times New Roman" w:hAnsi="Times New Roman"/>
                <w:sz w:val="19"/>
              </w:rPr>
              <w:t>Mevcut analizde N=44; ön 3.832, son 3.910; t(43)=1.476, p=.147, d_z=.223. Anlamlı fark saptanmadı.</w:t>
            </w:r>
          </w:p>
        </w:tc>
        <w:tc>
          <w:tcPr>
            <w:tcW w:type="dxa" w:w="2268"/>
          </w:tcPr>
          <w:p>
            <w:pPr>
              <w:spacing w:before="40" w:after="60" w:line="252" w:lineRule="auto"/>
            </w:pPr>
            <w:r>
              <w:rPr>
                <w:rFonts w:ascii="Times New Roman" w:hAnsi="Times New Roman"/>
                <w:sz w:val="19"/>
              </w:rPr>
              <w:t>Dördü de rahat ifade ortamı anlatır (C01). K2, K3, K4 iletişim katkısı bildirir (C10); K2 büyüklükte temkinlidir (C12). K1’in 5-b yanıtı özgül beceri gelişimini adlandırmaz.</w:t>
            </w:r>
          </w:p>
        </w:tc>
        <w:tc>
          <w:tcPr>
            <w:tcW w:type="dxa" w:w="1587"/>
          </w:tcPr>
          <w:p>
            <w:pPr>
              <w:spacing w:before="40" w:after="60" w:line="252" w:lineRule="auto"/>
            </w:pPr>
            <w:r>
              <w:rPr>
                <w:rFonts w:ascii="Times New Roman" w:hAnsi="Times New Roman"/>
                <w:sz w:val="19"/>
              </w:rPr>
              <w:t>Veri türleri arasında görünüm farklılığı; rahat ortam ve gelişim ayrımı.</w:t>
            </w:r>
          </w:p>
        </w:tc>
        <w:tc>
          <w:tcPr>
            <w:tcW w:type="dxa" w:w="2268"/>
          </w:tcPr>
          <w:p>
            <w:pPr>
              <w:spacing w:before="40" w:after="60" w:line="252" w:lineRule="auto"/>
            </w:pPr>
            <w:r>
              <w:rPr>
                <w:rFonts w:ascii="Times New Roman" w:hAnsi="Times New Roman"/>
                <w:sz w:val="19"/>
              </w:rPr>
              <w:t>Olumlu deneyimler nicel anlamsız farkı geçersiz kılmaz. Önceden tanışıklık bağlam olarak anlatılabilir; farkın nedeninin bu olduğu gösterilmiş değildir.</w:t>
            </w:r>
          </w:p>
        </w:tc>
      </w:tr>
      <w:tr>
        <w:trPr>
          <w:cantSplit/>
        </w:trPr>
        <w:tc>
          <w:tcPr>
            <w:tcW w:type="dxa" w:w="1134"/>
          </w:tcPr>
          <w:p>
            <w:pPr>
              <w:spacing w:before="40" w:after="60" w:line="252" w:lineRule="auto"/>
            </w:pPr>
            <w:r>
              <w:rPr>
                <w:rFonts w:ascii="Times New Roman" w:hAnsi="Times New Roman"/>
                <w:sz w:val="19"/>
              </w:rPr>
              <w:t>Öğrenme ve süreç yönetimi</w:t>
            </w:r>
          </w:p>
        </w:tc>
        <w:tc>
          <w:tcPr>
            <w:tcW w:type="dxa" w:w="1984"/>
          </w:tcPr>
          <w:p>
            <w:pPr>
              <w:spacing w:before="40" w:after="60" w:line="252" w:lineRule="auto"/>
            </w:pPr>
            <w:r>
              <w:rPr>
                <w:rFonts w:ascii="Times New Roman" w:hAnsi="Times New Roman"/>
                <w:sz w:val="19"/>
              </w:rPr>
              <w:t>Bu çalışma için eldeki iki ölçek, afet bilgisinde gecikmeli kalıcılığı, maliyeti veya ders içi beklemeyi doğrudan ölçmemektedir.</w:t>
            </w:r>
          </w:p>
        </w:tc>
        <w:tc>
          <w:tcPr>
            <w:tcW w:type="dxa" w:w="2268"/>
          </w:tcPr>
          <w:p>
            <w:pPr>
              <w:spacing w:before="40" w:after="60" w:line="252" w:lineRule="auto"/>
            </w:pPr>
            <w:r>
              <w:rPr>
                <w:rFonts w:ascii="Times New Roman" w:hAnsi="Times New Roman"/>
                <w:sz w:val="19"/>
              </w:rPr>
              <w:t>Dördü kalıcılık algısı bildirir (L02). Maliyet K1/K2/K4’te (L10); bekleme K2/K3’te (L12); planlama ve rehberlik önerileri R kodlarında yer alır.</w:t>
            </w:r>
          </w:p>
        </w:tc>
        <w:tc>
          <w:tcPr>
            <w:tcW w:type="dxa" w:w="1587"/>
          </w:tcPr>
          <w:p>
            <w:pPr>
              <w:spacing w:before="40" w:after="60" w:line="252" w:lineRule="auto"/>
            </w:pPr>
            <w:r>
              <w:rPr>
                <w:rFonts w:ascii="Times New Roman" w:hAnsi="Times New Roman"/>
                <w:sz w:val="19"/>
              </w:rPr>
              <w:t>Nitel verilerin kapsamı genişletici katkısı; doğrudan nicel eşdeğer yok.</w:t>
            </w:r>
          </w:p>
        </w:tc>
        <w:tc>
          <w:tcPr>
            <w:tcW w:type="dxa" w:w="2268"/>
          </w:tcPr>
          <w:p>
            <w:pPr>
              <w:spacing w:before="40" w:after="60" w:line="252" w:lineRule="auto"/>
            </w:pPr>
            <w:r>
              <w:rPr>
                <w:rFonts w:ascii="Times New Roman" w:hAnsi="Times New Roman"/>
                <w:sz w:val="19"/>
              </w:rPr>
              <w:t>Öğrenme kalıcılığı nesnel olarak ölçülmüş sayılmaz. Doğrudan nicel karşılığı olmayan bu deneyimler bulgu olarak korunur; yapay bir sayı veya ölçek puanı üretilmez.</w:t>
            </w:r>
          </w:p>
        </w:tc>
      </w:tr>
    </w:tbl>
    <w:p>
      <w:pPr>
        <w:spacing w:after="80" w:line="269" w:lineRule="auto"/>
        <w:jc w:val="both"/>
      </w:pPr>
      <w:r>
        <w:rPr>
          <w:rFonts w:ascii="Times New Roman" w:hAnsi="Times New Roman"/>
          <w:sz w:val="22"/>
        </w:rPr>
        <w:t>Bütünleştirme için metin önerisi: Nicel ve nitel bulgular, problem çözmeye ilişkin genel olumlu değişim/katkı görünümünde benzer bir yön sunarken süreç deneyimlerinin bütün katılımcılarda aynı olmadığını göstermektedir. İletişimde olumlu deneyim ve katkı anlatıları bulunmasına rağmen ölçek toplamında istatistiksel olarak anlamlı fark saptanmamıştır. Bu iki sonuç birbirinin yerine geçirilmemeli; nicel ölçümün puan değişimini, görüşmelerin ise dört katılımcının deneyim ve öz değerlendirmelerini görünür kıldığı dikkate alınmalıdır. Öğrenme kalıcılığı algısı, maliyet ve bekleme gibi görüşme konuları ise mevcut ölçeklerin doğrudan ölçmediği süreç boyutlarını eklemektedir. Bu tablo, gözlenen değişimlerin yalnızca uygulamadan kaynaklandığını veya nitel anlatıların belirli bir p değerinin nedenini açıkladığını göstermemektedir.</w:t>
      </w:r>
    </w:p>
    <w:p>
      <w:pPr>
        <w:spacing w:after="80" w:line="269" w:lineRule="auto"/>
        <w:jc w:val="both"/>
      </w:pPr>
      <w:r>
        <w:rPr>
          <w:rFonts w:ascii="Times New Roman" w:hAnsi="Times New Roman"/>
          <w:sz w:val="20"/>
        </w:rPr>
        <w:t>Araştırmacı kontrolü: Bu ortak gösterimin kullanılması tek başına araştırma desenini açımlayıcı sıralı ya da yakınsayan olarak belirlemez. Nitel aşamanın nicel sonuçlarla nasıl ilişkilendirilerek planlandığı ve yorumlama aşamasındaki bütünleştirme kararları yöntemde gerçek uygulamaya göre açıklanmalıdır. PÇBÖ sonuçları kullanıcının esas alınmasını istediği mevcut analiz yapısıyla sunulmuştur; kaynak anahtarın bağımsız doğrulandığı iddiası eklenmemiştir.</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