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T.C.</w:t>
      </w:r>
    </w:p>
    <w:p w14:paraId="14C7CC54"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FF66F0F" w14:textId="77777777" w:rsidR="00D512DB" w:rsidRDefault="00D512DB" w:rsidP="00D512DB">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35613413" w14:textId="6F42250D" w:rsidR="00D512DB" w:rsidRDefault="0030357D" w:rsidP="00D512DB">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YÖNTEMİNİN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111AA525" w14:textId="77777777" w:rsidR="00D512DB" w:rsidRDefault="00EB49BF"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00D512DB">
        <w:rPr>
          <w:rFonts w:ascii="Times New Roman" w:hAnsi="Times New Roman" w:cs="Times New Roman"/>
          <w:b/>
          <w:sz w:val="28"/>
          <w:szCs w:val="28"/>
        </w:rPr>
        <w:t>Yüksek Lisans Tezi</w:t>
      </w:r>
      <w:r>
        <w:rPr>
          <w:rFonts w:ascii="Times New Roman" w:hAnsi="Times New Roman" w:cs="Times New Roman"/>
          <w:b/>
          <w:sz w:val="28"/>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w:t>
      </w:r>
      <w:r w:rsidR="0030357D">
        <w:rPr>
          <w:rFonts w:ascii="Times New Roman" w:hAnsi="Times New Roman" w:cs="Times New Roman"/>
          <w:b/>
          <w:sz w:val="28"/>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lastRenderedPageBreak/>
        <w:t>T.C.</w:t>
      </w:r>
    </w:p>
    <w:p w14:paraId="112EC0FE"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9AE7EE1" w14:textId="77777777" w:rsidR="0030357D" w:rsidRDefault="0030357D" w:rsidP="0030357D">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462B3B6C"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137DDBBC" w14:textId="6FE69239"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YÖNTEMİNİN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widowControl/>
        <w:spacing w:after="0" w:line="360" w:lineRule="auto"/>
        <w:jc w:val="center"/>
        <w:rPr>
          <w:rFonts w:ascii="Times New Roman" w:hAnsi="Times New Roman" w:cs="Times New Roman"/>
          <w:sz w:val="24"/>
          <w:szCs w:val="24"/>
        </w:rPr>
      </w:pPr>
      <w:r>
        <w:rPr>
          <w:rFonts w:ascii="Times New Roman" w:hAnsi="Times New Roman"/>
          <w:sz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36EC8A92"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Danışman</w:t>
      </w:r>
    </w:p>
    <w:p w14:paraId="79C2C6FA" w14:textId="3E6EE248"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2026</w:t>
      </w:r>
    </w:p>
    <w:p w14:paraId="1E21BA0B" w14:textId="77777777" w:rsidR="0030357D" w:rsidRDefault="0030357D" w:rsidP="0030357D">
      <w:pPr>
        <w:spacing w:after="0" w:line="360" w:lineRule="auto"/>
        <w:jc w:val="center"/>
        <w:rPr>
          <w:rFonts w:ascii="Times New Roman" w:hAnsi="Times New Roman" w:cs="Times New Roman"/>
          <w:b/>
          <w:sz w:val="28"/>
          <w:szCs w:val="28"/>
        </w:rPr>
      </w:pPr>
    </w:p>
    <w:p w14:paraId="419B2A11" w14:textId="77777777" w:rsidR="0030357D" w:rsidRDefault="0030357D" w:rsidP="0030357D">
      <w:pPr>
        <w:jc w:val="center"/>
        <w:rPr>
          <w:rFonts w:ascii="Times New Roman" w:hAnsi="Times New Roman" w:cs="Times New Roman"/>
          <w:b/>
          <w:sz w:val="26"/>
          <w:szCs w:val="26"/>
        </w:rPr>
      </w:pPr>
    </w:p>
    <w:p w14:paraId="78A99DF9" w14:textId="77777777" w:rsidR="0030357D" w:rsidRDefault="0030357D" w:rsidP="0030357D">
      <w:pPr>
        <w:jc w:val="center"/>
        <w:rPr>
          <w:rFonts w:ascii="Times New Roman" w:hAnsi="Times New Roman" w:cs="Times New Roman"/>
          <w:b/>
          <w:sz w:val="26"/>
          <w:szCs w:val="26"/>
        </w:rPr>
      </w:pPr>
    </w:p>
    <w:p w14:paraId="1E1E4475" w14:textId="77777777" w:rsidR="0030357D" w:rsidRDefault="0030357D" w:rsidP="0030357D">
      <w:pPr>
        <w:jc w:val="center"/>
        <w:rPr>
          <w:rFonts w:ascii="Times New Roman" w:hAnsi="Times New Roman" w:cs="Times New Roman"/>
          <w:b/>
          <w:sz w:val="26"/>
          <w:szCs w:val="26"/>
        </w:rPr>
      </w:pPr>
    </w:p>
    <w:p w14:paraId="0A34FEAB" w14:textId="77777777" w:rsidR="0030357D" w:rsidRDefault="0030357D" w:rsidP="0030357D">
      <w:pPr>
        <w:jc w:val="center"/>
        <w:rPr>
          <w:rFonts w:ascii="Times New Roman" w:hAnsi="Times New Roman" w:cs="Times New Roman"/>
          <w:b/>
          <w:sz w:val="26"/>
          <w:szCs w:val="26"/>
        </w:rPr>
      </w:pPr>
    </w:p>
    <w:p w14:paraId="2E1AA882" w14:textId="77777777" w:rsidR="0030357D" w:rsidRDefault="0030357D" w:rsidP="0030357D">
      <w:pPr>
        <w:jc w:val="center"/>
        <w:rPr>
          <w:rFonts w:ascii="Times New Roman" w:hAnsi="Times New Roman" w:cs="Times New Roman"/>
          <w:b/>
          <w:sz w:val="26"/>
          <w:szCs w:val="26"/>
        </w:rPr>
      </w:pPr>
    </w:p>
    <w:p w14:paraId="4FBF5A84" w14:textId="77777777" w:rsidR="0030357D" w:rsidRDefault="0030357D" w:rsidP="0030357D">
      <w:pPr>
        <w:jc w:val="center"/>
        <w:rPr>
          <w:rFonts w:ascii="Times New Roman" w:hAnsi="Times New Roman" w:cs="Times New Roman"/>
          <w:b/>
          <w:sz w:val="26"/>
          <w:szCs w:val="26"/>
        </w:rPr>
      </w:pPr>
    </w:p>
    <w:p w14:paraId="7B006B3E" w14:textId="77777777" w:rsidR="0030357D" w:rsidRDefault="0030357D" w:rsidP="0030357D">
      <w:pPr>
        <w:jc w:val="center"/>
        <w:rPr>
          <w:rFonts w:ascii="Times New Roman" w:hAnsi="Times New Roman" w:cs="Times New Roman"/>
          <w:b/>
          <w:sz w:val="26"/>
          <w:szCs w:val="26"/>
        </w:rPr>
      </w:pPr>
    </w:p>
    <w:p w14:paraId="5A1F1BF0" w14:textId="77777777" w:rsidR="0030357D" w:rsidRDefault="0030357D" w:rsidP="0030357D">
      <w:pPr>
        <w:jc w:val="center"/>
        <w:rPr>
          <w:rFonts w:ascii="Times New Roman" w:hAnsi="Times New Roman" w:cs="Times New Roman"/>
          <w:b/>
          <w:sz w:val="26"/>
          <w:szCs w:val="26"/>
        </w:rPr>
      </w:pPr>
    </w:p>
    <w:p w14:paraId="767FAE1C" w14:textId="77777777" w:rsidR="0030357D" w:rsidRDefault="0030357D" w:rsidP="0030357D">
      <w:pPr>
        <w:jc w:val="center"/>
        <w:rPr>
          <w:rFonts w:ascii="Times New Roman" w:hAnsi="Times New Roman" w:cs="Times New Roman"/>
          <w:b/>
          <w:sz w:val="26"/>
          <w:szCs w:val="26"/>
        </w:rPr>
      </w:pPr>
    </w:p>
    <w:p w14:paraId="1B4765E7" w14:textId="77777777" w:rsidR="0030357D" w:rsidRDefault="0030357D" w:rsidP="0030357D">
      <w:pPr>
        <w:jc w:val="center"/>
        <w:rPr>
          <w:rFonts w:ascii="Times New Roman" w:hAnsi="Times New Roman" w:cs="Times New Roman"/>
          <w:b/>
          <w:sz w:val="26"/>
          <w:szCs w:val="26"/>
        </w:rPr>
      </w:pPr>
    </w:p>
    <w:p w14:paraId="1D1D20F8" w14:textId="77777777" w:rsidR="0030357D" w:rsidRDefault="0030357D" w:rsidP="0030357D">
      <w:pPr>
        <w:jc w:val="center"/>
        <w:rPr>
          <w:rFonts w:ascii="Times New Roman" w:hAnsi="Times New Roman" w:cs="Times New Roman"/>
          <w:b/>
          <w:sz w:val="26"/>
          <w:szCs w:val="26"/>
        </w:rPr>
      </w:pPr>
    </w:p>
    <w:p w14:paraId="0186799A"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Tüm kullanım hakları</w:t>
      </w:r>
    </w:p>
    <w:p w14:paraId="1EF3C291"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M.Ü. Eğitim Bilimleri Enstitüsü’ne aittir.</w:t>
      </w:r>
    </w:p>
    <w:p w14:paraId="087C024E" w14:textId="2889F9AB" w:rsidR="0030357D" w:rsidRPr="00AB0D5F"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 20</w:t>
      </w:r>
      <w:r>
        <w:rPr>
          <w:rFonts w:ascii="Times New Roman" w:hAnsi="Times New Roman" w:cs="Times New Roman"/>
          <w:b/>
          <w:sz w:val="26"/>
          <w:szCs w:val="26"/>
        </w:rPr>
        <w:t>26</w:t>
      </w: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pgSz w:w="11906" w:h="16838"/>
          <w:pgMar w:top="1417" w:right="1417" w:bottom="1276" w:left="1417" w:header="708" w:footer="420" w:gutter="0"/>
          <w:pgNumType w:fmt="upperRoman"/>
          <w:cols w:space="708"/>
          <w:docGrid w:linePitch="360"/>
        </w:sectPr>
      </w:pPr>
    </w:p>
    <w:p w14:paraId="068CDB48" w14:textId="5B2185B1" w:rsidR="00794B91" w:rsidRPr="00CB01EA" w:rsidRDefault="00794B91" w:rsidP="00EE3619">
      <w:bookmarkStart w:id="8000" w:name="Ortak40_8000"/>
      <w:bookmarkStart w:id="5000" w:name="Birlesik_5000"/>
      <w:pPr>
        <w:pStyle w:val="Balk1"/>
        <w:keepNext/>
        <w:pageBreakBefore w:val="0"/>
        <w:widowControl/>
        <w:jc w:val="center"/>
      </w:pPr>
      <w:bookmarkStart w:id="0" w:name="_Toc236354007"/>
      <w:r w:rsidRPr="00CB01EA">
        <w:t>ETİK BEYANI</w:t>
      </w:r>
      <w:bookmarkEnd w:id="0"/>
      <w:bookmarkEnd w:id="5000"/>
      <w:bookmarkEnd w:id="8000"/>
    </w:p>
    <w:p w14:paraId="64C506A3" w14:textId="77777777" w:rsidR="00794B91" w:rsidRPr="00CB01EA" w:rsidRDefault="00794B91" w:rsidP="00E0281C">
      <w:pPr>
        <w:widowControl/>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widowControl/>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sz w:val="24"/>
          <w:szCs w:val="24"/>
        </w:rPr>
        <w:t>Elde ettiğim verilerde ve sonuçlarda herhangi bir değişiklik yapmadığımı bildirir,</w:t>
      </w:r>
      <w:r>
        <w:rPr>
          <w:rFonts w:ascii="Times New Roman" w:hAnsi="Times New Roman" w:cs="Times New Roman"/>
          <w:sz w:val="24"/>
          <w:szCs w:val="24"/>
        </w:rPr>
        <w:t xml:space="preserve"> </w:t>
      </w:r>
      <w:r w:rsidRPr="00F61897">
        <w:rPr>
          <w:rFonts w:ascii="Times New Roman" w:hAnsi="Times New Roman" w:cs="Times New Roman"/>
          <w:sz w:val="24"/>
          <w:szCs w:val="24"/>
        </w:rPr>
        <w:t>aksi bir durumda aleyhimde doğabilecek tüm hak kayıplarını kabullendiğimi beyan ederim.</w:t>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p>
    <w:p w14:paraId="30485F4F" w14:textId="6FA67C9B" w:rsidR="00794B91" w:rsidRPr="00C07D2E" w:rsidRDefault="00794B91" w:rsidP="00E0281C">
      <w:pPr>
        <w:widowControl/>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30</w:t>
      </w:r>
      <w:r w:rsidRPr="00C07D2E">
        <w:rPr>
          <w:rFonts w:ascii="Times New Roman" w:hAnsi="Times New Roman" w:cs="Times New Roman"/>
          <w:sz w:val="24"/>
          <w:szCs w:val="24"/>
          <w:lang w:val="en-GB"/>
        </w:rPr>
        <w:t>/</w:t>
      </w:r>
      <w:r>
        <w:rPr>
          <w:rFonts w:ascii="Times New Roman" w:hAnsi="Times New Roman" w:cs="Times New Roman"/>
          <w:sz w:val="24"/>
          <w:szCs w:val="24"/>
          <w:lang w:val="en-GB"/>
        </w:rPr>
        <w:t>07</w:t>
      </w:r>
      <w:r w:rsidRPr="00C07D2E">
        <w:rPr>
          <w:rFonts w:ascii="Times New Roman" w:hAnsi="Times New Roman" w:cs="Times New Roman"/>
          <w:sz w:val="24"/>
          <w:szCs w:val="24"/>
          <w:lang w:val="en-GB"/>
        </w:rPr>
        <w:t>/</w:t>
      </w:r>
      <w:r>
        <w:rPr>
          <w:rFonts w:ascii="Times New Roman" w:hAnsi="Times New Roman" w:cs="Times New Roman"/>
          <w:sz w:val="24"/>
          <w:szCs w:val="24"/>
          <w:lang w:val="en-GB"/>
        </w:rPr>
        <w:t>2026</w:t>
      </w:r>
    </w:p>
    <w:p w14:paraId="637D205B"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524F27E9"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41BB0237" w14:textId="77777777" w:rsidR="00794B91" w:rsidRDefault="00794B91" w:rsidP="00E0281C">
      <w:pPr>
        <w:autoSpaceDE w:val="0"/>
        <w:autoSpaceDN w:val="0"/>
        <w:adjustRightInd w:val="0"/>
        <w:spacing w:line="360" w:lineRule="auto"/>
        <w:jc w:val="right"/>
        <w:rPr>
          <w:rFonts w:ascii="CIDFont+F4" w:hAnsi="CIDFont+F4" w:cs="CIDFont+F4"/>
          <w:lang w:val="en-GB"/>
        </w:rPr>
      </w:pPr>
    </w:p>
    <w:p w14:paraId="3E50D963" w14:textId="7273D2E2" w:rsidR="00794B91" w:rsidRPr="00C07D2E" w:rsidRDefault="00794B91" w:rsidP="00E0281C">
      <w:pPr>
        <w:autoSpaceDE w:val="0"/>
        <w:autoSpaceDN w:val="0"/>
        <w:adjustRightInd w:val="0"/>
        <w:spacing w:line="360" w:lineRule="auto"/>
        <w:ind w:left="6480" w:firstLine="720"/>
        <w:rPr>
          <w:rFonts w:ascii="Times New Roman" w:hAnsi="Times New Roman" w:cs="Times New Roman"/>
          <w:sz w:val="24"/>
          <w:szCs w:val="24"/>
          <w:lang w:val="en-GB"/>
        </w:rPr>
      </w:pPr>
      <w:r>
        <w:rPr>
          <w:rFonts w:ascii="CIDFont+F4" w:hAnsi="CIDFont+F4" w:cs="CIDFont+F4"/>
          <w:lang w:val="en-GB"/>
        </w:rPr>
        <w:t xml:space="preserve">      </w:t>
      </w:r>
    </w:p>
    <w:p w14:paraId="3EB089E6" w14:textId="77777777" w:rsidR="00794B91" w:rsidRPr="00C07D2E" w:rsidRDefault="00794B91" w:rsidP="00E0281C">
      <w:pPr>
        <w:spacing w:line="360" w:lineRule="auto"/>
        <w:ind w:left="2160" w:firstLine="720"/>
        <w:jc w:val="right"/>
        <w:rPr>
          <w:rFonts w:ascii="Times New Roman" w:hAnsi="Times New Roman" w:cs="Times New Roman"/>
          <w:sz w:val="24"/>
          <w:szCs w:val="24"/>
          <w:lang w:val="en-GB"/>
        </w:rPr>
      </w:pPr>
    </w:p>
    <w:p w14:paraId="28662D69" w14:textId="51BF2082" w:rsidR="0030357D" w:rsidRDefault="00794B91" w:rsidP="00E0281C">
      <w:pPr>
        <w:widowControl/>
        <w:spacing w:line="360" w:lineRule="auto"/>
        <w:ind w:left="2160" w:firstLine="720"/>
        <w:jc w:val="right"/>
        <w:rPr>
          <w:rFonts w:ascii="Times New Roman" w:hAnsi="Times New Roman" w:cs="Times New Roman"/>
          <w:b/>
          <w:sz w:val="24"/>
          <w:szCs w:val="24"/>
        </w:rPr>
      </w:pPr>
      <w:r>
        <w:rPr>
          <w:rFonts w:ascii="Times New Roman" w:hAnsi="Times New Roman" w:cs="Times New Roman"/>
          <w:b/>
          <w:sz w:val="24"/>
          <w:szCs w:val="24"/>
        </w:rPr>
        <w:t>Gökhan KAYA</w:t>
      </w:r>
    </w:p>
    <w:p w14:paraId="081C08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7F8DFFA7" w14:textId="77777777" w:rsidR="00367693" w:rsidRDefault="00367693" w:rsidP="00E0281C">
      <w:pPr>
        <w:spacing w:line="360" w:lineRule="auto"/>
        <w:ind w:left="2160" w:firstLine="720"/>
        <w:jc w:val="right"/>
        <w:rPr>
          <w:rFonts w:ascii="Times New Roman" w:hAnsi="Times New Roman" w:cs="Times New Roman"/>
          <w:b/>
          <w:sz w:val="24"/>
          <w:szCs w:val="24"/>
        </w:rPr>
      </w:pPr>
    </w:p>
    <w:p w14:paraId="5B65ED61" w14:textId="77777777" w:rsidR="00367693" w:rsidRDefault="00367693" w:rsidP="00E0281C">
      <w:pPr>
        <w:spacing w:line="360" w:lineRule="auto"/>
        <w:ind w:left="2160" w:firstLine="720"/>
        <w:jc w:val="right"/>
        <w:rPr>
          <w:rFonts w:ascii="Times New Roman" w:hAnsi="Times New Roman" w:cs="Times New Roman"/>
          <w:b/>
          <w:sz w:val="24"/>
          <w:szCs w:val="24"/>
        </w:rPr>
      </w:pPr>
    </w:p>
    <w:p w14:paraId="2F9A636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6C46429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712C4395" w14:textId="77777777" w:rsidR="006E216A" w:rsidRDefault="006E216A" w:rsidP="00E0281C">
      <w:pPr>
        <w:spacing w:line="360" w:lineRule="auto"/>
        <w:ind w:left="2160" w:firstLine="720"/>
        <w:jc w:val="right"/>
        <w:rPr>
          <w:rFonts w:ascii="Times New Roman" w:hAnsi="Times New Roman" w:cs="Times New Roman"/>
          <w:b/>
          <w:sz w:val="24"/>
          <w:szCs w:val="24"/>
        </w:rPr>
      </w:pPr>
    </w:p>
    <w:p w14:paraId="556D7DC7" w14:textId="77777777" w:rsidR="006E216A" w:rsidRPr="006E216A" w:rsidRDefault="006E216A" w:rsidP="006E216A">
      <w:bookmarkStart w:id="8001" w:name="Ortak40_8001"/>
      <w:bookmarkStart w:id="5001" w:name="Birlesik_5001"/>
      <w:pPr>
        <w:pStyle w:val="Balk1"/>
        <w:keepNext/>
        <w:pageBreakBefore/>
        <w:widowControl/>
        <w:jc w:val="center"/>
      </w:pPr>
      <w:bookmarkStart w:id="1" w:name="_Toc236354008"/>
      <w:r w:rsidRPr="006E216A">
        <w:t>ÖNSÖZ</w:t>
      </w:r>
      <w:bookmarkEnd w:id="1"/>
      <w:bookmarkEnd w:id="5001"/>
      <w:bookmarkEnd w:id="8001"/>
    </w:p>
    <w:p w14:paraId="647F1FFF"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çalışmanın, proje tabanlı öğrenme alanında yapılacak yeni araştırmalara ve eğitim bilimleri literatürüne katkı sağlamasını temenni ederim.</w:t>
      </w:r>
    </w:p>
    <w:p w14:paraId="3973E6A9" w14:textId="77777777" w:rsidR="006E216A" w:rsidRDefault="006E216A" w:rsidP="006E216A">
      <w:pPr>
        <w:spacing w:line="360" w:lineRule="auto"/>
        <w:rPr>
          <w:rFonts w:ascii="Times New Roman" w:hAnsi="Times New Roman" w:cs="Times New Roman"/>
          <w:b/>
          <w:sz w:val="24"/>
          <w:szCs w:val="24"/>
        </w:rPr>
      </w:pPr>
    </w:p>
    <w:p w14:paraId="5B69F4CA" w14:textId="77777777" w:rsidR="00367693" w:rsidRDefault="00367693" w:rsidP="00E0281C">
      <w:pPr>
        <w:spacing w:line="360" w:lineRule="auto"/>
        <w:ind w:left="2160" w:firstLine="720"/>
        <w:jc w:val="right"/>
        <w:rPr>
          <w:rFonts w:ascii="Times New Roman" w:hAnsi="Times New Roman" w:cs="Times New Roman"/>
          <w:b/>
          <w:sz w:val="24"/>
          <w:szCs w:val="24"/>
        </w:rPr>
      </w:pPr>
    </w:p>
    <w:p w14:paraId="6CF5E4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310C4AE8" w14:textId="77777777" w:rsidR="00367693" w:rsidRDefault="00367693" w:rsidP="00E0281C">
      <w:pPr>
        <w:spacing w:line="360" w:lineRule="auto"/>
        <w:ind w:left="2160" w:firstLine="720"/>
        <w:jc w:val="right"/>
        <w:rPr>
          <w:rFonts w:ascii="Times New Roman" w:hAnsi="Times New Roman" w:cs="Times New Roman"/>
          <w:b/>
          <w:sz w:val="24"/>
          <w:szCs w:val="24"/>
        </w:rPr>
      </w:pPr>
    </w:p>
    <w:p w14:paraId="0C968A12" w14:textId="3003B02C" w:rsidR="00367693" w:rsidRPr="006E216A" w:rsidRDefault="00367693" w:rsidP="006E216A">
      <w:bookmarkStart w:id="8002" w:name="Ortak40_8002"/>
      <w:bookmarkStart w:id="5002" w:name="Birlesik_5002"/>
      <w:pPr>
        <w:pStyle w:val="Balk1"/>
        <w:keepNext/>
        <w:pageBreakBefore/>
        <w:widowControl/>
        <w:jc w:val="center"/>
      </w:pPr>
      <w:bookmarkStart w:id="2" w:name="_Toc236354009"/>
      <w:r w:rsidRPr="006E216A">
        <w:t>ÖZET</w:t>
      </w:r>
      <w:bookmarkEnd w:id="2"/>
      <w:bookmarkEnd w:id="5002"/>
      <w:bookmarkEnd w:id="8002"/>
    </w:p>
    <w:p w14:paraId="6FBAF95B" w14:textId="4429FC4C"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Yer Bilimi dersinde doğal afetler teması kapsamında yürütülen proje tabanlı öğrenme sürecinde fen bilgisi öğretmen adaylarının problem çözme ve iletişime ilişkin öz değerlendirmelerindeki değişimin ve uygulama deneyimlerinin incelenmesi amaçlanmıştır.</w:t>
      </w:r>
    </w:p>
    <w:p w14:paraId="72FD0CA5"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Araştırmada nicel aşamayı nitel aşamanın izlediği karma yöntem yaklaşımı kullanılmıştır. Çalışma grubu, bir devlet üniversitesinin Fen Bilgisi Öğretmenliği programındaki ikinci sınıf öğrencileri arasından her iki ölçeğin ön test ve son test ölçümlerinin tamamında kullanılabilir verisi bulunan aynı 40 öğretmen adayından oluşmaktadır. Sekiz haftalık ders akışında her iki ölçekte de ön test ve son test karşılaştırmaları bu ortak grupla yürütülmüştür. Çalışma tamamlandıktan ve nicel analizler görüldükten sonra bu gruptan rastgele seçilen dört öğretmen adayıyla görüşülmüştür. Nicel veriler bağımlı örneklemler t testiyle, görüşme verileri içerik analiziyle çözümlenmiştir.</w:t>
      </w:r>
    </w:p>
    <w:p w14:paraId="70DB080E"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ölçeği toplam puanında, mevcut puanlama düzenine göre daha olumlu problem çözme algısını gösteren anlamlı bir azalma bulunmuştur [t(39)=2,372; p=,023; dz=,375]. Problem Çözmeye Güvenme ve Kişisel Kontrol boyutlarında anlamlı değişim belirlenirken Yaklaşma–Kaçınma Stili boyutunda anlamlı fark saptanmamıştır. İletişim ölçeği toplam puanındaki artış anlamlı bulunmamış [t(39)=1,695; p=,098; dz=,268]; alt boyutlarda da anlamlı fark belirlenmemiştir. Görüşmelerde problem çözme, ortak çalışma ve öğrenmeye ilişkin olumlu deneyimlerin yanında tasarım, maliyet ve zaman yönetimi güçlükleri ortaya çıkmıştır.</w:t>
      </w:r>
    </w:p>
    <w:p w14:paraId="1575A183" w14:textId="0FC0806F" w:rsidR="00F636F1" w:rsidRPr="000A4D17"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Sonuçlar, problem çözme algısındaki olumlu değişime karşın iletişimde anlamlı bir ölçek değişimi gösterilemediğini ortaya koymaktadır. Dört kişinin görüşleri bu sonuçları süreç deneyimleriyle ayrıntılandırmaktadır. Kontrol grubu bulunmaması ve ölçümlerin öz değerlendirmeye dayanması nedeniyle değişim yalnızca uygulamaya bağlanmamıştır. Bulgular doğrultusunda başlangıç rehberliği, yapılandırılmış iletişim hedefleri, malzeme desteği ve aşamalara uygun zaman planlaması önerilmiştir.</w:t>
      </w:r>
    </w:p>
    <w:p w14:paraId="741A5D6C" w14:textId="19C0D344" w:rsidR="00F636F1"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sz w:val="24"/>
          <w:szCs w:val="24"/>
        </w:rPr>
        <w:t>Anahtar Kelimeler:</w:t>
      </w:r>
      <w:r w:rsidRPr="00F636F1">
        <w:rPr>
          <w:rFonts w:ascii="Times New Roman" w:hAnsi="Times New Roman" w:cs="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bookmarkStart w:id="8003" w:name="Ortak40_8003"/>
      <w:bookmarkStart w:id="5003" w:name="Birlesik_5003"/>
      <w:pPr>
        <w:pStyle w:val="Balk1"/>
        <w:keepNext/>
        <w:pageBreakBefore/>
        <w:widowControl/>
        <w:jc w:val="center"/>
      </w:pPr>
      <w:bookmarkStart w:id="3" w:name="_Toc236354010"/>
      <w:r w:rsidRPr="00F636F1">
        <w:t>ABSTRACT</w:t>
      </w:r>
      <w:bookmarkEnd w:id="3"/>
      <w:bookmarkEnd w:id="5003"/>
      <w:bookmarkEnd w:id="800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This study examined changes in pre-service science teachers’ self-reported problem-solving and communication skills and their experiences of project-based learning activities on natural disasters in an Earth Science course.</w:t>
      </w:r>
    </w:p>
    <w:p w14:paraId="0FBFC7C1"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The study used a mixed-methods approach in which the quantitative phase preceded the qualitative phase. The study group consisted of the same 40 second-year pre-service science teachers at a public university who had usable data on both scales at both measurement occasions. Pretest and posttest comparisons for both scales used this common cohort within an eight-week course sequence. After the study had ended and the quantitative results had been examined, four randomly selected participants from this cohort were interviewed. Paired-samples t tests were used for quantitative data, and content analysis was used for interview data.</w:t>
      </w:r>
    </w:p>
    <w:p w14:paraId="4B5EE0FF"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Problem-solving total scores decreased significantly, indicating more positive self-appraisals under the scoring system used [t(39)=2.372, p=.023, dz=.375]. Significant changes were found in Problem-Solving Confidence and Personal Control, but not in Approach–Avoidance Style. The increase in communication total scores was not statistically significant [t(39)=1.695, p=.098, dz=.268], and none of its subscales showed a significant difference. Interviews revealed positive experiences concerning problem solving, collaboration, and learning alongside difficulties involving design, cost, and time management.</w:t>
      </w:r>
    </w:p>
    <w:p w14:paraId="11EA8516" w14:textId="77777777" w:rsid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The findings indicate improved problem-solving self-appraisals without demonstrating a significant change in communication scale scores. Four participants’ accounts provided contextual detail. Because there was no control group and the measures relied on self-report, changes could not be attributed solely to the intervention. Recommendations include initial guidance, explicit communication objectives, material support, and scheduling adapted to project stages.</w:t>
      </w:r>
    </w:p>
    <w:p w14:paraId="21B54634" w14:textId="77777777" w:rsidR="000A4D17"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Keywords: Project-based learning, pre-service science teachers, problem-solving skills, communication skills, natural disasters, science education.</w:t>
      </w:r>
    </w:p>
    <w:p>
      <w:pPr>
        <w:keepNext/>
        <w:pageBreakBefore/>
      </w:pPr>
      <w:r>
        <w:rPr>
          <w:rFonts w:ascii="Times New Roman" w:hAnsi="Times New Roman"/>
          <w:b/>
          <w:sz w:val="28"/>
        </w:rPr>
        <w:t>İÇİNDEKİLER</w:t>
      </w:r>
    </w:p>
    <w:sdt>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\o "1-3" \h \z \u</w:instrText>
          </w:r>
          <w:r>
            <w:rPr>
              <w:rFonts w:ascii="Times New Roman" w:hAnsi="Times New Roman"/>
              <w:sz w:val="20"/>
            </w:rPr>
            <w:fldChar w:fldCharType="separate"/>
          </w:r>
          <w:r>
            <w:rPr>
              <w:rFonts w:ascii="Times New Roman" w:hAnsi="Times New Roman"/>
              <w:sz w:val="20"/>
            </w:rPr>
            <w:t>ETİK BEYANI</w:t>
            <w:tab/>
          </w:r>
          <w:fldSimple w:instr="PAGEREF Ortak40_8000 \h">
            <w:r>
              <w:t>I</w:t>
            </w:r>
          </w:fldSimple>
        </w:p>
        <w:p>
          <w:pPr>
            <w:tabs>
              <w:tab w:pos="8957" w:val="right" w:leader="dot"/>
            </w:tabs>
            <w:spacing w:line="240" w:lineRule="auto" w:after="80"/>
            <w:ind w:left="0" w:firstLine="0"/>
          </w:pPr>
          <w:r>
            <w:rPr>
              <w:rFonts w:ascii="Times New Roman" w:hAnsi="Times New Roman"/>
              <w:sz w:val="20"/>
            </w:rPr>
            <w:t>ÖNSÖZ</w:t>
            <w:tab/>
          </w:r>
          <w:fldSimple w:instr="PAGEREF Ortak40_8001 \h">
            <w:r>
              <w:t>II</w:t>
            </w:r>
          </w:fldSimple>
        </w:p>
        <w:p>
          <w:pPr>
            <w:tabs>
              <w:tab w:pos="8957" w:val="right" w:leader="dot"/>
            </w:tabs>
            <w:spacing w:line="240" w:lineRule="auto" w:after="80"/>
            <w:ind w:left="0" w:firstLine="0"/>
          </w:pPr>
          <w:r>
            <w:rPr>
              <w:rFonts w:ascii="Times New Roman" w:hAnsi="Times New Roman"/>
              <w:sz w:val="20"/>
            </w:rPr>
            <w:t>ÖZET</w:t>
            <w:tab/>
          </w:r>
          <w:fldSimple w:instr="PAGEREF Ortak40_8002 \h">
            <w:r>
              <w:t>III</w:t>
            </w:r>
          </w:fldSimple>
        </w:p>
        <w:p>
          <w:pPr>
            <w:tabs>
              <w:tab w:pos="8957" w:val="right" w:leader="dot"/>
            </w:tabs>
            <w:spacing w:line="240" w:lineRule="auto" w:after="80"/>
            <w:ind w:left="0" w:firstLine="0"/>
          </w:pPr>
          <w:r>
            <w:rPr>
              <w:rFonts w:ascii="Times New Roman" w:hAnsi="Times New Roman"/>
              <w:sz w:val="20"/>
            </w:rPr>
            <w:t>ABSTRACT</w:t>
            <w:tab/>
          </w:r>
          <w:fldSimple w:instr="PAGEREF Ortak40_8003 \h">
            <w:r>
              <w:t>IV</w:t>
            </w:r>
          </w:fldSimple>
        </w:p>
        <w:p>
          <w:pPr>
            <w:tabs>
              <w:tab w:pos="8957" w:val="right" w:leader="dot"/>
            </w:tabs>
            <w:spacing w:line="240" w:lineRule="auto" w:after="80"/>
            <w:ind w:left="0" w:firstLine="0"/>
          </w:pPr>
          <w:r>
            <w:rPr>
              <w:rFonts w:ascii="Times New Roman" w:hAnsi="Times New Roman"/>
              <w:sz w:val="20"/>
            </w:rPr>
            <w:t>1. BÖLÜM: GİRİŞ</w:t>
            <w:tab/>
          </w:r>
          <w:fldSimple w:instr="PAGEREF Ortak40_8004 \h">
            <w:r>
              <w:t>1</w:t>
            </w:r>
          </w:fldSimple>
        </w:p>
        <w:p>
          <w:pPr>
            <w:tabs>
              <w:tab w:pos="8957" w:val="right" w:leader="dot"/>
            </w:tabs>
            <w:spacing w:line="240" w:lineRule="auto" w:after="80"/>
            <w:ind w:left="227" w:firstLine="0"/>
          </w:pPr>
          <w:r>
            <w:rPr>
              <w:rFonts w:ascii="Times New Roman" w:hAnsi="Times New Roman"/>
              <w:sz w:val="20"/>
            </w:rPr>
            <w:t>1.1 Problem Durumu</w:t>
            <w:tab/>
          </w:r>
          <w:fldSimple w:instr="PAGEREF Ortak40_8005 \h">
            <w:r>
              <w:t>2</w:t>
            </w:r>
          </w:fldSimple>
        </w:p>
        <w:p>
          <w:pPr>
            <w:tabs>
              <w:tab w:pos="8957" w:val="right" w:leader="dot"/>
            </w:tabs>
            <w:spacing w:line="240" w:lineRule="auto" w:after="80"/>
            <w:ind w:left="227" w:firstLine="0"/>
          </w:pPr>
          <w:r>
            <w:rPr>
              <w:rFonts w:ascii="Times New Roman" w:hAnsi="Times New Roman"/>
              <w:sz w:val="20"/>
            </w:rPr>
            <w:t>1.2 Amaç</w:t>
            <w:tab/>
          </w:r>
          <w:fldSimple w:instr="PAGEREF Ortak40_8006 \h">
            <w:r>
              <w:t>5</w:t>
            </w:r>
          </w:fldSimple>
        </w:p>
        <w:p>
          <w:pPr>
            <w:tabs>
              <w:tab w:pos="8957" w:val="right" w:leader="dot"/>
            </w:tabs>
            <w:spacing w:line="240" w:lineRule="auto" w:after="80"/>
            <w:ind w:left="227" w:firstLine="0"/>
          </w:pPr>
          <w:r>
            <w:rPr>
              <w:rFonts w:ascii="Times New Roman" w:hAnsi="Times New Roman"/>
              <w:sz w:val="20"/>
            </w:rPr>
            <w:t>1.3 Araştırmanın Önemi</w:t>
            <w:tab/>
          </w:r>
          <w:fldSimple w:instr="PAGEREF Ortak40_8007 \h">
            <w:r>
              <w:t>5</w:t>
            </w:r>
          </w:fldSimple>
        </w:p>
        <w:p>
          <w:pPr>
            <w:tabs>
              <w:tab w:pos="8957" w:val="right" w:leader="dot"/>
            </w:tabs>
            <w:spacing w:line="240" w:lineRule="auto" w:after="80"/>
            <w:ind w:left="227" w:firstLine="0"/>
          </w:pPr>
          <w:r>
            <w:rPr>
              <w:rFonts w:ascii="Times New Roman" w:hAnsi="Times New Roman"/>
              <w:sz w:val="20"/>
            </w:rPr>
            <w:t>1.4 Araştırmanın Sınırlılıkları</w:t>
            <w:tab/>
          </w:r>
          <w:fldSimple w:instr="PAGEREF Ortak40_8008 \h">
            <w:r>
              <w:t>6</w:t>
            </w:r>
          </w:fldSimple>
        </w:p>
        <w:p>
          <w:pPr>
            <w:tabs>
              <w:tab w:pos="8957" w:val="right" w:leader="dot"/>
            </w:tabs>
            <w:spacing w:line="240" w:lineRule="auto" w:after="80"/>
            <w:ind w:left="227" w:firstLine="0"/>
          </w:pPr>
          <w:r>
            <w:rPr>
              <w:rFonts w:ascii="Times New Roman" w:hAnsi="Times New Roman"/>
              <w:sz w:val="20"/>
            </w:rPr>
            <w:t>1.5 Araştırmanın Varsayımları</w:t>
            <w:tab/>
          </w:r>
          <w:fldSimple w:instr="PAGEREF Ortak40_8009 \h">
            <w:r>
              <w:t>7</w:t>
            </w:r>
          </w:fldSimple>
        </w:p>
        <w:p>
          <w:pPr>
            <w:tabs>
              <w:tab w:pos="8957" w:val="right" w:leader="dot"/>
            </w:tabs>
            <w:spacing w:line="240" w:lineRule="auto" w:after="80"/>
            <w:ind w:left="227" w:firstLine="0"/>
          </w:pPr>
          <w:r>
            <w:rPr>
              <w:rFonts w:ascii="Times New Roman" w:hAnsi="Times New Roman"/>
              <w:sz w:val="20"/>
            </w:rPr>
            <w:t>1.6 Araştırma Tanımları ve Kısaltmalar</w:t>
            <w:tab/>
          </w:r>
          <w:fldSimple w:instr="PAGEREF Ortak40_8010 \h">
            <w:r>
              <w:t>7</w:t>
            </w:r>
          </w:fldSimple>
        </w:p>
        <w:p>
          <w:pPr>
            <w:tabs>
              <w:tab w:pos="8957" w:val="right" w:leader="dot"/>
            </w:tabs>
            <w:spacing w:line="240" w:lineRule="auto" w:after="80"/>
            <w:ind w:left="0" w:firstLine="0"/>
          </w:pPr>
          <w:r>
            <w:rPr>
              <w:rFonts w:ascii="Times New Roman" w:hAnsi="Times New Roman"/>
              <w:sz w:val="20"/>
            </w:rPr>
            <w:t>2. BÖLÜM: KAVRAMSAL ÇERÇEVE VE İLGİLİ ARAŞTIRMALAR</w:t>
            <w:tab/>
          </w:r>
          <w:fldSimple w:instr="PAGEREF Ortak40_8011 \h">
            <w:r>
              <w:t>10</w:t>
            </w:r>
          </w:fldSimple>
        </w:p>
        <w:p>
          <w:pPr>
            <w:tabs>
              <w:tab w:pos="8957" w:val="right" w:leader="dot"/>
            </w:tabs>
            <w:spacing w:line="240" w:lineRule="auto" w:after="80"/>
            <w:ind w:left="227" w:firstLine="0"/>
          </w:pPr>
          <w:r>
            <w:rPr>
              <w:rFonts w:ascii="Times New Roman" w:hAnsi="Times New Roman"/>
              <w:sz w:val="20"/>
            </w:rPr>
            <w:t>2.1 Fen Eğitimi, 21. Yüzyıl Becerileri ve Türkiye’de Fen Eğitiminin Güncel Yönelimleri</w:t>
            <w:tab/>
          </w:r>
          <w:fldSimple w:instr="PAGEREF Ortak40_8013 \h">
            <w:r>
              <w:t>12</w:t>
            </w:r>
          </w:fldSimple>
        </w:p>
        <w:p>
          <w:pPr>
            <w:tabs>
              <w:tab w:pos="8957" w:val="right" w:leader="dot"/>
            </w:tabs>
            <w:spacing w:line="240" w:lineRule="auto" w:after="80"/>
            <w:ind w:left="227" w:firstLine="0"/>
          </w:pPr>
          <w:r>
            <w:rPr>
              <w:rFonts w:ascii="Times New Roman" w:hAnsi="Times New Roman"/>
              <w:sz w:val="20"/>
            </w:rPr>
            <w:t>2.2 Problem Çözme Becerileri</w:t>
            <w:tab/>
          </w:r>
          <w:fldSimple w:instr="PAGEREF Ortak40_8014 \h">
            <w:r>
              <w:t>15</w:t>
            </w:r>
          </w:fldSimple>
        </w:p>
        <w:p>
          <w:pPr>
            <w:tabs>
              <w:tab w:pos="8957" w:val="right" w:leader="dot"/>
            </w:tabs>
            <w:spacing w:line="240" w:lineRule="auto" w:after="80"/>
            <w:ind w:left="227" w:firstLine="0"/>
          </w:pPr>
          <w:r>
            <w:rPr>
              <w:rFonts w:ascii="Times New Roman" w:hAnsi="Times New Roman"/>
              <w:sz w:val="20"/>
            </w:rPr>
            <w:t>2.3 İletişim Becerileri</w:t>
            <w:tab/>
          </w:r>
          <w:fldSimple w:instr="PAGEREF Ortak40_8015 \h">
            <w:r>
              <w:t>18</w:t>
            </w:r>
          </w:fldSimple>
        </w:p>
        <w:p>
          <w:pPr>
            <w:tabs>
              <w:tab w:pos="8957" w:val="right" w:leader="dot"/>
            </w:tabs>
            <w:spacing w:line="240" w:lineRule="auto" w:after="80"/>
            <w:ind w:left="227" w:firstLine="0"/>
          </w:pPr>
          <w:r>
            <w:rPr>
              <w:rFonts w:ascii="Times New Roman" w:hAnsi="Times New Roman"/>
              <w:sz w:val="20"/>
            </w:rPr>
            <w:t>2.4 Proje Tabanlı Öğrenme Yaklaşımı</w:t>
            <w:tab/>
          </w:r>
          <w:fldSimple w:instr="PAGEREF Ortak40_8016 \h">
            <w:r>
              <w:t>21</w:t>
            </w:r>
          </w:fldSimple>
        </w:p>
        <w:p>
          <w:pPr>
            <w:tabs>
              <w:tab w:pos="8957" w:val="right" w:leader="dot"/>
            </w:tabs>
            <w:spacing w:line="240" w:lineRule="auto" w:after="80"/>
            <w:ind w:left="227" w:firstLine="0"/>
          </w:pPr>
          <w:r>
            <w:rPr>
              <w:rFonts w:ascii="Times New Roman" w:hAnsi="Times New Roman"/>
              <w:sz w:val="20"/>
            </w:rPr>
            <w:t>2.5 Afet Eğitimi ve Afet Bilinci</w:t>
            <w:tab/>
          </w:r>
          <w:fldSimple w:instr="PAGEREF Ortak40_8017 \h">
            <w:r>
              <w:t>24</w:t>
            </w:r>
          </w:fldSimple>
        </w:p>
        <w:p>
          <w:pPr>
            <w:tabs>
              <w:tab w:pos="8957" w:val="right" w:leader="dot"/>
            </w:tabs>
            <w:spacing w:line="240" w:lineRule="auto" w:after="80"/>
            <w:ind w:left="227" w:firstLine="0"/>
          </w:pPr>
          <w:r>
            <w:rPr>
              <w:rFonts w:ascii="Times New Roman" w:hAnsi="Times New Roman"/>
              <w:sz w:val="20"/>
            </w:rPr>
            <w:t>2.6. Konuya İlişkin Yapılmış Çalışmalar</w:t>
            <w:tab/>
          </w:r>
          <w:fldSimple w:instr="PAGEREF Ortak40_8019 \h">
            <w:r>
              <w:t>27</w:t>
            </w:r>
          </w:fldSimple>
        </w:p>
        <w:p>
          <w:pPr>
            <w:tabs>
              <w:tab w:pos="8957" w:val="right" w:leader="dot"/>
            </w:tabs>
            <w:spacing w:line="240" w:lineRule="auto" w:after="80"/>
            <w:ind w:left="0" w:firstLine="0"/>
          </w:pPr>
          <w:r>
            <w:rPr>
              <w:rFonts w:ascii="Times New Roman" w:hAnsi="Times New Roman"/>
              <w:sz w:val="20"/>
            </w:rPr>
            <w:t>3. BÖLÜM: YÖNTEM</w:t>
            <w:tab/>
          </w:r>
          <w:fldSimple w:instr="PAGEREF Ortak40_8020 \h">
            <w:r>
              <w:t>31</w:t>
            </w:r>
          </w:fldSimple>
        </w:p>
        <w:p>
          <w:pPr>
            <w:tabs>
              <w:tab w:pos="8957" w:val="right" w:leader="dot"/>
            </w:tabs>
            <w:spacing w:line="240" w:lineRule="auto" w:after="80"/>
            <w:ind w:left="227" w:firstLine="0"/>
          </w:pPr>
          <w:r>
            <w:rPr>
              <w:rFonts w:ascii="Times New Roman" w:hAnsi="Times New Roman"/>
              <w:sz w:val="20"/>
            </w:rPr>
            <w:t>3.1 Araştırma Modeli</w:t>
            <w:tab/>
          </w:r>
          <w:fldSimple w:instr="PAGEREF Ortak40_8021 \h">
            <w:r>
              <w:t>31</w:t>
            </w:r>
          </w:fldSimple>
        </w:p>
        <w:p>
          <w:pPr>
            <w:tabs>
              <w:tab w:pos="8957" w:val="right" w:leader="dot"/>
            </w:tabs>
            <w:spacing w:line="240" w:lineRule="auto" w:after="80"/>
            <w:ind w:left="227" w:firstLine="0"/>
          </w:pPr>
          <w:r>
            <w:rPr>
              <w:rFonts w:ascii="Times New Roman" w:hAnsi="Times New Roman"/>
              <w:sz w:val="20"/>
            </w:rPr>
            <w:t>3.2 Evren ve Örneklem/Çalışma Grubu</w:t>
            <w:tab/>
          </w:r>
          <w:fldSimple w:instr="PAGEREF Ortak40_8023 \h">
            <w:r>
              <w:t>33</w:t>
            </w:r>
          </w:fldSimple>
        </w:p>
        <w:p>
          <w:pPr>
            <w:tabs>
              <w:tab w:pos="8957" w:val="right" w:leader="dot"/>
            </w:tabs>
            <w:spacing w:line="240" w:lineRule="auto" w:after="80"/>
            <w:ind w:left="227" w:firstLine="0"/>
          </w:pPr>
          <w:r>
            <w:rPr>
              <w:rFonts w:ascii="Times New Roman" w:hAnsi="Times New Roman"/>
              <w:sz w:val="20"/>
            </w:rPr>
            <w:t>3.3 Veri Toplama Araçları</w:t>
            <w:tab/>
          </w:r>
          <w:fldSimple w:instr="PAGEREF Ortak40_8025 \h">
            <w:r>
              <w:t>33</w:t>
            </w:r>
          </w:fldSimple>
        </w:p>
        <w:p>
          <w:pPr>
            <w:tabs>
              <w:tab w:pos="8957" w:val="right" w:leader="dot"/>
            </w:tabs>
            <w:spacing w:line="240" w:lineRule="auto" w:after="80"/>
            <w:ind w:left="454" w:firstLine="0"/>
          </w:pPr>
          <w:r>
            <w:rPr>
              <w:rFonts w:ascii="Times New Roman" w:hAnsi="Times New Roman"/>
              <w:sz w:val="20"/>
            </w:rPr>
            <w:t>3.3.1 İletişim Becerileri Ölçeği (İBDÖ)</w:t>
            <w:tab/>
          </w:r>
          <w:fldSimple w:instr="PAGEREF Ortak40_8026 \h">
            <w:r>
              <w:t>34</w:t>
            </w:r>
          </w:fldSimple>
        </w:p>
        <w:p>
          <w:pPr>
            <w:tabs>
              <w:tab w:pos="8957" w:val="right" w:leader="dot"/>
            </w:tabs>
            <w:spacing w:line="240" w:lineRule="auto" w:after="80"/>
            <w:ind w:left="454" w:firstLine="0"/>
          </w:pPr>
          <w:r>
            <w:rPr>
              <w:rFonts w:ascii="Times New Roman" w:hAnsi="Times New Roman"/>
              <w:sz w:val="20"/>
            </w:rPr>
            <w:t>3.3.2 Problem Çözme Becerileri Ölçeği (PÇBÖ)</w:t>
            <w:tab/>
          </w:r>
          <w:fldSimple w:instr="PAGEREF Ortak40_8027 \h">
            <w:r>
              <w:t>35</w:t>
            </w:r>
          </w:fldSimple>
        </w:p>
        <w:p>
          <w:pPr>
            <w:tabs>
              <w:tab w:pos="8957" w:val="right" w:leader="dot"/>
            </w:tabs>
            <w:spacing w:line="240" w:lineRule="auto" w:after="80"/>
            <w:ind w:left="454" w:firstLine="0"/>
          </w:pPr>
          <w:r>
            <w:rPr>
              <w:rFonts w:ascii="Times New Roman" w:hAnsi="Times New Roman"/>
              <w:sz w:val="20"/>
            </w:rPr>
            <w:t>3.3.3 Yarı Yapılandırılmış Görüşmeler</w:t>
            <w:tab/>
          </w:r>
          <w:fldSimple w:instr="PAGEREF Ortak40_8028 \h">
            <w:r>
              <w:t>36</w:t>
            </w:r>
          </w:fldSimple>
        </w:p>
        <w:p>
          <w:pPr>
            <w:tabs>
              <w:tab w:pos="8957" w:val="right" w:leader="dot"/>
            </w:tabs>
            <w:spacing w:line="240" w:lineRule="auto" w:after="80"/>
            <w:ind w:left="227" w:firstLine="0"/>
          </w:pPr>
          <w:r>
            <w:rPr>
              <w:rFonts w:ascii="Times New Roman" w:hAnsi="Times New Roman"/>
              <w:sz w:val="20"/>
            </w:rPr>
            <w:t>3.4 Uygulama Süreci</w:t>
            <w:tab/>
          </w:r>
          <w:fldSimple w:instr="PAGEREF Ortak40_8030 \h">
            <w:r>
              <w:t>37</w:t>
            </w:r>
          </w:fldSimple>
        </w:p>
        <w:p>
          <w:pPr>
            <w:tabs>
              <w:tab w:pos="8957" w:val="right" w:leader="dot"/>
            </w:tabs>
            <w:spacing w:line="240" w:lineRule="auto" w:after="80"/>
            <w:ind w:left="227" w:firstLine="0"/>
          </w:pPr>
          <w:r>
            <w:rPr>
              <w:rFonts w:ascii="Times New Roman" w:hAnsi="Times New Roman"/>
              <w:sz w:val="20"/>
            </w:rPr>
            <w:t>3.5 Verilerin Analizi</w:t>
            <w:tab/>
          </w:r>
          <w:fldSimple w:instr="PAGEREF Ortak40_8032 \h">
            <w:r>
              <w:t>39</w:t>
            </w:r>
          </w:fldSimple>
        </w:p>
        <w:p>
          <w:pPr>
            <w:tabs>
              <w:tab w:pos="8957" w:val="right" w:leader="dot"/>
            </w:tabs>
            <w:spacing w:line="240" w:lineRule="auto" w:after="80"/>
            <w:ind w:left="454" w:firstLine="0"/>
          </w:pPr>
          <w:r>
            <w:rPr>
              <w:rFonts w:ascii="Times New Roman" w:hAnsi="Times New Roman"/>
              <w:sz w:val="20"/>
            </w:rPr>
            <w:t>3.5.1 Nicel Verilerin Analizi</w:t>
            <w:tab/>
          </w:r>
          <w:fldSimple w:instr="PAGEREF Ortak40_8033 \h">
            <w:r>
              <w:t>40</w:t>
            </w:r>
          </w:fldSimple>
        </w:p>
        <w:p>
          <w:pPr>
            <w:tabs>
              <w:tab w:pos="8957" w:val="right" w:leader="dot"/>
            </w:tabs>
            <w:spacing w:line="240" w:lineRule="auto" w:after="80"/>
            <w:ind w:left="454" w:firstLine="0"/>
          </w:pPr>
          <w:r>
            <w:rPr>
              <w:rFonts w:ascii="Times New Roman" w:hAnsi="Times New Roman"/>
              <w:sz w:val="20"/>
            </w:rPr>
            <w:t>3.5.2 Nitel Verilerin Analizi</w:t>
            <w:tab/>
          </w:r>
          <w:fldSimple w:instr="PAGEREF Ortak40_8034 \h">
            <w:r>
              <w:t>40</w:t>
            </w:r>
          </w:fldSimple>
        </w:p>
        <w:p>
          <w:pPr>
            <w:tabs>
              <w:tab w:pos="8957" w:val="right" w:leader="dot"/>
            </w:tabs>
            <w:spacing w:line="240" w:lineRule="auto" w:after="80"/>
            <w:ind w:left="0" w:firstLine="0"/>
          </w:pPr>
          <w:r>
            <w:rPr>
              <w:rFonts w:ascii="Times New Roman" w:hAnsi="Times New Roman"/>
              <w:sz w:val="20"/>
            </w:rPr>
            <w:t>4. BULGULAR VE YORUMLAR</w:t>
            <w:tab/>
          </w:r>
          <w:fldSimple w:instr="PAGEREF Ortak40_8035 \h">
            <w:r>
              <w:t>42</w:t>
            </w:r>
          </w:fldSimple>
        </w:p>
        <w:p>
          <w:pPr>
            <w:tabs>
              <w:tab w:pos="8957" w:val="right" w:leader="dot"/>
            </w:tabs>
            <w:spacing w:line="240" w:lineRule="auto" w:after="80"/>
            <w:ind w:left="227" w:firstLine="0"/>
          </w:pPr>
          <w:r>
            <w:rPr>
              <w:rFonts w:ascii="Times New Roman" w:hAnsi="Times New Roman"/>
              <w:sz w:val="20"/>
            </w:rPr>
            <w:t>4.1 Nicel Bulgular</w:t>
            <w:tab/>
          </w:r>
          <w:fldSimple w:instr="PAGEREF Ortak40_8036 \h">
            <w:r>
              <w:t>42</w:t>
            </w:r>
          </w:fldSimple>
        </w:p>
        <w:p>
          <w:pPr>
            <w:tabs>
              <w:tab w:pos="8957" w:val="right" w:leader="dot"/>
            </w:tabs>
            <w:spacing w:line="240" w:lineRule="auto" w:after="80"/>
            <w:ind w:left="454" w:firstLine="0"/>
          </w:pPr>
          <w:r>
            <w:rPr>
              <w:rFonts w:ascii="Times New Roman" w:hAnsi="Times New Roman"/>
              <w:sz w:val="20"/>
            </w:rPr>
            <w:t>4.1.1. Problem Çözme Becerisi Ölçeğine İlişkin Bulgular</w:t>
            <w:tab/>
          </w:r>
          <w:fldSimple w:instr="PAGEREF Ortak40_8037 \h">
            <w:r>
              <w:t>42</w:t>
            </w:r>
          </w:fldSimple>
        </w:p>
        <w:p>
          <w:pPr>
            <w:tabs>
              <w:tab w:pos="8957" w:val="right" w:leader="dot"/>
            </w:tabs>
            <w:spacing w:line="240" w:lineRule="auto" w:after="80"/>
            <w:ind w:left="454" w:firstLine="0"/>
          </w:pPr>
          <w:r>
            <w:rPr>
              <w:rFonts w:ascii="Times New Roman" w:hAnsi="Times New Roman"/>
              <w:sz w:val="20"/>
            </w:rPr>
            <w:t>4.1.2. İletişim Becerileri Ölçeğine İlişkin Bulgular</w:t>
            <w:tab/>
          </w:r>
          <w:fldSimple w:instr="PAGEREF Ortak40_8044 \h">
            <w:r>
              <w:t>47</w:t>
            </w:r>
          </w:fldSimple>
        </w:p>
        <w:p>
          <w:pPr>
            <w:tabs>
              <w:tab w:pos="8957" w:val="right" w:leader="dot"/>
            </w:tabs>
            <w:spacing w:line="240" w:lineRule="auto" w:after="80"/>
            <w:ind w:left="227" w:firstLine="0"/>
          </w:pPr>
          <w:r>
            <w:rPr>
              <w:rFonts w:ascii="Times New Roman" w:hAnsi="Times New Roman"/>
              <w:sz w:val="20"/>
            </w:rPr>
            <w:t>4.2. Nitel Bulgular</w:t>
            <w:tab/>
          </w:r>
          <w:fldSimple w:instr="PAGEREF Ortak40_8052 \h">
            <w:r>
              <w:t>53</w:t>
            </w:r>
          </w:fldSimple>
        </w:p>
        <w:p>
          <w:pPr>
            <w:tabs>
              <w:tab w:pos="8957" w:val="right" w:leader="dot"/>
            </w:tabs>
            <w:spacing w:line="240" w:lineRule="auto" w:after="80"/>
            <w:ind w:left="454" w:firstLine="0"/>
          </w:pPr>
          <w:r>
            <w:rPr>
              <w:rFonts w:ascii="Times New Roman" w:hAnsi="Times New Roman"/>
              <w:sz w:val="20"/>
            </w:rPr>
            <w:t>4.2.1. Problem çözme becerilerinin gelişimine ilişkin görüşler</w:t>
            <w:tab/>
          </w:r>
          <w:fldSimple w:instr="PAGEREF Ortak40_8054 \h">
            <w:r>
              <w:t>54</w:t>
            </w:r>
          </w:fldSimple>
        </w:p>
        <w:p>
          <w:pPr>
            <w:tabs>
              <w:tab w:pos="8957" w:val="right" w:leader="dot"/>
            </w:tabs>
            <w:spacing w:line="240" w:lineRule="auto" w:after="80"/>
            <w:ind w:left="454" w:firstLine="0"/>
          </w:pPr>
          <w:r>
            <w:rPr>
              <w:rFonts w:ascii="Times New Roman" w:hAnsi="Times New Roman"/>
              <w:sz w:val="20"/>
            </w:rPr>
            <w:t>4.2.2. İletişim becerilerinin gelişimine ilişkin görüşler</w:t>
            <w:tab/>
          </w:r>
          <w:fldSimple w:instr="PAGEREF Ortak40_8058 \h">
            <w:r>
              <w:t>57</w:t>
            </w:r>
          </w:fldSimple>
        </w:p>
        <w:p>
          <w:pPr>
            <w:tabs>
              <w:tab w:pos="8957" w:val="right" w:leader="dot"/>
            </w:tabs>
            <w:spacing w:line="240" w:lineRule="auto" w:after="80"/>
            <w:ind w:left="454" w:firstLine="0"/>
          </w:pPr>
          <w:r>
            <w:rPr>
              <w:rFonts w:ascii="Times New Roman" w:hAnsi="Times New Roman"/>
              <w:sz w:val="20"/>
            </w:rPr>
            <w:t>4.2.3. Doğal afetler teması ve proje tabanlı öğrenme sürecine ilişkin görüş ve öneriler</w:t>
            <w:tab/>
          </w:r>
          <w:fldSimple w:instr="PAGEREF Ortak40_8061 \h">
            <w:r>
              <w:t>59</w:t>
            </w:r>
          </w:fldSimple>
        </w:p>
        <w:p>
          <w:pPr>
            <w:tabs>
              <w:tab w:pos="8957" w:val="right" w:leader="dot"/>
            </w:tabs>
            <w:spacing w:line="240" w:lineRule="auto" w:after="80"/>
            <w:ind w:left="454" w:firstLine="0"/>
          </w:pPr>
          <w:r>
            <w:rPr>
              <w:rFonts w:ascii="Times New Roman" w:hAnsi="Times New Roman"/>
              <w:sz w:val="20"/>
            </w:rPr>
            <w:t>4.2.4. Nitel bulguların genel değerlendirilmesi</w:t>
            <w:tab/>
          </w:r>
          <w:fldSimple w:instr="PAGEREF Ortak40_8065 \h">
            <w:r>
              <w:t>62</w:t>
            </w:r>
          </w:fldSimple>
        </w:p>
        <w:p>
          <w:pPr>
            <w:tabs>
              <w:tab w:pos="8957" w:val="right" w:leader="dot"/>
            </w:tabs>
            <w:spacing w:line="240" w:lineRule="auto" w:after="80"/>
            <w:ind w:left="227" w:firstLine="0"/>
          </w:pPr>
          <w:r>
            <w:rPr>
              <w:rFonts w:ascii="Times New Roman" w:hAnsi="Times New Roman"/>
              <w:sz w:val="20"/>
            </w:rPr>
            <w:t>4.3. Nicel ve Nitel Bulguların Birlikte Sunumu</w:t>
            <w:tab/>
          </w:r>
          <w:fldSimple w:instr="PAGEREF Ortak40_8068 \h">
            <w:r>
              <w:t>65</w:t>
            </w:r>
          </w:fldSimple>
        </w:p>
        <w:p>
          <w:pPr>
            <w:tabs>
              <w:tab w:pos="8957" w:val="right" w:leader="dot"/>
            </w:tabs>
            <w:spacing w:line="240" w:lineRule="auto" w:after="80"/>
            <w:ind w:left="0" w:firstLine="0"/>
          </w:pPr>
          <w:r>
            <w:rPr>
              <w:rFonts w:ascii="Times New Roman" w:hAnsi="Times New Roman"/>
              <w:sz w:val="20"/>
            </w:rPr>
            <w:t>5. SONUÇ, TARTIŞMA VE ÖNERİLER</w:t>
            <w:tab/>
          </w:r>
          <w:fldSimple w:instr="PAGEREF Ortak40_8070 \h">
            <w:r>
              <w:t>67</w:t>
            </w:r>
          </w:fldSimple>
        </w:p>
        <w:p>
          <w:pPr>
            <w:tabs>
              <w:tab w:pos="8957" w:val="right" w:leader="dot"/>
            </w:tabs>
            <w:spacing w:line="240" w:lineRule="auto" w:after="80"/>
            <w:ind w:left="227" w:firstLine="0"/>
          </w:pPr>
          <w:r>
            <w:rPr>
              <w:rFonts w:ascii="Times New Roman" w:hAnsi="Times New Roman"/>
              <w:sz w:val="20"/>
            </w:rPr>
            <w:t>5.1. Sonuçlar ve Tartışma</w:t>
            <w:tab/>
          </w:r>
          <w:fldSimple w:instr="PAGEREF Ortak40_8071 \h">
            <w:r>
              <w:t>67</w:t>
            </w:r>
          </w:fldSimple>
        </w:p>
        <w:p>
          <w:pPr>
            <w:tabs>
              <w:tab w:pos="8957" w:val="right" w:leader="dot"/>
            </w:tabs>
            <w:spacing w:line="240" w:lineRule="auto" w:after="80"/>
            <w:ind w:left="454" w:firstLine="0"/>
          </w:pPr>
          <w:r>
            <w:rPr>
              <w:rFonts w:ascii="Times New Roman" w:hAnsi="Times New Roman"/>
              <w:sz w:val="20"/>
            </w:rPr>
            <w:t>5.1.1. Problem çözmeye ilişkin sonuçlar ve tartışma</w:t>
            <w:tab/>
          </w:r>
          <w:fldSimple w:instr="PAGEREF Ortak40_8072 \h">
            <w:r>
              <w:t>67</w:t>
            </w:r>
          </w:fldSimple>
        </w:p>
        <w:p>
          <w:pPr>
            <w:tabs>
              <w:tab w:pos="8957" w:val="right" w:leader="dot"/>
            </w:tabs>
            <w:spacing w:line="240" w:lineRule="auto" w:after="80"/>
            <w:ind w:left="454" w:firstLine="0"/>
          </w:pPr>
          <w:r>
            <w:rPr>
              <w:rFonts w:ascii="Times New Roman" w:hAnsi="Times New Roman"/>
              <w:sz w:val="20"/>
            </w:rPr>
            <w:t>5.1.2. İletişime ilişkin sonuçlar ve tartışma</w:t>
            <w:tab/>
          </w:r>
          <w:fldSimple w:instr="PAGEREF Ortak40_8073 \h">
            <w:r>
              <w:t>68</w:t>
            </w:r>
          </w:fldSimple>
        </w:p>
        <w:p>
          <w:pPr>
            <w:tabs>
              <w:tab w:pos="8957" w:val="right" w:leader="dot"/>
            </w:tabs>
            <w:spacing w:line="240" w:lineRule="auto" w:after="80"/>
            <w:ind w:left="454" w:firstLine="0"/>
          </w:pPr>
          <w:r>
            <w:rPr>
              <w:rFonts w:ascii="Times New Roman" w:hAnsi="Times New Roman"/>
              <w:sz w:val="20"/>
            </w:rPr>
            <w:t>5.1.3. Öğrenme deneyimleri ve uygulama güçlüklerine ilişkin tartışma</w:t>
            <w:tab/>
          </w:r>
          <w:fldSimple w:instr="PAGEREF Ortak40_8074 \h">
            <w:r>
              <w:t>70</w:t>
            </w:r>
          </w:fldSimple>
        </w:p>
        <w:p>
          <w:pPr>
            <w:tabs>
              <w:tab w:pos="8957" w:val="right" w:leader="dot"/>
            </w:tabs>
            <w:spacing w:line="240" w:lineRule="auto" w:after="80"/>
            <w:ind w:left="454" w:firstLine="0"/>
          </w:pPr>
          <w:r>
            <w:rPr>
              <w:rFonts w:ascii="Times New Roman" w:hAnsi="Times New Roman"/>
              <w:sz w:val="20"/>
            </w:rPr>
            <w:t>5.1.4. Nicel ve nitel sonuçların birlikte değerlendirilmesi</w:t>
            <w:tab/>
          </w:r>
          <w:fldSimple w:instr="PAGEREF Ortak40_8075 \h">
            <w:r>
              <w:t>71</w:t>
            </w:r>
          </w:fldSimple>
        </w:p>
        <w:p>
          <w:pPr>
            <w:tabs>
              <w:tab w:pos="8957" w:val="right" w:leader="dot"/>
            </w:tabs>
            <w:spacing w:line="240" w:lineRule="auto" w:after="80"/>
            <w:ind w:left="454" w:firstLine="0"/>
          </w:pPr>
          <w:r>
            <w:rPr>
              <w:rFonts w:ascii="Times New Roman" w:hAnsi="Times New Roman"/>
              <w:sz w:val="20"/>
            </w:rPr>
            <w:t>5.1.5. Sonuçların yorumlanmasına ilişkin sınırlılıklar</w:t>
            <w:tab/>
          </w:r>
          <w:fldSimple w:instr="PAGEREF Ortak40_8076 \h">
            <w:r>
              <w:t>72</w:t>
            </w:r>
          </w:fldSimple>
        </w:p>
        <w:p>
          <w:pPr>
            <w:tabs>
              <w:tab w:pos="8957" w:val="right" w:leader="dot"/>
            </w:tabs>
            <w:spacing w:line="240" w:lineRule="auto" w:after="80"/>
            <w:ind w:left="227" w:firstLine="0"/>
          </w:pPr>
          <w:r>
            <w:rPr>
              <w:rFonts w:ascii="Times New Roman" w:hAnsi="Times New Roman"/>
              <w:sz w:val="20"/>
            </w:rPr>
            <w:t>5.2. Öneriler</w:t>
            <w:tab/>
          </w:r>
          <w:fldSimple w:instr="PAGEREF Ortak40_8077 \h">
            <w:r>
              <w:t>73</w:t>
            </w:r>
          </w:fldSimple>
        </w:p>
        <w:p>
          <w:pPr>
            <w:tabs>
              <w:tab w:pos="8957" w:val="right" w:leader="dot"/>
            </w:tabs>
            <w:spacing w:line="240" w:lineRule="auto" w:after="80"/>
            <w:ind w:left="454" w:firstLine="0"/>
          </w:pPr>
          <w:r>
            <w:rPr>
              <w:rFonts w:ascii="Times New Roman" w:hAnsi="Times New Roman"/>
              <w:sz w:val="20"/>
            </w:rPr>
            <w:t>5.2.1. Uygulayıcılara yönelik öneriler</w:t>
            <w:tab/>
          </w:r>
          <w:fldSimple w:instr="PAGEREF Ortak40_8078 \h">
            <w:r>
              <w:t>73</w:t>
            </w:r>
          </w:fldSimple>
        </w:p>
        <w:p>
          <w:pPr>
            <w:tabs>
              <w:tab w:pos="8957" w:val="right" w:leader="dot"/>
            </w:tabs>
            <w:spacing w:line="240" w:lineRule="auto" w:after="80"/>
            <w:ind w:left="454" w:firstLine="0"/>
          </w:pPr>
          <w:r>
            <w:rPr>
              <w:rFonts w:ascii="Times New Roman" w:hAnsi="Times New Roman"/>
              <w:sz w:val="20"/>
            </w:rPr>
            <w:t>5.2.2. Araştırmacılara yönelik öneriler</w:t>
            <w:tab/>
          </w:r>
          <w:fldSimple w:instr="PAGEREF Ortak40_8079 \h">
            <w:r>
              <w:t>75</w:t>
            </w:r>
          </w:fldSimple>
        </w:p>
        <w:p>
          <w:pPr>
            <w:tabs>
              <w:tab w:pos="8957" w:val="right" w:leader="dot"/>
            </w:tabs>
            <w:spacing w:line="240" w:lineRule="auto" w:after="80"/>
            <w:ind w:left="0" w:firstLine="0"/>
          </w:pPr>
          <w:r>
            <w:rPr>
              <w:rFonts w:ascii="Times New Roman" w:hAnsi="Times New Roman"/>
              <w:sz w:val="20"/>
            </w:rPr>
            <w:t>KAYNAKÇA</w:t>
            <w:tab/>
          </w:r>
          <w:fldSimple w:instr="PAGEREF Ortak40_8080 \h">
            <w:r>
              <w:t>77</w:t>
            </w:r>
          </w:fldSimple>
        </w:p>
        <w:p>
          <w:pPr>
            <w:tabs>
              <w:tab w:pos="8957" w:val="right" w:leader="dot"/>
            </w:tabs>
            <w:spacing w:line="240" w:lineRule="auto" w:after="80"/>
            <w:ind w:left="0" w:firstLine="0"/>
          </w:pPr>
          <w:r>
            <w:rPr>
              <w:rFonts w:ascii="Times New Roman" w:hAnsi="Times New Roman"/>
              <w:sz w:val="20"/>
            </w:rPr>
            <w:t>EKLER</w:t>
            <w:tab/>
          </w:r>
          <w:fldSimple w:instr="PAGEREF Ortak40_8081 \h">
            <w:r>
              <w:t>79</w:t>
            </w:r>
          </w:fldSimple>
        </w:p>
        <w:p>
          <w:pPr>
            <w:tabs>
              <w:tab w:pos="8957" w:val="right" w:leader="dot"/>
            </w:tabs>
            <w:spacing w:line="240" w:lineRule="auto" w:after="80"/>
            <w:ind w:left="227" w:firstLine="0"/>
          </w:pPr>
          <w:r>
            <w:rPr>
              <w:rFonts w:ascii="Times New Roman" w:hAnsi="Times New Roman"/>
              <w:sz w:val="20"/>
            </w:rPr>
            <w:t>Ek 1. İletişim Becerileri Ölçeği</w:t>
            <w:tab/>
          </w:r>
          <w:fldSimple w:instr="PAGEREF Ortak40_8082 \h">
            <w:r>
              <w:t>79</w:t>
            </w:r>
          </w:fldSimple>
        </w:p>
        <w:p>
          <w:pPr>
            <w:tabs>
              <w:tab w:pos="8957" w:val="right" w:leader="dot"/>
            </w:tabs>
            <w:spacing w:line="240" w:lineRule="auto" w:after="80"/>
            <w:ind w:left="227" w:firstLine="0"/>
          </w:pPr>
          <w:r>
            <w:rPr>
              <w:rFonts w:ascii="Times New Roman" w:hAnsi="Times New Roman"/>
              <w:sz w:val="20"/>
            </w:rPr>
            <w:t>Ek 2. Problem Çözme Becerileri Ölçeği</w:t>
            <w:tab/>
          </w:r>
          <w:fldSimple w:instr="PAGEREF Ortak40_8083 \h">
            <w:r>
              <w:t>81</w:t>
            </w:r>
          </w:fldSimple>
        </w:p>
        <w:p>
          <w:pPr>
            <w:tabs>
              <w:tab w:pos="8957" w:val="right" w:leader="dot"/>
            </w:tabs>
            <w:spacing w:line="240" w:lineRule="auto" w:after="80"/>
            <w:ind w:left="227" w:firstLine="0"/>
          </w:pPr>
          <w:r>
            <w:rPr>
              <w:rFonts w:ascii="Times New Roman" w:hAnsi="Times New Roman"/>
              <w:sz w:val="20"/>
            </w:rPr>
            <w:t>Ek 3. Yarı yapılandırılmış görüşme formu</w:t>
            <w:tab/>
          </w:r>
          <w:fldSimple w:instr="PAGEREF Ortak40_8084 \h">
            <w:r>
              <w:t>84</w:t>
            </w:r>
          </w:fldSimple>
        </w:p>
        <w:p>
          <w:pPr>
            <w:tabs>
              <w:tab w:pos="8957" w:val="right" w:leader="dot"/>
            </w:tabs>
            <w:spacing w:line="240" w:lineRule="auto" w:after="80"/>
            <w:ind w:left="227" w:firstLine="0"/>
          </w:pPr>
          <w:r>
            <w:rPr>
              <w:rFonts w:ascii="Times New Roman" w:hAnsi="Times New Roman"/>
              <w:sz w:val="20"/>
            </w:rPr>
            <w:t>Ek 4. Nitel içerik analizi kod kitabı</w:t>
            <w:tab/>
          </w:r>
          <w:fldSimple w:instr="PAGEREF Ortak40_8085 \h">
            <w:r>
              <w:t>85</w:t>
            </w:r>
          </w:fldSimple>
        </w:p>
        <w:p>
          <w:pPr>
            <w:tabs>
              <w:tab w:pos="8957" w:val="right" w:leader="dot"/>
            </w:tabs>
            <w:spacing w:line="240" w:lineRule="auto" w:after="80"/>
            <w:ind w:left="454" w:firstLine="0"/>
          </w:pPr>
          <w:r>
            <w:rPr>
              <w:rFonts w:ascii="Times New Roman" w:hAnsi="Times New Roman"/>
              <w:sz w:val="20"/>
            </w:rPr>
            <w:t>T1. Problem belirleme, çözüm geliştirme ve algılanan beceri katkıları</w:t>
            <w:tab/>
          </w:r>
          <w:fldSimple w:instr="PAGEREF Ortak40_8086 \h">
            <w:r>
              <w:t>85</w:t>
            </w:r>
          </w:fldSimple>
        </w:p>
        <w:p>
          <w:pPr>
            <w:tabs>
              <w:tab w:pos="8957" w:val="right" w:leader="dot"/>
            </w:tabs>
            <w:spacing w:line="240" w:lineRule="auto" w:after="80"/>
            <w:ind w:left="454" w:firstLine="0"/>
          </w:pPr>
          <w:r>
            <w:rPr>
              <w:rFonts w:ascii="Times New Roman" w:hAnsi="Times New Roman"/>
              <w:sz w:val="20"/>
            </w:rPr>
            <w:t>T2. Grup içi iletişim, iş birliği ve algılanan iletişim katkısı</w:t>
            <w:tab/>
          </w:r>
          <w:fldSimple w:instr="PAGEREF Ortak40_8087 \h">
            <w:r>
              <w:t>86</w:t>
            </w:r>
          </w:fldSimple>
        </w:p>
        <w:p>
          <w:pPr>
            <w:tabs>
              <w:tab w:pos="8957" w:val="right" w:leader="dot"/>
            </w:tabs>
            <w:spacing w:line="240" w:lineRule="auto" w:after="80"/>
            <w:ind w:left="454" w:firstLine="0"/>
          </w:pPr>
          <w:r>
            <w:rPr>
              <w:rFonts w:ascii="Times New Roman" w:hAnsi="Times New Roman"/>
              <w:sz w:val="20"/>
            </w:rPr>
            <w:t>T3. Öğrenme deneyimleri, mesleki katkılar ve süreç güçlükleri</w:t>
            <w:tab/>
          </w:r>
          <w:fldSimple w:instr="PAGEREF Ortak40_8088 \h">
            <w:r>
              <w:t>87</w:t>
            </w:r>
          </w:fldSimple>
        </w:p>
        <w:p>
          <w:pPr>
            <w:tabs>
              <w:tab w:pos="8957" w:val="right" w:leader="dot"/>
            </w:tabs>
            <w:spacing w:line="240" w:lineRule="auto" w:after="80"/>
            <w:ind w:left="454" w:firstLine="0"/>
          </w:pPr>
          <w:r>
            <w:rPr>
              <w:rFonts w:ascii="Times New Roman" w:hAnsi="Times New Roman"/>
              <w:sz w:val="20"/>
            </w:rPr>
            <w:t>T4. Öğretim sürecini geliştirmeye yönelik öneriler</w:t>
            <w:tab/>
          </w:r>
          <w:fldSimple w:instr="PAGEREF Ortak40_8089 \h">
            <w:r>
              <w:t>88</w:t>
            </w:r>
          </w:fldSimple>
          <w:r>
            <w:rPr>
              <w:rFonts w:ascii="Times New Roman" w:hAnsi="Times New Roman"/>
              <w:sz w:val="20"/>
            </w:rPr>
            <w:fldChar w:fldCharType="end"/>
          </w:r>
        </w:p>
      </w:sdtContent>
    </w:sdt>
    <w:p>
      <w:pPr>
        <w:keepNext/>
        <w:pageBreakBefore/>
      </w:pPr>
      <w:r>
        <w:rPr>
          <w:rFonts w:ascii="Times New Roman" w:hAnsi="Times New Roman"/>
          <w:b/>
          <w:sz w:val="28"/>
        </w:rPr>
        <w:t>TABLOLAR LİSTESİ</w:t>
      </w:r>
    </w:p>
    <w:sdt>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\f T \h \z</w:instrText>
          </w:r>
          <w:r>
            <w:rPr>
              <w:rFonts w:ascii="Times New Roman" w:hAnsi="Times New Roman"/>
              <w:sz w:val="20"/>
            </w:rPr>
            <w:fldChar w:fldCharType="separate"/>
          </w:r>
          <w:r>
            <w:rPr>
              <w:rFonts w:ascii="Times New Roman" w:hAnsi="Times New Roman"/>
              <w:sz w:val="20"/>
            </w:rPr>
            <w:t>Tablo 2.1 Doğal afetler temalı uygulamanın etkinlik ve ölçüm kapsamı</w:t>
            <w:tab/>
          </w:r>
          <w:fldSimple w:instr="PAGEREF Ortak40_8018 \h">
            <w:r>
              <w:t>26</w:t>
            </w:r>
          </w:fldSimple>
        </w:p>
        <w:p>
          <w:pPr>
            <w:tabs>
              <w:tab w:pos="8957" w:val="right" w:leader="dot"/>
            </w:tabs>
            <w:spacing w:line="240" w:lineRule="auto" w:after="80"/>
            <w:ind w:left="0" w:firstLine="0"/>
          </w:pPr>
          <w:r>
            <w:rPr>
              <w:rFonts w:ascii="Times New Roman" w:hAnsi="Times New Roman"/>
              <w:sz w:val="20"/>
            </w:rPr>
            <w:t>Tablo 3.1 Çalışma Grubunun Temel Özellikleri</w:t>
            <w:tab/>
          </w:r>
          <w:fldSimple w:instr="PAGEREF Ortak40_8024 \h">
            <w:r>
              <w:t>33</w:t>
            </w:r>
          </w:fldSimple>
        </w:p>
        <w:p>
          <w:pPr>
            <w:tabs>
              <w:tab w:pos="8957" w:val="right" w:leader="dot"/>
            </w:tabs>
            <w:spacing w:line="240" w:lineRule="auto" w:after="80"/>
            <w:ind w:left="0" w:firstLine="0"/>
          </w:pPr>
          <w:r>
            <w:rPr>
              <w:rFonts w:ascii="Times New Roman" w:hAnsi="Times New Roman"/>
              <w:sz w:val="20"/>
            </w:rPr>
            <w:t>Tablo 3.2. Araştırmada Kullanılan Veri Toplama Araçlarının Özellikleri</w:t>
            <w:tab/>
          </w:r>
          <w:fldSimple w:instr="PAGEREF Ortak40_8029 \h">
            <w:r>
              <w:t>37</w:t>
            </w:r>
          </w:fldSimple>
        </w:p>
        <w:p>
          <w:pPr>
            <w:tabs>
              <w:tab w:pos="8957" w:val="right" w:leader="dot"/>
            </w:tabs>
            <w:spacing w:line="240" w:lineRule="auto" w:after="80"/>
            <w:ind w:left="0" w:firstLine="0"/>
          </w:pPr>
          <w:r>
            <w:rPr>
              <w:rFonts w:ascii="Times New Roman" w:hAnsi="Times New Roman"/>
              <w:sz w:val="20"/>
            </w:rPr>
            <w:t>Tablo 4.1 PÇBÖ Ortak Analiz Grubunun Ön Test ve Son Test Katılımcı Sayıları</w:t>
            <w:tab/>
          </w:r>
          <w:fldSimple w:instr="PAGEREF Ortak40_8038 \h">
            <w:r>
              <w:t>42</w:t>
            </w:r>
          </w:fldSimple>
        </w:p>
        <w:p>
          <w:pPr>
            <w:tabs>
              <w:tab w:pos="8957" w:val="right" w:leader="dot"/>
            </w:tabs>
            <w:spacing w:line="240" w:lineRule="auto" w:after="80"/>
            <w:ind w:left="0" w:firstLine="0"/>
          </w:pPr>
          <w:r>
            <w:rPr>
              <w:rFonts w:ascii="Times New Roman" w:hAnsi="Times New Roman"/>
              <w:sz w:val="20"/>
            </w:rPr>
            <w:t>Tablo 4.2 PÇBÖ ve Alt Boyutlarına İlişkin Cronbach Alfa Katsayıları</w:t>
            <w:tab/>
          </w:r>
          <w:fldSimple w:instr="PAGEREF Ortak40_8039 \h">
            <w:r>
              <w:t>43</w:t>
            </w:r>
          </w:fldSimple>
        </w:p>
        <w:p>
          <w:pPr>
            <w:tabs>
              <w:tab w:pos="8957" w:val="right" w:leader="dot"/>
            </w:tabs>
            <w:spacing w:line="240" w:lineRule="auto" w:after="80"/>
            <w:ind w:left="0" w:firstLine="0"/>
          </w:pPr>
          <w:r>
            <w:rPr>
              <w:rFonts w:ascii="Times New Roman" w:hAnsi="Times New Roman"/>
              <w:sz w:val="20"/>
            </w:rPr>
            <w:t>Tablo 4.3 Problem Çözme Becerisi Ölçeği ve Alt Boyutlarına İlişkin Tanımlayıcı İstatistikler</w:t>
            <w:tab/>
          </w:r>
          <w:fldSimple w:instr="PAGEREF Ortak40_8040 \h">
            <w:r>
              <w:t>43</w:t>
            </w:r>
          </w:fldSimple>
        </w:p>
        <w:p>
          <w:pPr>
            <w:tabs>
              <w:tab w:pos="8957" w:val="right" w:leader="dot"/>
            </w:tabs>
            <w:spacing w:line="240" w:lineRule="auto" w:after="80"/>
            <w:ind w:left="0" w:firstLine="0"/>
          </w:pPr>
          <w:r>
            <w:rPr>
              <w:rFonts w:ascii="Times New Roman" w:hAnsi="Times New Roman"/>
              <w:sz w:val="20"/>
            </w:rPr>
            <w:t>Tablo 4.4 PÇBÖ Ön Test–Son Test Fark Puanlarına İlişkin Shapiro–Wilk Testi Sonuçları</w:t>
            <w:tab/>
          </w:r>
          <w:fldSimple w:instr="PAGEREF Ortak40_8042 \h">
            <w:r>
              <w:t>45</w:t>
            </w:r>
          </w:fldSimple>
        </w:p>
        <w:p>
          <w:pPr>
            <w:tabs>
              <w:tab w:pos="8957" w:val="right" w:leader="dot"/>
            </w:tabs>
            <w:spacing w:line="240" w:lineRule="auto" w:after="80"/>
            <w:ind w:left="0" w:firstLine="0"/>
          </w:pPr>
          <w:r>
            <w:rPr>
              <w:rFonts w:ascii="Times New Roman" w:hAnsi="Times New Roman"/>
              <w:sz w:val="20"/>
            </w:rPr>
            <w:t>Tablo 4.5. PÇBÖ Ön Test ve Son Test Puanlarının Bağımlı Örneklemler t Testi Sonuçları</w:t>
            <w:tab/>
          </w:r>
          <w:fldSimple w:instr="PAGEREF Ortak40_8043 \h">
            <w:r>
              <w:t>45</w:t>
            </w:r>
          </w:fldSimple>
        </w:p>
        <w:p>
          <w:pPr>
            <w:tabs>
              <w:tab w:pos="8957" w:val="right" w:leader="dot"/>
            </w:tabs>
            <w:spacing w:line="240" w:lineRule="auto" w:after="80"/>
            <w:ind w:left="0" w:firstLine="0"/>
          </w:pPr>
          <w:r>
            <w:rPr>
              <w:rFonts w:ascii="Times New Roman" w:hAnsi="Times New Roman"/>
              <w:sz w:val="20"/>
            </w:rPr>
            <w:t>Tablo 4.6. İBDÖ Ortak Analiz Grubunun Ön Test ve Son Test Katılımcı Sayıları</w:t>
            <w:tab/>
          </w:r>
          <w:fldSimple w:instr="PAGEREF Ortak40_8045 \h">
            <w:r>
              <w:t>47</w:t>
            </w:r>
          </w:fldSimple>
        </w:p>
        <w:p>
          <w:pPr>
            <w:tabs>
              <w:tab w:pos="8957" w:val="right" w:leader="dot"/>
            </w:tabs>
            <w:spacing w:line="240" w:lineRule="auto" w:after="80"/>
            <w:ind w:left="0" w:firstLine="0"/>
          </w:pPr>
          <w:r>
            <w:rPr>
              <w:rFonts w:ascii="Times New Roman" w:hAnsi="Times New Roman"/>
              <w:sz w:val="20"/>
            </w:rPr>
            <w:t>Tablo 4.7. İBDÖ ve Alt Boyutlarına İlişkin Cronbach Alfa Katsayıları</w:t>
            <w:tab/>
          </w:r>
          <w:fldSimple w:instr="PAGEREF Ortak40_8046 \h">
            <w:r>
              <w:t>48</w:t>
            </w:r>
          </w:fldSimple>
        </w:p>
        <w:p>
          <w:pPr>
            <w:tabs>
              <w:tab w:pos="8957" w:val="right" w:leader="dot"/>
            </w:tabs>
            <w:spacing w:line="240" w:lineRule="auto" w:after="80"/>
            <w:ind w:left="0" w:firstLine="0"/>
          </w:pPr>
          <w:r>
            <w:rPr>
              <w:rFonts w:ascii="Times New Roman" w:hAnsi="Times New Roman"/>
              <w:sz w:val="20"/>
            </w:rPr>
            <w:t>Tablo 4.8. İBDÖ Ön Test ve Son Test Puanlarına İlişkin Tanımlayıcı İstatistikler</w:t>
            <w:tab/>
          </w:r>
          <w:fldSimple w:instr="PAGEREF Ortak40_8047 \h">
            <w:r>
              <w:t>48</w:t>
            </w:r>
          </w:fldSimple>
        </w:p>
        <w:p>
          <w:pPr>
            <w:tabs>
              <w:tab w:pos="8957" w:val="right" w:leader="dot"/>
            </w:tabs>
            <w:spacing w:line="240" w:lineRule="auto" w:after="80"/>
            <w:ind w:left="0" w:firstLine="0"/>
          </w:pPr>
          <w:r>
            <w:rPr>
              <w:rFonts w:ascii="Times New Roman" w:hAnsi="Times New Roman"/>
              <w:sz w:val="20"/>
            </w:rPr>
            <w:t>Tablo 4.9. İBDÖ Ön Test–Son Test Fark Puanlarına İlişkin Shapiro–Wilk Testi Sonuçları</w:t>
            <w:tab/>
          </w:r>
          <w:fldSimple w:instr="PAGEREF Ortak40_8049 \h">
            <w:r>
              <w:t>50</w:t>
            </w:r>
          </w:fldSimple>
        </w:p>
        <w:p>
          <w:pPr>
            <w:tabs>
              <w:tab w:pos="8957" w:val="right" w:leader="dot"/>
            </w:tabs>
            <w:spacing w:line="240" w:lineRule="auto" w:after="80"/>
            <w:ind w:left="0" w:firstLine="0"/>
          </w:pPr>
          <w:r>
            <w:rPr>
              <w:rFonts w:ascii="Times New Roman" w:hAnsi="Times New Roman"/>
              <w:sz w:val="20"/>
            </w:rPr>
            <w:t>Tablo 4.10. İBDÖ Ön Test ve Son Test Puanlarının Bağımlı Örneklemler t Testi Sonuçları</w:t>
            <w:tab/>
          </w:r>
          <w:fldSimple w:instr="PAGEREF Ortak40_8050 \h">
            <w:r>
              <w:t>51</w:t>
            </w:r>
          </w:fldSimple>
        </w:p>
        <w:p>
          <w:pPr>
            <w:tabs>
              <w:tab w:pos="8957" w:val="right" w:leader="dot"/>
            </w:tabs>
            <w:spacing w:line="240" w:lineRule="auto" w:after="80"/>
            <w:ind w:left="0" w:firstLine="0"/>
          </w:pPr>
          <w:r>
            <w:rPr>
              <w:rFonts w:ascii="Times New Roman" w:hAnsi="Times New Roman"/>
              <w:sz w:val="20"/>
            </w:rPr>
            <w:t>Tablo 4.11. Problem belirleme deneyimlerine ilişkin kodlar</w:t>
            <w:tab/>
          </w:r>
          <w:fldSimple w:instr="PAGEREF Ortak40_8055 \h">
            <w:r>
              <w:t>55</w:t>
            </w:r>
          </w:fldSimple>
        </w:p>
        <w:p>
          <w:pPr>
            <w:tabs>
              <w:tab w:pos="8957" w:val="right" w:leader="dot"/>
            </w:tabs>
            <w:spacing w:line="240" w:lineRule="auto" w:after="80"/>
            <w:ind w:left="0" w:firstLine="0"/>
          </w:pPr>
          <w:r>
            <w:rPr>
              <w:rFonts w:ascii="Times New Roman" w:hAnsi="Times New Roman"/>
              <w:sz w:val="20"/>
            </w:rPr>
            <w:t>Tablo 4.12. Çözüm geliştirme sürecine ilişkin kodlar</w:t>
            <w:tab/>
          </w:r>
          <w:fldSimple w:instr="PAGEREF Ortak40_8056 \h">
            <w:r>
              <w:t>55</w:t>
            </w:r>
          </w:fldSimple>
        </w:p>
        <w:p>
          <w:pPr>
            <w:tabs>
              <w:tab w:pos="8957" w:val="right" w:leader="dot"/>
            </w:tabs>
            <w:spacing w:line="240" w:lineRule="auto" w:after="80"/>
            <w:ind w:left="0" w:firstLine="0"/>
          </w:pPr>
          <w:r>
            <w:rPr>
              <w:rFonts w:ascii="Times New Roman" w:hAnsi="Times New Roman"/>
              <w:sz w:val="20"/>
            </w:rPr>
            <w:t>Tablo 4.13. Problem çözme sürecinde algılanan beceri katkıları</w:t>
            <w:tab/>
          </w:r>
          <w:fldSimple w:instr="PAGEREF Ortak40_8057 \h">
            <w:r>
              <w:t>57</w:t>
            </w:r>
          </w:fldSimple>
        </w:p>
        <w:p>
          <w:pPr>
            <w:tabs>
              <w:tab w:pos="8957" w:val="right" w:leader="dot"/>
            </w:tabs>
            <w:spacing w:line="240" w:lineRule="auto" w:after="80"/>
            <w:ind w:left="0" w:firstLine="0"/>
          </w:pPr>
          <w:r>
            <w:rPr>
              <w:rFonts w:ascii="Times New Roman" w:hAnsi="Times New Roman"/>
              <w:sz w:val="20"/>
            </w:rPr>
            <w:t>Tablo 4.14. Grup içi iletişim ve ortak karar süreçlerine ilişkin kodlar</w:t>
            <w:tab/>
          </w:r>
          <w:fldSimple w:instr="PAGEREF Ortak40_8059 \h">
            <w:r>
              <w:t>57</w:t>
            </w:r>
          </w:fldSimple>
        </w:p>
        <w:p>
          <w:pPr>
            <w:tabs>
              <w:tab w:pos="8957" w:val="right" w:leader="dot"/>
            </w:tabs>
            <w:spacing w:line="240" w:lineRule="auto" w:after="80"/>
            <w:ind w:left="0" w:firstLine="0"/>
          </w:pPr>
          <w:r>
            <w:rPr>
              <w:rFonts w:ascii="Times New Roman" w:hAnsi="Times New Roman"/>
              <w:sz w:val="20"/>
            </w:rPr>
            <w:t>Tablo 4.15. İş birliği ve iletişim katkısına ilişkin kodlar</w:t>
            <w:tab/>
          </w:r>
          <w:fldSimple w:instr="PAGEREF Ortak40_8060 \h">
            <w:r>
              <w:t>58</w:t>
            </w:r>
          </w:fldSimple>
        </w:p>
        <w:p>
          <w:pPr>
            <w:tabs>
              <w:tab w:pos="8957" w:val="right" w:leader="dot"/>
            </w:tabs>
            <w:spacing w:line="240" w:lineRule="auto" w:after="80"/>
            <w:ind w:left="0" w:firstLine="0"/>
          </w:pPr>
          <w:r>
            <w:rPr>
              <w:rFonts w:ascii="Times New Roman" w:hAnsi="Times New Roman"/>
              <w:sz w:val="20"/>
            </w:rPr>
            <w:t>Tablo 4.16. Öğrenme ve uygulamanın olumlu yönlerine ilişkin kodlar</w:t>
            <w:tab/>
          </w:r>
          <w:fldSimple w:instr="PAGEREF Ortak40_8062 \h">
            <w:r>
              <w:t>59</w:t>
            </w:r>
          </w:fldSimple>
        </w:p>
        <w:p>
          <w:pPr>
            <w:tabs>
              <w:tab w:pos="8957" w:val="right" w:leader="dot"/>
            </w:tabs>
            <w:spacing w:line="240" w:lineRule="auto" w:after="80"/>
            <w:ind w:left="0" w:firstLine="0"/>
          </w:pPr>
          <w:r>
            <w:rPr>
              <w:rFonts w:ascii="Times New Roman" w:hAnsi="Times New Roman"/>
              <w:sz w:val="20"/>
            </w:rPr>
            <w:t>Tablo 4.17. Uygulama sürecinin güçlüklerine ilişkin kodlar</w:t>
            <w:tab/>
          </w:r>
          <w:fldSimple w:instr="PAGEREF Ortak40_8063 \h">
            <w:r>
              <w:t>60</w:t>
            </w:r>
          </w:fldSimple>
        </w:p>
        <w:p>
          <w:pPr>
            <w:tabs>
              <w:tab w:pos="8957" w:val="right" w:leader="dot"/>
            </w:tabs>
            <w:spacing w:line="240" w:lineRule="auto" w:after="80"/>
            <w:ind w:left="0" w:firstLine="0"/>
          </w:pPr>
          <w:r>
            <w:rPr>
              <w:rFonts w:ascii="Times New Roman" w:hAnsi="Times New Roman"/>
              <w:sz w:val="20"/>
            </w:rPr>
            <w:t>Tablo 4.18. Öğretim sürecine ilişkin düzenleme önerileri</w:t>
            <w:tab/>
          </w:r>
          <w:fldSimple w:instr="PAGEREF Ortak40_8064 \h">
            <w:r>
              <w:t>61</w:t>
            </w:r>
          </w:fldSimple>
        </w:p>
        <w:p>
          <w:pPr>
            <w:tabs>
              <w:tab w:pos="8957" w:val="right" w:leader="dot"/>
            </w:tabs>
            <w:spacing w:line="240" w:lineRule="auto" w:after="80"/>
            <w:ind w:left="0" w:firstLine="0"/>
          </w:pPr>
          <w:r>
            <w:rPr>
              <w:rFonts w:ascii="Times New Roman" w:hAnsi="Times New Roman"/>
              <w:sz w:val="20"/>
            </w:rPr>
            <w:t>Tablo 4.19. Katılımcıların ortak ve ayrışan deneyimlerinin karşılaştırılması</w:t>
            <w:tab/>
          </w:r>
          <w:fldSimple w:instr="PAGEREF Ortak40_8066 \h">
            <w:r>
              <w:t>62</w:t>
            </w:r>
          </w:fldSimple>
        </w:p>
        <w:p>
          <w:pPr>
            <w:tabs>
              <w:tab w:pos="8957" w:val="right" w:leader="dot"/>
            </w:tabs>
            <w:spacing w:line="240" w:lineRule="auto" w:after="80"/>
            <w:ind w:left="0" w:firstLine="0"/>
          </w:pPr>
          <w:r>
            <w:rPr>
              <w:rFonts w:ascii="Times New Roman" w:hAnsi="Times New Roman"/>
              <w:sz w:val="20"/>
            </w:rPr>
            <w:t>Tablo 4.20. Nicel ölçek sonuçları ve nitel görüşme bulgularının ortak gösterimi</w:t>
            <w:tab/>
          </w:r>
          <w:fldSimple w:instr="PAGEREF Ortak40_8069 \h">
            <w:r>
              <w:t>65</w:t>
            </w:r>
          </w:fldSimple>
          <w:r>
            <w:rPr>
              <w:rFonts w:ascii="Times New Roman" w:hAnsi="Times New Roman"/>
              <w:sz w:val="20"/>
            </w:rPr>
            <w:fldChar w:fldCharType="end"/>
          </w:r>
        </w:p>
      </w:sdtContent>
    </w:sdt>
    <w:p>
      <w:pPr>
        <w:keepNext/>
        <w:pageBreakBefore/>
      </w:pPr>
      <w:r>
        <w:rPr>
          <w:rFonts w:ascii="Times New Roman" w:hAnsi="Times New Roman"/>
          <w:b/>
          <w:sz w:val="28"/>
        </w:rPr>
        <w:t>ŞEKİLLER LİSTESİ</w:t>
      </w:r>
    </w:p>
    <w:sdt>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\f F \h \z</w:instrText>
          </w:r>
          <w:r>
            <w:rPr>
              <w:rFonts w:ascii="Times New Roman" w:hAnsi="Times New Roman"/>
              <w:sz w:val="20"/>
            </w:rPr>
            <w:fldChar w:fldCharType="separate"/>
          </w:r>
          <w:r>
            <w:rPr>
              <w:rFonts w:ascii="Times New Roman" w:hAnsi="Times New Roman"/>
              <w:sz w:val="20"/>
            </w:rPr>
            <w:t>Şekil 2.1 Araştırmanın Kuramsal Çerçevesi</w:t>
            <w:tab/>
          </w:r>
          <w:fldSimple w:instr="PAGEREF Ortak40_8012 \h">
            <w:r>
              <w:t>12</w:t>
            </w:r>
          </w:fldSimple>
        </w:p>
        <w:p>
          <w:pPr>
            <w:tabs>
              <w:tab w:pos="8957" w:val="right" w:leader="dot"/>
            </w:tabs>
            <w:spacing w:line="240" w:lineRule="auto" w:after="80"/>
            <w:ind w:left="0" w:firstLine="0"/>
          </w:pPr>
          <w:r>
            <w:rPr>
              <w:rFonts w:ascii="Times New Roman" w:hAnsi="Times New Roman"/>
              <w:sz w:val="20"/>
            </w:rPr>
            <w:t>Şekil 3.1. Araştırmanın veri toplama, analiz ve birlikte değerlendirme akışı</w:t>
            <w:tab/>
          </w:r>
          <w:fldSimple w:instr="PAGEREF Ortak40_8022 \h">
            <w:r>
              <w:t>32</w:t>
            </w:r>
          </w:fldSimple>
        </w:p>
        <w:p>
          <w:pPr>
            <w:tabs>
              <w:tab w:pos="8957" w:val="right" w:leader="dot"/>
            </w:tabs>
            <w:spacing w:line="240" w:lineRule="auto" w:after="80"/>
            <w:ind w:left="0" w:firstLine="0"/>
          </w:pPr>
          <w:r>
            <w:rPr>
              <w:rFonts w:ascii="Times New Roman" w:hAnsi="Times New Roman"/>
              <w:sz w:val="20"/>
            </w:rPr>
            <w:t>Şekil 3.2 Proje tabanlı öğrenme uygulama sürecinin haftalara göre genel akışı</w:t>
            <w:tab/>
          </w:r>
          <w:fldSimple w:instr="PAGEREF Ortak40_8031 \h">
            <w:r>
              <w:t>39</w:t>
            </w:r>
          </w:fldSimple>
        </w:p>
        <w:p>
          <w:pPr>
            <w:tabs>
              <w:tab w:pos="8957" w:val="right" w:leader="dot"/>
            </w:tabs>
            <w:spacing w:line="240" w:lineRule="auto" w:after="80"/>
            <w:ind w:left="0" w:firstLine="0"/>
          </w:pPr>
          <w:r>
            <w:rPr>
              <w:rFonts w:ascii="Times New Roman" w:hAnsi="Times New Roman"/>
              <w:sz w:val="20"/>
            </w:rPr>
            <w:t>Şekil 4.1. PÇBÖ ve alt boyutlarının ön test–son test madde puan ortalamaları</w:t>
            <w:tab/>
          </w:r>
          <w:fldSimple w:instr="PAGEREF Ortak40_8041 \h">
            <w:r>
              <w:t>44</w:t>
            </w:r>
          </w:fldSimple>
        </w:p>
        <w:p>
          <w:pPr>
            <w:tabs>
              <w:tab w:pos="8957" w:val="right" w:leader="dot"/>
            </w:tabs>
            <w:spacing w:line="240" w:lineRule="auto" w:after="80"/>
            <w:ind w:left="0" w:firstLine="0"/>
          </w:pPr>
          <w:r>
            <w:rPr>
              <w:rFonts w:ascii="Times New Roman" w:hAnsi="Times New Roman"/>
              <w:sz w:val="20"/>
            </w:rPr>
            <w:t>Şekil 4.2. İBDÖ ve alt boyutlarının ön test–son test madde puan ortalamaları</w:t>
            <w:tab/>
          </w:r>
          <w:fldSimple w:instr="PAGEREF Ortak40_8048 \h">
            <w:r>
              <w:t>49</w:t>
            </w:r>
          </w:fldSimple>
        </w:p>
        <w:p>
          <w:pPr>
            <w:tabs>
              <w:tab w:pos="8957" w:val="right" w:leader="dot"/>
            </w:tabs>
            <w:spacing w:line="240" w:lineRule="auto" w:after="80"/>
            <w:ind w:left="0" w:firstLine="0"/>
          </w:pPr>
          <w:r>
            <w:rPr>
              <w:rFonts w:ascii="Times New Roman" w:hAnsi="Times New Roman"/>
              <w:sz w:val="20"/>
            </w:rPr>
            <w:t>Şekil 4.3. İBDÖ ve alt boyutlarında eşleşmiş ortalama farklar ve %95 güven aralıkları</w:t>
            <w:tab/>
          </w:r>
          <w:fldSimple w:instr="PAGEREF Ortak40_8051 \h">
            <w:r>
              <w:t>52</w:t>
            </w:r>
          </w:fldSimple>
        </w:p>
        <w:p>
          <w:pPr>
            <w:tabs>
              <w:tab w:pos="8957" w:val="right" w:leader="dot"/>
            </w:tabs>
            <w:spacing w:line="240" w:lineRule="auto" w:after="80"/>
            <w:ind w:left="0" w:firstLine="0"/>
          </w:pPr>
          <w:r>
            <w:rPr>
              <w:rFonts w:ascii="Times New Roman" w:hAnsi="Times New Roman"/>
              <w:sz w:val="20"/>
            </w:rPr>
            <w:t>Şekil 4.4. Nitel içerik analizinin tema–kategori–örnek kod yapısı</w:t>
            <w:tab/>
          </w:r>
          <w:fldSimple w:instr="PAGEREF Ortak40_8053 \h">
            <w:r>
              <w:t>54</w:t>
            </w:r>
          </w:fldSimple>
        </w:p>
        <w:p>
          <w:pPr>
            <w:tabs>
              <w:tab w:pos="8957" w:val="right" w:leader="dot"/>
            </w:tabs>
            <w:spacing w:line="240" w:lineRule="auto" w:after="80"/>
            <w:ind w:left="0" w:firstLine="0"/>
          </w:pPr>
          <w:r>
            <w:rPr>
              <w:rFonts w:ascii="Times New Roman" w:hAnsi="Times New Roman"/>
              <w:sz w:val="20"/>
            </w:rPr>
            <w:t>Şekil 4.5. Beceri katkısını açıkça adlandıran katılımcı sayıları</w:t>
            <w:tab/>
          </w:r>
          <w:fldSimple w:instr="PAGEREF Ortak40_8067 \h">
            <w:r>
              <w:t>64</w:t>
            </w:r>
          </w:fldSimple>
          <w:r>
            <w:rPr>
              <w:rFonts w:ascii="Times New Roman" w:hAnsi="Times New Roman"/>
              <w:sz w:val="20"/>
            </w:rPr>
            <w:fldChar w:fldCharType="end"/>
          </w:r>
        </w:p>
      </w:sdtContent>
    </w:sdt>
    <w:p w14:paraId="4969A9D5" w14:textId="4EF332EA" w:rsidR="00E031D5" w:rsidRDefault="00E031D5" w:rsidP="00E031D5">
      <w:pPr>
        <w:pageBreakBefore/>
        <w:widowControl/>
        <w:spacing w:line="360" w:lineRule="auto"/>
        <w:jc w:val="center"/>
        <w:rPr>
          <w:rFonts w:ascii="Times New Roman" w:hAnsi="Times New Roman" w:cs="Times New Roman"/>
          <w:b/>
          <w:sz w:val="24"/>
          <w:szCs w:val="24"/>
        </w:rPr>
      </w:pPr>
      <w:r w:rsidRPr="00E031D5">
        <w:rPr>
          <w:rFonts w:ascii="Times New Roman" w:hAnsi="Times New Roman" w:cs="Times New Roman"/>
          <w:b/>
          <w:sz w:val="24"/>
          <w:szCs w:val="24"/>
        </w:rPr>
        <w:t>KISALTMALAR VE SEMBOLLER LİSTESİ</w:t>
      </w:r>
    </w:p>
    <w:p w14:paraId="192723DC" w14:textId="1045236A" w:rsidR="00E031D5" w:rsidRPr="00E031D5" w:rsidRDefault="00E031D5" w:rsidP="00E031D5">
      <w:pPr>
        <w:widowControl/>
        <w:spacing w:line="360" w:lineRule="auto"/>
        <w:jc w:val="both"/>
        <w:rPr>
          <w:rFonts w:ascii="Times New Roman" w:hAnsi="Times New Roman" w:cs="Times New Roman"/>
          <w:bCs/>
          <w:sz w:val="24"/>
          <w:szCs w:val="24"/>
        </w:rPr>
      </w:pPr>
      <w:r>
        <w:rPr>
          <w:rFonts w:ascii="Times New Roman" w:hAnsi="Times New Roman"/>
          <w:sz w:val="24"/>
        </w:rPr>
        <w:t>İBDÖ: İletişim Becerileri Ölçeği (bu tezde kullanılan kısaltma)</w:t>
      </w:r>
    </w:p>
    <w:p w14:paraId="0D9778E1" w14:textId="476C5DB1"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MEB</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Millî Eğitim Bakanlığı</w:t>
      </w:r>
    </w:p>
    <w:p w14:paraId="67F43428" w14:textId="23533462"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PÇBÖ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Problem Çözme Becerileri Ölçeği</w:t>
      </w:r>
    </w:p>
    <w:p w14:paraId="1E81D46D" w14:textId="4A0D485A"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PTÖ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Proje Tabanlı Öğrenme</w:t>
      </w: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footerReference w:type="default" r:id="rId24"/>
          <w:pgSz w:w="11906" w:h="16838"/>
          <w:pgMar w:top="1417" w:right="1417" w:bottom="1276" w:left="1417" w:header="708" w:footer="420" w:gutter="0"/>
          <w:pgNumType w:fmt="upperRoman" w:start="1"/>
          <w:cols w:space="708"/>
          <w:docGrid w:linePitch="360"/>
        </w:sectPr>
      </w:pPr>
    </w:p>
    <w:p w14:paraId="5CBE2426" w14:textId="6F0A6E41" w:rsidR="001415B6" w:rsidRPr="009F40C1" w:rsidRDefault="001415B6" w:rsidP="009F40C1">
      <w:bookmarkStart w:id="8004" w:name="Ortak40_8004"/>
      <w:bookmarkStart w:id="5004" w:name="Birlesik_5004"/>
      <w:pPr>
        <w:pStyle w:val="Balk1"/>
        <w:keepNext/>
        <w:pageBreakBefore w:val="0"/>
        <w:widowControl/>
        <w:rPr>
          <w:bCs/>
        </w:rPr>
      </w:pPr>
      <w:bookmarkStart w:id="4" w:name="_Toc236354011"/>
      <w:r w:rsidRPr="009F40C1">
        <w:rPr>
          <w:bCs/>
        </w:rPr>
        <w:t>1. BÖLÜM: GİRİŞ</w:t>
      </w:r>
      <w:bookmarkEnd w:id="4"/>
      <w:bookmarkEnd w:id="5004"/>
      <w:bookmarkEnd w:id="8004"/>
    </w:p>
    <w:p w14:paraId="057DAC29"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bireylerin yalnızca bilgi edinmesini değil, aynı zamanda öğrendiklerini anlamlı hâle getirmesini, yaşamın farklı alanlarına aktarabilmesini ve çevresiyle etkili iletişim kurabilmesini amaçlayan dinamik bir süreçtir. Günümüzde bilgiye ulaşmanın kolaylaştığı, ancak bilgiyi doğru kullanmanın giderek önem kazandığı bir çağ söz konusudur. Bu durum, eğitim sistemlerinin yalnızca “ne öğretiliyor” sorusuna değil, “öğrenci bu bilgiyi nasıl kullanabiliyor” sorusuna da odaklanmasını zorunlu kılmaktadır.</w:t>
      </w:r>
    </w:p>
    <w:p w14:paraId="4142590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değişim, öğretmenlerin rollerini de dönüştürmektedir. Artık öğretmenler bilgiyi aktaran değil, öğrencilerin öğrenme süreçlerini yönlendiren, rehberlik eden, onları düşünmeye, tartışmaya ve üretmeye teşvik eden bireylerdir. Öğretmen adaylarının da bu yeni anlayışa uygun biçimde yetiştirilmesi, geleceğin sınıflarında öğrencileri hayata hazırlayacak becerilere sahip olmaları açısından büyük önem taşımaktadır.</w:t>
      </w:r>
    </w:p>
    <w:p w14:paraId="295DCA2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dönüşüm doğrultusunda, öğretmen yetiştirme programlarında, adayların hem bireysel hem de mesleki gelişimlerini destekleyecek yöntem ve uygulamalara yer verilmesi gerekmektedir. Özellikle fen bilgisi eğitimi gibi uygulamaya dayalı bir alanda, öğretmen adaylarının yalnızca bilimsel bilgiyi öğrenmeleri değil, bu bilgiyi günlük yaşamla ilişkilendirerek anlamlı bir şekilde kullanabilmeleri beklenmektedir. Bu noktada, öğrencilere araştırma yapma, tartışma, karar verme, çözüm üretme ve düşüncelerini ifade etme fırsatı sunan öğrenme ortamlarının önemi artmaktadır.</w:t>
      </w:r>
    </w:p>
    <w:p w14:paraId="0E2193B0"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yaşanan dönüşüm, öğrenmenin sadece bireysel bir süreç olmadığını, aynı zamanda sosyal bir etkileşim alanı olduğunu göstermektedir. Öğrencilerin birlikte düşünmeyi, fikir alışverişinde bulunmayı ve ortak bir amaç doğrultusunda hareket etmeyi öğrenmeleri, çağdaş eğitimin temel hedeflerinden biridir. Bu anlayış, öğretmen adaylarının da iletişim kurma, iş birliği yapma ve karşılaştıkları sorunlara çözüm geliştirme becerilerini geliştirmelerini gerekli kılmaktadır.</w:t>
      </w:r>
    </w:p>
    <w:p w14:paraId="392B860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adaylarının, gelecekte öğrencilerine rehberlik ederken kullanacakları bu becerileri deneyimlemeleri, onların mesleki kimliklerinin oluşumunda belirleyici bir rol oynamaktadır. Gerçek yaşamla bağlantılı öğrenme deneyimleri, öğretmen adaylarının yalnızca akademik bilgilerini değil, aynı zamanda sosyal sorumluluk bilincini ve problem çözme yaklaşımlarını da geliştirmektedir.</w:t>
      </w:r>
    </w:p>
    <w:p w14:paraId="55C1922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eğitim ortamlarının öğrencilere yalnızca bilgi kazandırmakla kalmayıp, aynı zamanda onları yaşamın karmaşık durumlarına hazırlaması hedeflenmektedir. Öğretmen adaylarının öğrenme sürecinde aktif rol aldığı, fikirlerini ifade ettiği ve farklı bakış açılarını tartıştığı uygulamalar, onların hem bireysel farkındalıklarını hem de toplumsal duyarlılıklarını artırmaktadır.</w:t>
      </w:r>
    </w:p>
    <w:p w14:paraId="7E10092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çıkış noktası da söz konusu eğitim anlayışına dayanmaktadır. Eğitimde bilgiyi aktarmaktan öteye geçerek, bireyleri düşünen, üreten ve çevresiyle etkili iletişim kurabilen bireyler hâline getiren yaklaşımların öğretmen eğitiminde nasıl bir fark yarattığını anlamak önemli bir gerekliliktir. Fen bilgisi öğretmen adaylarının, geleceğin öğrenme ortamlarını şekillendirecek kişiler olarak hem problem çözme hem de iletişim becerilerini geliştirmeye yönelik deneyimler yaşamaları bu açıdan büyük bir anlam taşımaktadır.</w:t>
      </w:r>
    </w:p>
    <w:p w14:paraId="483BFF19"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çalışma, eğitimde değişen paradigmanın öğretmen yetiştirme sürecine nasıl yansıdığını anlamaya yönelik bir adım niteliğindedir. Öğrenmenin merkezinde öğrenciyi, öğretim sürecinde etkileşimi ve üretimi temel alan çağdaş yaklaşımlar, geleceğin eğitim anlayışını belirlemektedir. Bu kapsamda, öğretmen adaylarının bu anlayış doğrultusunda geliştirdikleri becerilerin incelenmesi hem bireysel gelişimleri hem de eğitim sisteminin genel yönelimi açısından önemli bir bakış açısı sunmaktadır.</w:t>
      </w:r>
    </w:p>
    <w:p w14:paraId="40B64B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ve iletişim, aynı doğal afet temalı proje süreci içinde birlikte ele alınmıştır. Ölçek puanlarındaki değişim ile öğretmen adaylarının deneyimleri ayrı veri kaynaklarıyla incelenmiştir. Böylece dersin yalnızca ortaya çıkan ürün açısından değil, adayların çözüm üretme ve birlikte çalışma deneyimleri açısından da değerlendirilmesi amaçlanmıştır.</w:t>
      </w:r>
    </w:p>
    <w:p w14:paraId="2C7B83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Çalışmanın ayırt edici odağı, doğal afetler temasında yürütülen uygulamanın problem çözme ve iletişimle ilişkili sonuçlarını aynı araştırma bağlamında değerlendirmektir. Bu odak, benzer bir araştırmanın alan yazında hiç bulunmadığı veya yöntemin bütün becerileri geliştireceği iddiasına dayandırılmamıştır.</w:t>
      </w:r>
    </w:p>
    <w:p w14:paraId="63B25415" w14:textId="7A1284E3" w:rsidR="000501FF" w:rsidRPr="005510FA"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İzleyen bölümlerde araştırmanın problemi, amaçları ve kapsamı açıklanmış; problem çözme, iletişim, proje tabanlı öğrenme ve afet eğitimi bağlamı ele alınmıştır. Çalışma, 21. yüzyıl becerilerinin tamamını ölçen veya bir öğretim modelinin bütün boyutlarını sınayan bir araştırma olarak yapılandırılmamıştır.</w:t>
      </w:r>
    </w:p>
    <w:p w14:paraId="1A11F163" w14:textId="519F349D" w:rsidR="001415B6" w:rsidRPr="009F40C1" w:rsidRDefault="001415B6" w:rsidP="009F40C1">
      <w:bookmarkStart w:id="8005" w:name="Ortak40_8005"/>
      <w:bookmarkStart w:id="5005" w:name="Birlesik_5005"/>
      <w:pPr>
        <w:pStyle w:val="Balk2"/>
        <w:keepNext/>
        <w:widowControl/>
        <w:rPr>
          <w:bCs/>
        </w:rPr>
      </w:pPr>
      <w:bookmarkStart w:id="5" w:name="_Toc236354012"/>
      <w:r w:rsidRPr="009F40C1">
        <w:rPr>
          <w:bCs/>
        </w:rPr>
        <w:t>1.1 Problem Durumu</w:t>
      </w:r>
      <w:bookmarkEnd w:id="5"/>
      <w:bookmarkEnd w:id="5005"/>
      <w:bookmarkEnd w:id="8005"/>
    </w:p>
    <w:p w14:paraId="3D662B1F"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adaylarının hem akademik hem de bireysel gelişimlerini desteklemek için gerekli olan beceriler arasında problem çözme ve iletişim becerileri ön plana çıkmaktadır. 21. yüzyıl eğitim anlayışında, bireylerin yalnızca bilgiye sahip olmaları değil, aynı zamanda bu bilgiyi farklı durumlara uyarlayarak karşılaştıkları problemlere etkili çözümler üretebilmeleri beklenmektedir. Bu doğrultuda, fen bilgisi öğretmen adaylarının problem çözme ve iletişim becerilerinin gerçek yaşamla bağlantılı ve uygulama temelli öğrenme süreçleri içerisinde birlikte geliştirilmesi önemli bir gereklilik olarak görülmektedir. Bu becerilerin geliştirilmesi, öğretmen adaylarının hem mesleki yeterlikleri hem de yetiştirecekleri öğrencilerin nitelikli bireyler olarak yetişmesi açısından kritik bir rol oynamaktadır.</w:t>
      </w:r>
    </w:p>
    <w:p w14:paraId="13911B08"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öğretmen adaylarının proje için bir problem belirlemeleri, bilgi araştırmaları, çözüm seçeneklerini değerlendirmeleri ve uygulama sırasında karşılaştıkları güçlükleri ele almaları bağlamında incelenmiştir. Nicel ölçümler adayların kendilerine ilişkin değerlendirmelerini yansıtmaktadır; ortaya konan çözümün gerçek yaşam koşullarındaki başarısını doğrudan ölçmemektedir.</w:t>
      </w:r>
    </w:p>
    <w:p w14:paraId="40C6C26B"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boyutunda temel alınan ölçek; iletişim ilkeleri ve temel beceriler, kendini ifade etme, etkin dinleme ve sözel olmayan iletişim ile iletişim kurmaya istekliliği kapsamaktadır (Korkut Owen ve Bugay, 2014). Bu araştırmada grup içindeki görüş paylaşımı ve ortak karar deneyimleri de görüşmelerle ele alınmış; bu deneyimlerin olumlu bulunması ile ölçek puanında değişim görülmesi birbirinden ayrılmıştır.</w:t>
      </w:r>
    </w:p>
    <w:p w14:paraId="241D6BC6"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proje tabanlı öğrenme, öğretmen adaylarının doğal afetlerle ilgili bir problem belirledikleri, bilgi araştırdıkları, çözüm ve materyal geliştirdikleri bir ders süreci olarak ele alınmıştır. Problem çözme ve iletişimin birlikte incelenmesinin gerekçesi, uygulama boyunca hem çözüm kararlarının hem grup etkileşimlerinin bulunmasıdır. Bu gerekçe, araştırma sonucunda her iki beceride de anlamlı gelişim elde edileceği varsayımına dönüştürülmemiştir.</w:t>
      </w:r>
    </w:p>
    <w:p w14:paraId="17BC49CC"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Gelişen eğitim anlayışları doğrultusunda Türkiye Yüzyılı Maarif Modeli (Millî Eğitim Bakanlığı [MEB], 2024), öğrenci merkezli, bütüncül, beceri temelli ve gerçek yaşam problemleriyle ilişkilendirilmiş öğretim anlayışını benimsemektedir. Model, öğrencilerin problem çözme, eleştirel düşünme, iletişim, iş birliği ve sorumluluk alma gibi 21. yüzyıl becerilerini geliştirmelerini hedeflemektedir (MEB, 2024). Bu özellikleri bakımından Türkiye Yüzyılı Maarif Modeli, öğrencilerin aktif katılımını esas alan çağdaş öğretim yaklaşımlarıyla benzerlik göstermektedir. Bu araştırmada proje tabanlı öğrenme (PTÖ) süreci de gerçek yaşam problemlerini merkeze alması, öğrencileri öğrenme sürecine aktif olarak dâhil etmesi ve iş birliğine dayalı öğrenme ortamları oluşturması bakımından bu anlayışla benzer özellikler taşımaktadır.</w:t>
      </w:r>
    </w:p>
    <w:p w14:paraId="2D67D9C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teması olan doğal afetler, Türkiye Yüzyılı Maarif Modeli'nde yer verilen afet bilinci, sürdürülebilir yaşam ve bilimsel süreç becerileri gibi kazanımlarla ilişkilendirilebilecek niteliktedir (MEB, 2024). Bu bağlam, öğretmen adaylarının disiplinler arası bağlantılar kurmalarına, gerçek yaşam problemlerini analiz etmelerine ve çözüm üretme süreçlerine aktif olarak katılmalarına uygun bir öğrenme ortamı sunmaktadır.</w:t>
      </w:r>
    </w:p>
    <w:p w14:paraId="041B33E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yönüyle PTÖ, Türkiye Yüzyılı Maarif Modeli'nde benimsenen öğrenci merkezli ve beceri temelli öğrenme anlayışıyla ortak özellikler göstermektedir. Bununla birlikte bu benzerlik, modelin PTÖ'yü doğrudan temel aldığı anlamına gelmemekte; iki yaklaşımın öğrencilerin aktif katılımını, gerçek yaşam problemlerini ve beceri gelişimini önceleyen ortak bir eğitim anlayışını paylaşmalarından kaynaklanmaktadır (MEB, 2024).</w:t>
      </w:r>
    </w:p>
    <w:p w14:paraId="22A35274"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Uygulamada öğretmen adayları, doğal afetlerle ilişkili bir problem üzerinde grup olarak çalışmış, çözüm ve materyal geliştirmiştir. Bu süreç, hem çözüm kararlarının hem grup etkileşimlerinin incelenebildiği bir araştırma bağlamı oluşturmuştur. Burada araştırma konusu yapılan, bu olanakların beceri gelişimiyle ne ölçüde birlikte görüldüğüdür; katkı, araştırma yapılmadan önce kesin bir sonuç olarak kabul edilmemiştir.</w:t>
      </w:r>
    </w:p>
    <w:p w14:paraId="63DDD510"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doğal afetler, öğretmen adaylarının bir problem belirleyip bilgi araştırabilecekleri ve çözüm tasarlayabilecekleri bir tema olarak seçilmiştir. Konunun ders içinde ele alınması, araştırma, uygulanabilirlik ve ortak karar süreçlerini aynı çalışma bağlamında inceleme olanağı sağlamıştır.</w:t>
      </w:r>
    </w:p>
    <w:p w14:paraId="7FA8961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Araştırma, öğretmen adaylarının öz değerlendirme puanları ile kendi deneyimlerine ilişkin açıklamalarını birlikte incelemektedir. Bu iki veri kaynağının aynı yönde veya farklı sonuçlar vermesi araştırmanın değerlendirme alanına dâhildir. Nitel veriler, nicel sonuçları zorunlu olarak doğrulayan bir araç olarak kullanılmamıştır.</w:t>
      </w:r>
    </w:p>
    <w:p w14:paraId="0194232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mevcut araştırma, proje tabanlı öğrenmenin doğal afetler gibi gerçek yaşam temelli bir bağlamda nasıl yapılandırılabileceğini ortaya koyarak alanyazına özgün bir katkı sunmayı hedeflemektedir. Ayrıca çalışma, söz konusu yaklaşımın yalnızca kuramsal düzeyde değil, uygulama süreçleri içerisinde nasıl işlevsel hâle getirilebileceğini göstermesi bakımından önem taşımaktadır.</w:t>
      </w:r>
    </w:p>
    <w:p w14:paraId="2B15DE7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proje tabanlı öğrenme temelli ve gerçek yaşamla bağlantılı öğretim süreçlerinin, fen bilgisi öğretmen adaylarının problem çözme ve iletişim becerilerinin gelişimini destekleyebileceği düşünülmektedir. Bu süreçlerin, öğretmen adaylarının akademik bilgilerini uygulamaya dönüştürmelerine, yaratıcı çözüm önerileri geliştirmelerine ve bu önerileri etkili biçimde ifade etmelerine katkı sağlaması beklenmektedir.</w:t>
      </w:r>
    </w:p>
    <w:p w14:paraId="0105789F" w14:textId="77777777" w:rsidR="001415B6" w:rsidRPr="000501FF" w:rsidRDefault="001415B6" w:rsidP="00E0281C">
      <w:pPr>
        <w:widowControl/>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Araştırma Problemi</w:t>
      </w:r>
    </w:p>
    <w:p w14:paraId="49F1198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temel problemi aşağıdaki şekilde ifade edilmektedir:</w:t>
      </w:r>
    </w:p>
    <w:p w14:paraId="416C52B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Doğal afetler teması kapsamında yürütülen proje tabanlı öğrenme sürecinde fen bilgisi öğretmen adaylarının problem çözme ve iletişime ilişkin öz değerlendirmeleri nasıl değişmektedir ve öğretmen adayları bu süreci nasıl deneyimlemektedir?</w:t>
      </w:r>
    </w:p>
    <w:p w14:paraId="73AE83A2" w14:textId="77777777" w:rsidR="001415B6" w:rsidRPr="000501FF" w:rsidRDefault="001415B6" w:rsidP="00E0281C">
      <w:pPr>
        <w:widowControl/>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Alt Problemler</w:t>
      </w:r>
    </w:p>
    <w:p w14:paraId="08FCC46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temel problem doğrultusunda aşağıdaki alt problemlere yanıt aranmıştır:</w:t>
      </w:r>
    </w:p>
    <w:p w14:paraId="64087D0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1.</w:t>
        <w:tab/>
        <w:t>Doğal afetler teması kapsamında yürütülen proje tabanlı öğrenme sürecinde öğretmen adaylarının problem çözme ölçeği ön test ve son test puanları arasında anlamlı bir farklılık var mıdır?</w:t>
      </w:r>
    </w:p>
    <w:p w14:paraId="34B2A52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2.</w:t>
        <w:tab/>
        <w:t>Doğal afetler teması kapsamında yürütülen proje tabanlı öğrenme sürecinde öğretmen adaylarının iletişim ölçeği ön test ve son test puanları arasında anlamlı bir farklılık var mıdır?</w:t>
      </w:r>
    </w:p>
    <w:p w14:paraId="4475C66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Fen bilgisi öğretmen adaylarının proje tabanlı öğrenme yaklaşımına dayalı öğretim sürecinde problem çözme becerilerinin gelişimine ilişkin görüşleri nelerdir?</w:t>
      </w:r>
    </w:p>
    <w:p w14:paraId="7549D22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Fen bilgisi öğretmen adaylarının proje tabanlı öğrenme yaklaşımına dayalı öğretim sürecinde iletişim becerilerinin gelişimine ilişkin görüşleri nelerdir?</w:t>
      </w:r>
    </w:p>
    <w:p w14:paraId="0C1F718F" w14:textId="3380ED0E" w:rsidR="000501FF" w:rsidRPr="005510FA"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5.</w:t>
      </w:r>
      <w:r w:rsidRPr="001415B6">
        <w:rPr>
          <w:rFonts w:ascii="Times New Roman" w:hAnsi="Times New Roman" w:cs="Times New Roman"/>
          <w:bCs/>
          <w:sz w:val="24"/>
          <w:szCs w:val="24"/>
        </w:rPr>
        <w:tab/>
        <w:t>Fen bilgisi öğretmen adaylarının doğal afetler teması çerçevesinde yürütülen proje tabanlı öğrenme sürecine ilişkin görüş ve önerileri nelerdir?</w:t>
      </w:r>
    </w:p>
    <w:p w14:paraId="185B52E1" w14:textId="709B2D22" w:rsidR="001415B6" w:rsidRPr="000501FF" w:rsidRDefault="001415B6" w:rsidP="009F40C1">
      <w:bookmarkStart w:id="8006" w:name="Ortak40_8006"/>
      <w:bookmarkStart w:id="5006" w:name="Birlesik_5006"/>
      <w:pPr>
        <w:pStyle w:val="Balk2"/>
        <w:keepNext/>
        <w:widowControl/>
      </w:pPr>
      <w:bookmarkStart w:id="6" w:name="_Toc236354013"/>
      <w:r w:rsidRPr="000501FF">
        <w:t>1.2 Amaç</w:t>
      </w:r>
      <w:bookmarkEnd w:id="6"/>
      <w:bookmarkEnd w:id="5006"/>
      <w:bookmarkEnd w:id="8006"/>
    </w:p>
    <w:p w14:paraId="02875330" w14:textId="77777777" w:rsidR="001415B6" w:rsidRPr="001415B6" w:rsidRDefault="001415B6" w:rsidP="009F40C1">
      <w:pPr>
        <w:widowControl/>
        <w:spacing w:line="360" w:lineRule="auto"/>
        <w:jc w:val="both"/>
        <w:rPr>
          <w:rFonts w:ascii="Times New Roman" w:hAnsi="Times New Roman" w:cs="Times New Roman"/>
          <w:bCs/>
          <w:sz w:val="24"/>
          <w:szCs w:val="24"/>
        </w:rPr>
      </w:pPr>
      <w:r>
        <w:rPr>
          <w:rFonts w:ascii="Times New Roman" w:hAnsi="Times New Roman"/>
          <w:sz w:val="24"/>
        </w:rPr>
        <w:t>Bu araştırmanın amacı, doğal afetler temalı proje tabanlı öğrenme sürecinde fen bilgisi öğretmen adaylarının problem çözme ve iletişim ölçeği puanlarındaki değişimi ve uygulamaya ilişkin deneyimlerini incelemektir. Nicel değişim, eşleşen ön test–son test ölçümleriyle; uygulama deneyimleri ise çalışma sonrasındaki görüşmelerle ele alınmıştır. Araştırma, kontrol grubu bulunmayan yapısı nedeniyle değişimin yalnızca uygulamadan kaynaklandığını belirlemeyi amaçlayan bir nedensellik sınaması olarak yorumlanmamıştır.</w:t>
      </w:r>
    </w:p>
    <w:p w14:paraId="1C8F1CED" w14:textId="77777777" w:rsidR="001415B6" w:rsidRPr="000501FF" w:rsidRDefault="001415B6" w:rsidP="009F40C1">
      <w:bookmarkStart w:id="8007" w:name="Ortak40_8007"/>
      <w:bookmarkStart w:id="5007" w:name="Birlesik_5007"/>
      <w:pPr>
        <w:pStyle w:val="Balk2"/>
        <w:keepNext/>
        <w:widowControl/>
      </w:pPr>
      <w:bookmarkStart w:id="7" w:name="_Toc236354014"/>
      <w:r w:rsidRPr="000501FF">
        <w:t>1.3 Araştırmanın Önemi</w:t>
      </w:r>
      <w:bookmarkEnd w:id="7"/>
      <w:bookmarkEnd w:id="5007"/>
      <w:bookmarkEnd w:id="8007"/>
    </w:p>
    <w:p w14:paraId="39556453" w14:textId="77777777" w:rsidR="001415B6" w:rsidRPr="001415B6" w:rsidRDefault="001415B6" w:rsidP="009F40C1">
      <w:pPr>
        <w:widowControl/>
        <w:spacing w:line="360" w:lineRule="auto"/>
        <w:jc w:val="both"/>
        <w:rPr>
          <w:rFonts w:ascii="Times New Roman" w:hAnsi="Times New Roman" w:cs="Times New Roman"/>
          <w:bCs/>
          <w:sz w:val="24"/>
          <w:szCs w:val="24"/>
        </w:rPr>
      </w:pPr>
      <w:r>
        <w:rPr>
          <w:rFonts w:ascii="Times New Roman" w:hAnsi="Times New Roman"/>
          <w:sz w:val="24"/>
        </w:rPr>
        <w:t>Araştırmanın önemi, doğal afetler temalı bir ders uygulamasını çözüm üretme ve grup etkileşimi bakımından birlikte değerlendirmesinde bulunmaktadır. Öğretmen adaylarının bir problem seçmesi, araştırma yapması, bir çözüm geliştirmesi ve grup içinde karar vermesi aynı süreçte incelenmiştir. Bu kapsam, uygulamanın güçlü yönleri kadar sınırlılıklarını ve destek gereksinimlerini de görünür kılmaya yöneliktir.</w:t>
      </w:r>
    </w:p>
    <w:p w14:paraId="1BF6A5C9"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Doğal afetler bu çalışmada öğrenme etkinliklerinin temasıdır. Afet bilgisi, afet farkındalığı veya gerçek bir afet anındaki davranış yeterliği ayrı araçlarla ölçülmemiştir. Bu nedenle araştırmanın önemi, ölçülmeyen bu özelliklerde gelişim kanıtladığı iddiasına değil, belirli bir öğretim bağlamına ilişkin nicel ve nitel bulgular üretmesine dayanmaktadır.</w:t>
      </w:r>
    </w:p>
    <w:p w14:paraId="6042DD7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süreci, öğretmen adaylarının yalnızca bireysel olarak değil, grup içerisinde etkileşim kurarak öğrenmelerini de desteklemektedir. Bu süreçte adaylar, fikirlerini ifade etme, tartışma, ortak karar alma ve iş birliği içinde çalışma gibi iletişimsel becerileri doğal bir öğrenme ortamında deneyimlemektedir. Bu durum, problem çözme ve iletişim becerilerinin eş zamanlı olarak gelişmesine katkı sağlamaktadır.</w:t>
      </w:r>
    </w:p>
    <w:p w14:paraId="003823F0"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İletişimi birden fazla boyutta ele alan ölçme aracı ile grup etkileşimine ilişkin görüşmelerin birlikte kullanılması, farklı veri kaynaklarının kapsamını karşılaştırma olanağı sağlamaktadır. İletişim ölçeğinin dört faktörlü yapısı, katkının yalnızca rahat konuşma veya grup çalışmasını yararlı bulma üzerinden değerlendirilmemesi gerektiğini dikkate almayı gerektirir (Korkut Owen ve Bugay, 2014).</w:t>
      </w:r>
    </w:p>
    <w:p w14:paraId="6E53FB71"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açısından araştırma, öz değerlendirmelerdeki değişimin yanında katılımcıların problem seçerken ve çözüm geliştirirken hangi güçlükleri anlattıklarını incelemektedir. Nicel puan ile süreç anlatısı farklı sorulara yanıt verdiğinden, biri diğerinin yerine kullanılmamıştır. Böylece algılanan yeterlikteki değişim ile çözüm üretme deneyimlerinin ayrıntıları birlikte değerlendirilebilmektedir.</w:t>
      </w:r>
    </w:p>
    <w:p w14:paraId="0B711E37" w14:textId="77777777" w:rsid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Uygulama açısından çalışma; başlangıç rehberliği, grup içi iletişim, malzeme ve zaman kullanımı gibi düzenlemelere ilişkin öneriler geliştirmek için bir dayanak sunmaktadır. Bu önerilerin başka sınıflarda yararlı olup olmayacağı yeni uygulamalarla değerlendirilmelidir. Sonuçların bütün öğretmen yetiştirme programlarına veya bütün doğal afet konularına doğrudan genellenmesi amaçlanmamıştır.</w:t>
      </w:r>
    </w:p>
    <w:p w14:paraId="2E63DF63" w14:textId="77777777" w:rsidR="001415B6" w:rsidRPr="00EE3619" w:rsidRDefault="001415B6" w:rsidP="00EE3619">
      <w:bookmarkStart w:id="8008" w:name="Ortak40_8008"/>
      <w:bookmarkStart w:id="5008" w:name="Birlesik_5008"/>
      <w:pPr>
        <w:pStyle w:val="Balk2"/>
        <w:keepNext/>
        <w:widowControl/>
      </w:pPr>
      <w:bookmarkStart w:id="8" w:name="_Toc236354015"/>
      <w:r w:rsidRPr="00EE3619">
        <w:t>1.4 Araştırmanın Sınırlılıkları</w:t>
      </w:r>
      <w:bookmarkEnd w:id="8"/>
      <w:bookmarkEnd w:id="5008"/>
      <w:bookmarkEnd w:id="8008"/>
    </w:p>
    <w:p w14:paraId="487DA624"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aşağıdaki sınırlılıklar çerçevesinde yürütülmüştür:</w:t>
      </w:r>
    </w:p>
    <w:p w14:paraId="175B905E" w14:textId="782FC594"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yalnızca bir üniversitede öğrenim gören fen bilgisi öğretmen adayları ile sınırlıdır.</w:t>
      </w:r>
    </w:p>
    <w:p w14:paraId="25CA1C4A" w14:textId="77777777" w:rsidR="00760A84"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Problem Çözme Becerileri Ölçeği, İletişim Becerileri Ölçeği ve ses kaydı alınarak gerçekleştirilen birebir görüşmelerden elde edilen verilerle sınırlıdır.</w:t>
      </w:r>
    </w:p>
    <w:p w14:paraId="1275FD85" w14:textId="367BE550"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bookmarkStart w:id="8009" w:name="Ortak40_8009"/>
      <w:bookmarkStart w:id="5009" w:name="Birlesik_5009"/>
      <w:pPr>
        <w:pStyle w:val="Balk2"/>
        <w:keepNext/>
        <w:widowControl/>
      </w:pPr>
      <w:bookmarkStart w:id="9" w:name="_Toc236354016"/>
      <w:r w:rsidRPr="000501FF">
        <w:t>1.5 Araştırmanın Varsayımları</w:t>
      </w:r>
      <w:bookmarkEnd w:id="9"/>
      <w:bookmarkEnd w:id="5009"/>
      <w:bookmarkEnd w:id="8009"/>
    </w:p>
    <w:p w14:paraId="2DB4044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yürütülmesi için aşağıdaki varsayımlar kabul edilmiştir:</w:t>
      </w:r>
    </w:p>
    <w:p w14:paraId="6E14424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bookmarkStart w:id="8010" w:name="Ortak40_8010"/>
      <w:bookmarkStart w:id="5010" w:name="Birlesik_5010"/>
      <w:pPr>
        <w:pStyle w:val="Balk2"/>
        <w:keepNext/>
        <w:widowControl/>
      </w:pPr>
      <w:bookmarkStart w:id="10" w:name="_Toc236354017"/>
      <w:r w:rsidRPr="00760A84">
        <w:t>1.6 Araştırma Tanımları ve Kısaltmalar</w:t>
      </w:r>
      <w:bookmarkEnd w:id="10"/>
      <w:bookmarkEnd w:id="5010"/>
      <w:bookmarkEnd w:id="8010"/>
    </w:p>
    <w:p w14:paraId="462BAF6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Öğrencilerin belirli bir problem ya da konu etrafında araştırma yaparak bilgi üretmelerini ve bu süreç sonunda somut bir ürün ortaya koymalarını sağlayan öğrenci merkezli bir öğrenme yaklaşımıdır. Bu yaklaşım, öğrencilerin öğrenme sürecine aktif katılım göstermelerini, sorumluluk almalarını ve bilgiyi gerçek yaşam bağlamlarında kullanabilmelerini desteklemektedir.</w:t>
      </w:r>
    </w:p>
    <w:p w14:paraId="7F034D55"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Bu araştırmada problem belirleme, bilgi araştırma, çözüm seçeneklerini değerlendirme ve tasarım güçlükleriyle başa çıkma deneyimleri bağlamında ele alınmıştır. Nicel sonuçlar, kullanılan ölçeğin puanlama düzeni çerçevesinde algılanan problem çözme yeterliğini göstermektedir.</w:t>
      </w:r>
    </w:p>
    <w:p w14:paraId="3CBABCE6"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Araştırmada iletişim ilkeleri ve temel beceriler, kendini ifade etme, etkin dinleme ve sözel olmayan iletişim ile iletişim kurmaya isteklilik boyutları üzerinden ele alınmıştır (Korkut Owen ve Bugay, 2014).</w:t>
      </w:r>
    </w:p>
    <w:p w14:paraId="62EDA9A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Becerileri: Bireylerin günümüz toplumunda başarılı olabilmeleri için sahip olmaları gereken eleştirel düşünme, iletişim, iş birliği ve yaratıcılık gibi üst düzey beceriler bütünüdür. Bu beceriler, bireylerin değişen dünya koşullarına uyum sağlamalarını ve karşılaştıkları sorunlara etkili çözümler geliştirebilmelerini desteklemektedir.</w:t>
      </w:r>
    </w:p>
    <w:p w14:paraId="5293682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Okuryazarlığı: Bireylerin bilimsel bilgi ve süreçleri anlayarak günlük yaşamda karşılaştıkları durumları bilimsel bakış açısıyla değerlendirebilme ve bu doğrultuda karar verebilme yeterliğidir.</w:t>
      </w:r>
    </w:p>
    <w:p w14:paraId="7C0F883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Gerçek Yaşam Temelli Öğrenme: Öğrencilerin günlük yaşamda karşılaşabilecekleri gerçek problemler üzerinden bilgi ve beceri geliştirmelerini esas alan öğrenme yaklaşımıdır. Bu yaklaşım, öğrenmenin daha anlamlı ve kalıcı hâle gelmesini desteklemektedir.</w:t>
      </w:r>
    </w:p>
    <w:p w14:paraId="7415B43D"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Becerileri Ölçeği (PÇBÖ): Bu araştırmada problem çözmeye ilişkin öz değerlendirmeleri toplamak için kullanılan araçtır. Mevcut analizde düşük ortalama puan daha olumlu problem çözme algısı olarak yorumlanmıştır. Kullanılan aracın kaynakları ve analizdeki alt boyutları yöntem bölümünde açıklanmıştır.</w:t>
      </w:r>
    </w:p>
    <w:p w14:paraId="7FB0704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Ölçeği (tezde İBDÖ): Korkut Owen ve Bugay (2014) tarafından üniversite öğrencileri için geliştirilen 25 maddeli, dört faktörlü ölçektir. Bu araştırmada yüksek puanlar daha olumlu iletişim öz değerlendirmesini göstermektedir.</w:t>
      </w:r>
    </w:p>
    <w:p w14:paraId="2ED1731F" w14:textId="77777777" w:rsidR="001415B6" w:rsidRPr="001415B6" w:rsidRDefault="001415B6" w:rsidP="00E0281C">
      <w:pPr>
        <w:spacing w:line="360" w:lineRule="auto"/>
        <w:jc w:val="both"/>
        <w:rPr>
          <w:rFonts w:ascii="Times New Roman" w:hAnsi="Times New Roman" w:cs="Times New Roman"/>
          <w:bCs/>
          <w:sz w:val="24"/>
          <w:szCs w:val="24"/>
        </w:rPr>
      </w:pPr>
    </w:p>
    <w:p w14:paraId="343A3FC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spacing w:line="360" w:lineRule="auto"/>
        <w:jc w:val="both"/>
        <w:rPr>
          <w:rFonts w:ascii="Times New Roman" w:hAnsi="Times New Roman" w:cs="Times New Roman"/>
          <w:b/>
          <w:sz w:val="24"/>
          <w:szCs w:val="24"/>
        </w:rPr>
      </w:pPr>
    </w:p>
    <w:p w14:paraId="39AEAFFB" w14:textId="19107738" w:rsidR="001415B6" w:rsidRPr="00760A84" w:rsidRDefault="001415B6" w:rsidP="00E0281C">
      <w:pPr>
        <w:widowControl/>
        <w:spacing w:line="360" w:lineRule="auto"/>
        <w:jc w:val="both"/>
        <w:rPr>
          <w:rFonts w:ascii="Times New Roman" w:hAnsi="Times New Roman" w:cs="Times New Roman"/>
          <w:b/>
          <w:sz w:val="24"/>
          <w:szCs w:val="24"/>
        </w:rPr>
      </w:pPr>
      <w:r w:rsidRPr="00760A84">
        <w:rPr>
          <w:rFonts w:ascii="Times New Roman" w:hAnsi="Times New Roman" w:cs="Times New Roman"/>
          <w:b/>
          <w:sz w:val="24"/>
          <w:szCs w:val="24"/>
        </w:rPr>
        <w:t>Araştırmada Kullanılan Kısaltmalar</w:t>
      </w:r>
      <w:r w:rsidR="00760A84">
        <w:rPr>
          <w:rFonts w:ascii="Times New Roman" w:hAnsi="Times New Roman" w:cs="Times New Roman"/>
          <w:b/>
          <w:sz w:val="24"/>
          <w:szCs w:val="24"/>
        </w:rPr>
        <w:t>:</w:t>
      </w:r>
    </w:p>
    <w:p w14:paraId="7DA20A7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 Proje Tabanlı Öğrenme</w:t>
      </w:r>
    </w:p>
    <w:p w14:paraId="4C78991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 Problem Çözme Becerileri</w:t>
      </w:r>
    </w:p>
    <w:p w14:paraId="499554E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Problem Çözme Becerileri Ölçeği</w:t>
      </w:r>
    </w:p>
    <w:p w14:paraId="0F61B33F" w14:textId="3307E874" w:rsidR="00760A84"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İletişim Becerileri Ölçeği</w:t>
      </w:r>
    </w:p>
    <w:p w14:paraId="5F2BF3CF" w14:textId="3385627A" w:rsidR="001415B6" w:rsidRPr="00760A84" w:rsidRDefault="001415B6" w:rsidP="00EE3619">
      <w:bookmarkStart w:id="8011" w:name="Ortak40_8011"/>
      <w:bookmarkStart w:id="5011" w:name="Birlesik_5011"/>
      <w:pPr>
        <w:pStyle w:val="Balk1"/>
        <w:keepNext/>
        <w:pageBreakBefore/>
        <w:widowControl/>
      </w:pPr>
      <w:bookmarkStart w:id="11" w:name="_Toc236354018"/>
      <w:r w:rsidRPr="00760A84">
        <w:t>2.</w:t>
      </w:r>
      <w:r w:rsidR="005510FA">
        <w:t xml:space="preserve"> BÖLÜM:</w:t>
      </w:r>
      <w:r w:rsidRPr="00760A84">
        <w:t xml:space="preserve"> </w:t>
      </w:r>
      <w:r w:rsidR="00760A84" w:rsidRPr="00760A84">
        <w:t>KAVRAMSAL ÇERÇEVE VE İLGİLİ ARAŞTIRMALAR</w:t>
      </w:r>
      <w:bookmarkEnd w:id="11"/>
      <w:bookmarkEnd w:id="5011"/>
      <w:bookmarkEnd w:id="8011"/>
    </w:p>
    <w:p w14:paraId="772D1E7A" w14:textId="77777777" w:rsidR="00760A84" w:rsidRDefault="00760A84" w:rsidP="00E0281C">
      <w:pPr>
        <w:widowControl/>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eğitiminde son yirmi yılda belirginleşen dönüşüm, öğrenmenin araştırma–soruşturma süreçleriyle, disiplinler arası bağlantılarla ve otantik problemler üzerinden kurgulanmasını öne çıkarır. Problem çözme bu dönüşümün bilişsel motoru, iletişim ise hem sınıf içi etkileşimin hem de ortak anlam kurmanın ana kanalıdır. PTÖ, bu iki beceriyi aynı anda devreye sokan etkili bir öğretim tasarımı olarak değerlendirilmektedir. Öğrenciler gerçek yaşama ilişkin projelerde veri toplar, tartışır, karar verir ve ürün geliştirir. Afet eğitimi bağlamı ise bu süreci yalnızca akademik değil, aynı zamanda toplumsal fayda, güvenlik ve dayanışma boyutlarıyla genişleterek öğrenmeye değer odaklı bir yön kazandırır. Bu süreçte öğrenciler, yalnızca bilgi tüketen bireyler olmaktan çıkarak, bilgi üreten ve bu bilgiyi farklı bağlamlarda kullanabilen aktif öğrenenler hâline gelmektedir. Bu durum, öğrenmenin kalıcılığını artırmakta ve öğrencilerin karşılaştıkları yeni durumlara uyum sağlama becerilerini güçlendirmektedir.</w:t>
      </w:r>
    </w:p>
    <w:p w14:paraId="612FC098" w14:textId="77777777" w:rsidR="00760A84" w:rsidRDefault="00760A84" w:rsidP="00E0281C">
      <w:pPr>
        <w:widowControl/>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Türkiye'de fen bilimleri öğretim programları zaman içerisinde bilgi aktarımının yanı sıra beceri temelli öğrenmeyi de merkeze alan bir anlayış doğrultusunda güncellenmiştir. 2013 Fen Bilimleri Dersi Öğretim Programı, araştırma-sorgulamaya dayalı öğrenme yaklaşımını benimseyerek öğrencilerin bilimsel süreç becerileri, problem çözme ve karar verme becerilerinin geliştirilmesini hedeflemiştir (Millî Eğitim Bakanlığı [MEB], 2013). 2018 Fen Bilimleri Dersi Öğretim Programı ise bu yaklaşımı sürdürmüş; Türkiye Yeterlilikler Çerçevesi kapsamında anahtar yetkinliklere, yaşam becerilerine ve mühendislik ile girişimcilik becerilerine daha güçlü vurgu yapmıştır (MEB, 2018).</w:t>
      </w:r>
    </w:p>
    <w:p w14:paraId="59C0CE54" w14:textId="28BFCD32"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programların ortak noktası, öğrenme sürecinin öğrencinin aktif katılımına dayandırılması ve beceri temelli bir yaklaşımın benimsenmesidir. Bununla birlikte, programlar incelendiğinde zaman içinde becerilerin yalnızca bilişsel boyutuyla değil, aynı zamanda sosyal ve duyuşsal boyutlarıyla da ele alınmaya başlandığı görülmektedir. Özellikle iletişim, iş birliği ve problem çözme becerilerinin birlikte geliştirilmesine yönelik vurgu, fen eğitiminin daha bütüncül bir yapıya kavuştuğunu göstermektedir.</w:t>
      </w:r>
    </w:p>
    <w:p w14:paraId="3A371492" w14:textId="1F1FBA5D" w:rsidR="00E0281C" w:rsidRDefault="001415B6" w:rsidP="005510FA">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 Yüzyılı Maarif Modeli (Millî Eğitim Bakanlığı, 2024) ise bu yönelimleri bütüncül bir çerçevede birleştirmekte; öğrenciyi yaşamın merkezine alan, krizlere hazırlıklı ve sorumluluk sahibi bireyler yetiştirmeyi hedeflemektedir. Modelde, 21. yüzyıl becerileri doğrultusunda afet bilinci, problem çözme ve iletişim becerileri öğrenci profilinin temel bileşenleri arasında yer almaktadır. Böylelikle programlar arasında süreklilik ve uyum bulunduğu; bu çalışmanın da söz konusu sürekliliği çağdaş pedagojik temellerle desteklediği görülmektedir. Bu yönüyle model, öğrenmeyi yalnızca akademik başarıyla sınırlamayan; bireyin yaşam becerilerini geliştirmeyi hedefleyen bir anlayışı temsil etmektedir. Bu durum, araştırmanın ele aldığı problem çözme ve iletişim becerilerinin güncel eğitim yaklaşımları içerisindeki yerini daha da anlamlı hâle getirmektedir.</w:t>
      </w:r>
    </w:p>
    <w:p w14:paraId="6EAEB642" w14:textId="77777777" w:rsidR="00E0281C" w:rsidRDefault="00E0281C" w:rsidP="00E0281C">
      <w:pPr>
        <w:keepNext/>
        <w:keepLines/>
        <w:spacing w:line="240" w:lineRule="auto" w:before="100" w:after="100"/>
        <w:ind w:firstLine="0" w:left="0" w:right="0"/>
        <w:jc w:val="center"/>
        <w:rPr>
          <w:rFonts w:ascii="Times New Roman" w:hAnsi="Times New Roman" w:cs="Times New Roman"/>
        </w:rPr>
      </w:pPr>
      <w:r>
        <w:rPr>
          <w:rFonts w:ascii="Times New Roman" w:hAnsi="Times New Roman" w:cs="Times New Roman"/>
          <w:noProof/>
        </w:rPr>
        <w:drawing>
          <wp:inline distT="0" distB="0" distL="0" distR="0" wp14:anchorId="2ACFFED5" wp14:editId="1B575E5B">
            <wp:extent cx="5616000" cy="3967476"/>
            <wp:effectExtent l="0" t="0" r="0" b="6985"/>
            <wp:docPr id="1" name="TezGors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6000" cy="3967476"/>
                    </a:xfrm>
                    <a:prstGeom prst="rect">
                      <a:avLst/>
                    </a:prstGeom>
                  </pic:spPr>
                </pic:pic>
              </a:graphicData>
            </a:graphic>
          </wp:inline>
        </w:drawing>
      </w:r>
    </w:p>
    <w:p w14:paraId="05013063" w14:textId="0B1C4379" w:rsidR="00E0281C" w:rsidRPr="00E0281C" w:rsidRDefault="00E0281C" w:rsidP="00E0281C">
      <w:bookmarkStart w:id="8012" w:name="Ortak40_8012"/>
      <w:bookmarkStart w:id="5012" w:name="Birlesik_5012"/>
      <w:pPr>
        <w:keepNext/>
        <w:keepLines/>
        <w:widowControl/>
        <w:jc w:val="both"/>
        <w:rPr>
          <w:rFonts w:ascii="Times New Roman" w:hAnsi="Times New Roman" w:cs="Times New Roman"/>
          <w:bCs/>
          <w:sz w:val="24"/>
          <w:szCs w:val="24"/>
        </w:rPr>
      </w:pPr>
      <w:r w:rsidRPr="005510FA">
        <w:rPr>
          <w:rFonts w:ascii="Times New Roman" w:hAnsi="Times New Roman" w:cs="Times New Roman"/>
          <w:b/>
          <w:sz w:val="24"/>
          <w:szCs w:val="24"/>
        </w:rPr>
        <w:t xml:space="preserve">Şekil 2.1 </w:t>
      </w:r>
      <w:r w:rsidRPr="00E0281C">
        <w:rPr>
          <w:rFonts w:ascii="Times New Roman" w:hAnsi="Times New Roman" w:cs="Times New Roman"/>
          <w:bCs/>
          <w:sz w:val="24"/>
          <w:szCs w:val="24"/>
        </w:rPr>
        <w:t xml:space="preserve">Araştırmanın Kuramsal </w:t>
      </w:r>
      <w:commentRangeStart w:id="12"/>
      <w:r w:rsidRPr="00E0281C">
        <w:rPr>
          <w:rFonts w:ascii="Times New Roman" w:hAnsi="Times New Roman" w:cs="Times New Roman"/>
          <w:bCs/>
          <w:sz w:val="24"/>
          <w:szCs w:val="24"/>
        </w:rPr>
        <w:t>Çerçevesi</w:t>
      </w:r>
      <w:commentRangeEnd w:id="12"/>
      <w:r w:rsidR="00EE3619" w:rsidRPr="00E0281C">
        <w:rPr>
          <w:rStyle w:val="AklamaBavurusu"/>
          <w:rFonts w:ascii="Times New Roman" w:hAnsi="Times New Roman" w:cs="Times New Roman"/>
          <w:bCs/>
          <w:sz w:val="24"/>
          <w:szCs w:val="24"/>
        </w:rPr>
        <w:commentReference w:id="12"/>
      </w:r>
      <w:bookmarkEnd w:id="5012"/>
      <w:bookmarkEnd w:id="8012"/>
      <w:fldSimple w:instr="TC &quot;Şekil 2.1 Araştırmanın Kuramsal Çerçevesi&quot; \f F \l 1"/>
    </w:p>
    <w:p w14:paraId="38793263" w14:textId="5655241D" w:rsidR="00E0281C" w:rsidRPr="00E0281C" w:rsidRDefault="00E0281C" w:rsidP="00E0281C">
      <w:pPr>
        <w:keepNext/>
        <w:keepLines/>
        <w:widowControl/>
        <w:spacing w:line="360" w:lineRule="auto"/>
        <w:jc w:val="both"/>
        <w:rPr>
          <w:rFonts w:ascii="Times New Roman" w:hAnsi="Times New Roman" w:cs="Times New Roman"/>
          <w:sz w:val="24"/>
          <w:szCs w:val="24"/>
        </w:rPr>
      </w:pPr>
      <w:r w:rsidRPr="00E0281C">
        <w:rPr>
          <w:rFonts w:ascii="Times New Roman" w:hAnsi="Times New Roman" w:cs="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bookmarkStart w:id="8013" w:name="Ortak40_8013"/>
      <w:bookmarkStart w:id="5013" w:name="Birlesik_5013"/>
      <w:pPr>
        <w:pStyle w:val="Balk2"/>
        <w:keepNext/>
        <w:widowControl/>
      </w:pPr>
      <w:bookmarkStart w:id="13" w:name="_Toc236354019"/>
      <w:r w:rsidRPr="00EE3619">
        <w:t>2.1 Fen Eğitimi, 21. Yüzyıl Becerileri ve Türkiye’de Fen Eğitiminin Güncel Yönelimleri</w:t>
      </w:r>
      <w:bookmarkEnd w:id="13"/>
      <w:bookmarkEnd w:id="5013"/>
      <w:bookmarkEnd w:id="8013"/>
    </w:p>
    <w:p w14:paraId="581E457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bireylerin çevrelerindeki olguları anlamlandırmalarına, doğayı bilimsel bir bakış açısıyla incelemelerine ve karşılaştıkları problemlere çözüm üretebilmelerine olanak tanıyan disiplinler arası bir öğrenme alanıdır. Fen öğretimi yalnızca bilgi aktarımını değil, aynı zamanda öğrencilerin araştırma yapma, sorgulama, eleştirel düşünme ve iş birliği becerilerini geliştirmeyi hedefler. Bu nedenle fen eğitimi, çağdaş eğitim sistemlerinde bireysel gelişimin yanı sıra toplumsal kalkınmanın da temel unsurlarından biri olarak görülmektedir. Özellikle bilimsel okuryazarlık, modern toplumlarda bilinçli vatandaş olmanın ve yaşam boyu öğrenmenin ön koşulu olarak değerlendirilmektedir. Bu yaklaşım, fen eğitiminin amacını yalnızca akademik başarıyla sınırlamaktan çıkararak öğrencilerin gerçek yaşamla bağlantı kurabilecekleri bir öğrenme sürecine dönüştürmektedir.</w:t>
      </w:r>
    </w:p>
    <w:p w14:paraId="1C5BA985"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tarihsel gelişimi incelendiğinde, öğretim anlayışının dönemsel olarak farklı paradigmalara dayandığı görülmektedir. 20. yüzyılın ortalarında hâkim olan davranışçı anlayış, fen öğretimini bilgi transferine indirgemiştir. Ancak 1970’lerden itibaren yapılandırmacı yaklaşımın etkisiyle öğrencinin aktif rol aldığı, anlam kurma ve deneyim yoluyla öğrenmeyi merkeze alan modeller önem kazanmıştır. Bu dönüşüm, fen eğitiminde öğrenme sürecinin içeriğe kıyasla öncelikli hâle gelmesini sağlamıştır. Günümüzde fen eğitimi, bireylerin bilimsel süreç becerilerini geliştirmeyi, bilgiyi üretme ve uygulama yetkinliği kazandırmayı amaçlayan bütüncül bir anlayışla yürütülmektedir. Bu anlayış, öğrencilerin karşılaştıkları günlük yaşam problemlerini bilimsel bilgiyle çözümleyebilmelerini temel bir öğrenme çıktısı olarak kabul eder.</w:t>
      </w:r>
    </w:p>
    <w:p w14:paraId="03830B2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teknolojik, ekonomik ve toplumsal koşulları, fen eğitiminin hedeflerini yeniden biçimlendirmiştir. Artık öğrencilerden beklenen, yalnızca bilgiyi edinmeleri değil; bu bilgiyi yeni durumlara aktarabilmeleri, çözüm üretebilmeleri ve etkili iletişim kurabilmeleridir. Trilling ve Fadel’in (2009) sınıflandırmasına göre 21. yüzyıl becerileri; problem çözme, eleştirel düşünme, yaratıcılık, iletişim, iş birliği, öz-yönetim ve dijital okuryazarlık gibi birbiriyle ilişkili çok boyutlu yetkinlikleri kapsamaktadır. Bu beceriler, fen eğitiminin doğasıyla doğrudan örtüşmektedir; çünkü fen öğretimi süreçlerinde öğrencilerden gözlem yapmaları, hipotez kurmaları, verileri analiz etmeleri ve bilimsel temellere dayalı açıklamalar geliştirmeleri beklenir. Dolayısıyla fen eğitimi, 21. yüzyıl becerilerinin kazanımı için doğal bir öğrenme ortamı sunar.</w:t>
      </w:r>
    </w:p>
    <w:p w14:paraId="554F23E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fen eğitimi politikaları incelendiğinde, 21. yüzyıl becerilerinin müfredatlara entegrasyonu yönünde güçlü bir eğilim olduğu görülmektedir. OECD (2018) raporlarında, öğrencilerin yalnızca bilgiye sahip olmalarının yeterli olmadığı; bu bilgiyi karmaşık ve öngörülemeyen problemlerde etkili biçimde kullanabilmelerinin esas olduğu vurgulanmıştır. PISA değerlendirmelerinde de fen okuryazarlığı, bireyin bilimsel verileri analiz etme, eleştirel yorumlama ve toplumsal sorunlara çözüm önerileri geliştirebilme yeterliğiyle ilişkilendirilmektedir (OECD, 2019). Bu yaklaşım, fen eğitiminin artık ezbere dayalı bilgi aktarımından çok yaşam becerilerinin kazandırıldığı bir süreç olarak görülmesini sağlamıştır. Finlandiya, Singapur ve Kanada gibi ülkeler, fen öğretiminde proje tabanlı öğrenme, araştırma temelli öğretim ve disiplinler arası bağlantılar aracılığıyla 21. yüzyıl becerilerini müfredata dâhil eden örnek sistemler arasında yer almaktadır.</w:t>
      </w:r>
    </w:p>
    <w:p w14:paraId="5821BEE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fen eğitiminin yalnızca bilgi üretme sürecine değil, aynı zamanda öğrencilerin bu bilgiyi farklı disiplinlerle ilişkilendirebilmelerine olanak tanıyan bir öğrenme yapısı sunduğu görülmektedir. Özellikle disiplinler arası öğrenme yaklaşımları, öğrencilerin problem durumlarını daha geniş bir perspektiften değerlendirmelerine katkı sağlamaktadır.</w:t>
      </w:r>
    </w:p>
    <w:p w14:paraId="21A6215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21. yüzyıl becerileriyle ilişkisi yalnızca bilişsel süreçlerle sınırlı değildir. Bu süreç aynı zamanda öğrencilerin öğrenmeye yönelik tutumlarını, motivasyonlarını ve öz-yeterlik algılarını da etkilemektedir. Araştırmalar, öğrencilerin aktif olarak katıldıkları, sorguladıkları ve üretim yaptıkları öğrenme ortamlarında daha kalıcı ve anlamlı öğrenmeler gerçekleştirdiklerini göstermektedir. Bu bağlamda fen eğitimi, öğrencilerin yalnızca bilimsel kavramları öğrenmelerini değil, aynı zamanda öğrenmeyi öğrenmelerini de destekleyen bir yapı sunmaktadır. Bu durum, öğrencilerin karşılaştıkları yeni ve karmaşık durumlara daha esnek ve yaratıcı çözümler geliştirebilmelerine katkı sağlamaktadır.</w:t>
      </w:r>
    </w:p>
    <w:p w14:paraId="7D5952D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fen eğitiminin güncel yönelimleri incelendiğinde öğrenme süreçlerinin giderek daha fazla gerçek yaşam temelli bağlamlar üzerine yapılandırıldığı görülmektedir. Öğrencilerin günlük yaşamla ilişkilendirebildikleri öğrenme deneyimleri, bilgiyi daha anlamlı hâle getirmekte ve öğrenmenin kalıcılığını artırmaktadır. Özellikle çevre sorunları, sürdürülebilirlik, enerji kaynakları ve doğal afetler gibi konular, fen eğitiminin gerçek yaşamla bütünleşmesini sağlayan önemli içerik alanları arasında yer almaktadır. Bu tür bağlamlar, öğrencilerin yalnızca bilgi edinmelerini değil, aynı zamanda toplumsal sorumluluk geliştirmelerini ve bilinçli bireyler olarak yetişmelerini desteklemektedir. Bu durum, özellikle doğal afetler gibi çok boyutlu ve karmaşık konuların fen eğitimi içerisinde ele alınmasını daha da önemli hâle getirmektedir. Çünkü bu tür konular, öğrencilerin hem bilimsel bilgiyi kullanmalarını hem de sosyal sorumluluk geliştirmelerini gerektiren bütüncül öğrenme deneyimleri sunmaktadır.</w:t>
      </w:r>
    </w:p>
    <w:p w14:paraId="66CB7B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Fen bilimleri öğretim programlarında araştırma, problem çözme ve bilgiyi kullanmaya yönelik hedefler yer almaktadır (MEB, 2013, 2018). Bu araştırmada söz konusu beceri odağı, doğal afetler temalı bir üniversite dersi bağlamında ele alınmıştır. Üniversitedeki uygulama, okul düzeyindeki öğretim programlarının bütün kazanımlarının gerçekleştiğini sınayan bir çalışma değildir.</w:t>
      </w:r>
    </w:p>
    <w:p w14:paraId="274E2B0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2024 yılında yürürlüğe giren Türkiye Yüzyılı Maarif Modeli, fen eğitiminde beceri temelli ve değer odaklı bir yaklaşımı öne çıkarmaktadır (MEB, 2024). Bu yaklaşım, öğrencilerin bilgiyi yalnızca edinmelerini değil, aynı zamanda anlamlandırmalarını ve gerçek yaşam problemleriyle ilişkilendirerek kullanmalarını hedeflemektedir. Bu doğrultuda fen eğitimi; çevre bilinci, sürdürülebilirlik ve toplumsal sorumluluk gibi temalarla bütünleşen bir öğrenme alanı hâline gelmektedir.</w:t>
      </w:r>
    </w:p>
    <w:p w14:paraId="7CD58E9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yaklaşımın dikkat çeken yönlerinden biri, 21. yüzyıl becerilerinin yerli ve millî değerlerle bütünleştirilmesidir. Problem çözme, iletişim, iş birliği ve yaratıcılık gibi bilişsel beceriler; merhamet, adalet, doğruluk ve sorumluluk gibi insani değerlerle birlikte ele alınmaktadır. Bu durum, bireylerin yalnızca bilgiyle donanmış değil, aynı zamanda etik temellere sahip bireyler olarak yetişmelerini amaçlamaktadır. Bu çerçevede fen eğitimi, bireylerin toplumsal ve ahlaki gelişimini destekleyen bir öğrenme alanı olarak öne çıkmaktadır. Bu bütüncül yapı, öğrencilerin afetler, çevre sorunları ve sürdürülebilirlik gibi güncel konularda bilinçli ve çözüm üreten bireyler olarak yetişmelerine zemin hazırlamaktadır.</w:t>
      </w:r>
    </w:p>
    <w:p w14:paraId="27CC625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öğretmen adaylarının yetiştirilmesi açısından da çok boyutlu bir yeterlik anlayışını benimsemektedir. Bu kapsamda öğretmen yeterlikleri, yalnızca alan bilgisiyle sınırlı olmayıp pedagojik beceri, dijital okuryazarlık, iletişim, problem çözme ve değer temelli rehberlik gibi çeşitli yetkinlikleri içermektedir (MEB, 2024). Bu yaklaşım, öğretmen adaylarının öğrencilerin bilişsel gelişimlerinin yanı sıra duyuşsal ve sosyal becerilerini de destekleyebilmelerini hedeflemektedir. Bu doğrultuda öğretmen adaylarının fen öğretiminde rehber, kolaylaştırıcı ve rol model olarak konumlanmaları, çağdaş öğretmen profiliyle doğrudan örtüşmektedir. Fen bilgisi öğretmen adaylarının yalnızca bilimsel bilgiye değil, aynı zamanda bu bilgiyi pedagojik ve değer temelli biçimde öğrencilere aktarabilecek becerilere sahip olmaları beklenmektedir.</w:t>
      </w:r>
    </w:p>
    <w:p w14:paraId="47EF49FC" w14:textId="77777777" w:rsidR="00B243EB"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fen eğitimi, 21. yüzyılın değişen ihtiyaçları doğrultusunda bilgi odaklı bir öğretim alanından beceri odaklı bir öğrenme alanına dönüşmüştür. Bu dönüşüm, öğrencilerin yalnızca bilgiyi öğrenmelerini değil; bilgiyi kullanarak çözüm üretmelerini ve topluma katkı sağlamalarını gerektirmektedir. Güncel eğitim yaklaşımları, bu dönüşümü destekleyerek fen eğitiminin yalnızca akademik başarıya değil, aynı zamanda yaşam becerilerine odaklanmasını sağlamaktadır. Bu yönüyle fen eğitimi, bireylerin yalnızca bilimsel bilgiye sahip olmalarını değil, aynı zamanda bu bilgiyi yaşamla ilişkilendirebilen, çözüm üretebilen ve toplumsal sorumluluk taşıyan bireyler olarak yetişmelerini destekleyen bütüncül bir öğrenme alanı olarak değerlendirilmektedir.</w:t>
      </w:r>
    </w:p>
    <w:p w14:paraId="6C0BAF95" w14:textId="6E22CBBF" w:rsidR="001415B6" w:rsidRPr="00B243EB" w:rsidRDefault="001415B6" w:rsidP="00EE3619">
      <w:bookmarkStart w:id="8014" w:name="Ortak40_8014"/>
      <w:bookmarkStart w:id="5014" w:name="Birlesik_5014"/>
      <w:pPr>
        <w:pStyle w:val="Balk2"/>
        <w:keepNext/>
        <w:widowControl/>
        <w:rPr>
          <w:bCs/>
        </w:rPr>
      </w:pPr>
      <w:bookmarkStart w:id="14" w:name="_Toc236354020"/>
      <w:r w:rsidRPr="00E0281C">
        <w:t>2.2 Problem Çözme Becerileri</w:t>
      </w:r>
      <w:bookmarkEnd w:id="14"/>
      <w:bookmarkEnd w:id="5014"/>
      <w:bookmarkEnd w:id="8014"/>
    </w:p>
    <w:p w14:paraId="69BB29B4" w14:textId="0BFF5CA8" w:rsidR="00E0281C" w:rsidRPr="00E0281C" w:rsidRDefault="00E0281C"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bu araştırmada, proje geliştirme sırasında bir problem belirleme, bilgi arama, seçenekleri karşılaştırma ve çözümü gözden geçirme etkinlikleri çerçevesinde ele alınmıştır. Ölçek ve görüşmeler, bu sürecin farklı yönlerini incelemek için kullanılmıştır. Ölçek puanları katılımcıların öz değerlendirmelerine, görüşmeler ise anlattıkları deneyimlere ilişkin veri sağlamaktadır.</w:t>
      </w:r>
    </w:p>
    <w:p w14:paraId="2F41C59E" w14:textId="18082851" w:rsidR="00E0281C" w:rsidRPr="00E0281C" w:rsidRDefault="00E0281C" w:rsidP="00E0281C">
      <w:pPr>
        <w:widowControl/>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Eğitim alanında problem çözme becerisi, öğrencilerin edindikleri bilgi ve becerileri farklı problem durumlarında kullanabilmeleriyle ilişkilendirilmektedir. Fen Bilimleri Dersi Öğretim Programı'nda problem çözme; bilimsel süreç becerileri, yaşam becerileri ve araştırma-sorgulamaya dayalı öğrenme yaklaşımı kapsamında ele alınmakta, öğrencilerin karşılaştıkları problemlere çözüm üretebilmelerini destekleyen beceriler arasında gösterilmektedir (MEB, 2018).</w:t>
      </w:r>
    </w:p>
    <w:p w14:paraId="05070A07" w14:textId="7960F79D" w:rsidR="00E0281C" w:rsidRPr="00E0281C" w:rsidRDefault="00E0281C" w:rsidP="00E0281C">
      <w:pPr>
        <w:widowControl/>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alanyazında farklı modeller çerçevesinde açıklanmakla birlikte, genel olarak problemin tanımlanması, çözüm yollarının oluşturulması, çözümün uygulanması ve sonucun değerlendirilmesi aşamalarını içermektedir. Fen eğitimi bağlamında bu süreç; gözlem yapma, veri toplama, verileri analiz etme, çıkarımda bulunma ve kanıta dayalı karar verme gibi bilimsel süreç becerileriyle ilişkilendirilmektedir (MEB, 2018). Bu nedenle problem çözme becerisi, araştırma ve sorgulamaya dayalı öğrenme süreçlerinde üzerinde durulan becerilerden biri olarak değerlendirilmektedir.</w:t>
      </w:r>
    </w:p>
    <w:p w14:paraId="07483D36" w14:textId="77777777" w:rsidR="00E0281C" w:rsidRDefault="00E0281C" w:rsidP="00E0281C">
      <w:pPr>
        <w:widowControl/>
        <w:spacing w:line="360" w:lineRule="auto"/>
        <w:jc w:val="both"/>
        <w:rPr>
          <w:rFonts w:ascii="Times New Roman" w:hAnsi="Times New Roman" w:cs="Times New Roman"/>
          <w:bCs/>
          <w:sz w:val="24"/>
          <w:szCs w:val="24"/>
        </w:rPr>
      </w:pPr>
      <w:r>
        <w:rPr>
          <w:rFonts w:ascii="Times New Roman" w:hAnsi="Times New Roman"/>
          <w:sz w:val="24"/>
        </w:rPr>
        <w:t>Proje görevleri, öğretmen adaylarının kendi olanakları ve seçtikleri problem doğrultusunda karar vermelerini gerektirmiştir. Aynı temada çalışan grupların farklı problem ve çözüm seçenekleri üretmesi mümkün olduğundan süreç tek bir hazır cevabın bulunması üzerinden değerlendirilmemiştir. Görüşmelerde problem seçimi, çözümün uygulanabilirliği ve uygulama sırasında yapılan değişiklikler ayrı başlıklarla incelenmiştir.</w:t>
      </w:r>
    </w:p>
    <w:p w14:paraId="59D1FC35" w14:textId="2490F6C3"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Problem çözme yalnızca bireysel bir zihinsel etkinlik değil, aynı zamanda sosyal bir öğrenme sürecidir. İş birliğine dayalı öğrenme ortamlarında bireyler, farklı bakış açıları geliştirerek düşüncelerini paylaşmakta ve ortak çözümler üretmektedir. Bu yönüyle problem çözme, iletişim ve iş birliği becerileriyle doğrudan </w:t>
      </w:r>
      <w:r w:rsidR="00B243EB">
        <w:rPr>
          <w:rFonts w:ascii="Times New Roman" w:hAnsi="Times New Roman" w:cs="Times New Roman"/>
          <w:bCs/>
          <w:sz w:val="24"/>
          <w:szCs w:val="24"/>
        </w:rPr>
        <w:t>ilişkili olduğu düşünülmektedir</w:t>
      </w:r>
      <w:r w:rsidRPr="001415B6">
        <w:rPr>
          <w:rFonts w:ascii="Times New Roman" w:hAnsi="Times New Roman" w:cs="Times New Roman"/>
          <w:bCs/>
          <w:sz w:val="24"/>
          <w:szCs w:val="24"/>
        </w:rPr>
        <w:t>. Öğretmen adayları açısından ise bu süreç, sınıf içi etkileşimi ve ortak anlam üretimini destekleyen önemli bir beceri alanı olarak öne çıkmaktadır.</w:t>
      </w:r>
    </w:p>
    <w:p w14:paraId="67C567F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Etkili problem çözme süreçlerinde öğrencilerin kendi düşünme süreçlerini fark etmeleri, çözüm yollarını izlemeleri ve gerektiğinde strateji değiştirebilmeleri önemlidir. Bu durum, problem çözmenin planlama, izleme, değerlendirme ve yeniden düzenleme aşamalarını içeren öz-düzenleyici bir yapı olduğunu göstermektedir.</w:t>
      </w:r>
    </w:p>
    <w:p w14:paraId="1B31C84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toplumsal ve teknolojik koşulları, problem çözme becerilerini çağdaş eğitimin merkezine yerleştirmiştir. Ekonomik İşbirliği ve Kalkınma Teşkilatı (OECD, 2018) raporları, bireylerin yaşam boyu öğrenme süreçlerinde en kritik yeterliklerden birinin problem çözme olduğunu vurgulamaktadır. Artık öğrencilerden beklenen yalnızca bilgiyi edinmeleri değil, bu bilgiyi öngörülemeyen durumlarda yaratıcı biçimde kullanabilmeleridir.</w:t>
      </w:r>
    </w:p>
    <w:p w14:paraId="5FDDB81D" w14:textId="064F1D3E"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PISA 2019 sonuçlarına göre, problem çözmede yüksek başarı gösteren ülkeler; öğrenci merkezli, sorgulamaya dayalı ve iş birliği temelli öğretim yaklaşımlarını benimseyen eğitim sistemleridir (OECD, 2019). </w:t>
      </w:r>
      <w:r w:rsidR="00B243EB" w:rsidRPr="00B243EB">
        <w:rPr>
          <w:rFonts w:ascii="Times New Roman" w:hAnsi="Times New Roman" w:cs="Times New Roman"/>
          <w:bCs/>
          <w:sz w:val="24"/>
          <w:szCs w:val="24"/>
        </w:rPr>
        <w:t>Bu durum, problem çözmenin artık yalnızca akademik bir beceri değil; toplumsal katılım, uyum ve yaşam becerilerinin temelini oluşturan bir yeterlik hâline geldiğinin bir göstergesi niteliğindedir.</w:t>
      </w:r>
    </w:p>
    <w:p w14:paraId="57ED2CB1"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deneyimleri ile grup etkileşimleri birlikte incelenmiş, ancak bunların aynı beceri olduğu varsayılmamıştır. Bir katılımcının araştırma veya yaratıcı düşünmeye katkı bildirmesi, iletişim ölçeğindeki değişim hakkında doğrudan sonuç vermez. Bu nedenle beceri alanları nicel analizlerde ayrı değerlendirilmiş ve nitel yorumlarda aralarındaki kapsam ayrımı korunmuştur.</w:t>
      </w:r>
    </w:p>
    <w:p w14:paraId="4734042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problem çözme becerilerinin gerçek yaşam bağlamları içinde ele alınması öğrenmeyi daha anlamlı hâle getirmektedir. Özellikle doğal afetler gibi karmaşık problemler, öğrencilerin hem bilişsel hem sosyal becerilerini eş zamanlı kullanmalarını gerektirir.</w:t>
      </w:r>
    </w:p>
    <w:p w14:paraId="0B21DDE5" w14:textId="6333D743" w:rsidR="00B243EB" w:rsidRP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Problem çözme becerilerinin öğretmen adayları bağlamında ele alınması ayrıca önem taşımaktadır. Öğretmen adayları yalnızca kendi öğrenme süreçlerinde problem çözme becerilerini geliştirmekle kalmamakta, gelecekte sınıf içi uygulamalarda öğrencilerin bu becerilerini destekleme sorumluluğunu da üstlenmektedir. Bu nedenle öğretmen yetiştirme programlarında problem çözme becerilerinin uygulama temelli ve gerçek yaşamla ilişkili bağlamlarda geliştirilmesi, öğretmen adaylarının mesleki yeterliklerinin güçlendirilmesi açısından önem taşımaktadır. Bunun yanı sıra öğretim ortamlarında karşılaşılan problemlerin çözümü, yalnızca alan bilgisine değil, duruma uygun pedagojik kararlar alabilme, farklı çözüm yolları geliştirebilme ve öğrencilerin öğrenme süreçlerine rehberlik edebilme yeterliklerini de gerektirmektedir.</w:t>
      </w:r>
    </w:p>
    <w:p w14:paraId="14EEBDAD" w14:textId="4717480C" w:rsidR="00B243EB" w:rsidRP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MEB'in (2024) ortaya koyduğu güncel öğretim yaklaşımında problem çözme becerisi, bilgi, beceri, eğilim ve değerlerin bütüncül gelişimini destekleyen temel beceriler arasında ele alınmaktadır. Bu yaklaşım, öğrencilerin bilgiyi anlamlandırmalarını, günlük yaşamla ilişkilendirmelerini ve farklı problem durumlarında kullanabilmelerini desteklemektedir. Aynı zamanda problem çözme becerisinin bireysel gelişimin yanı sıra toplumsal sorumluluk ve etik farkındalık bağlamında da ele alınabileceğine işaret etmektedir.</w:t>
      </w:r>
    </w:p>
    <w:p w14:paraId="4A62B06E" w14:textId="77777777" w:rsid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Bu yaklaşım doğrultusunda, öğretmenin rolü yalnızca bilgi aktaran kişi olmanın ötesinde; öğrenmeyi planlayan, öğrencilerin düşünme süreçlerini destekleyen ve problem çözme süreçlerine rehberlik eden bir yapıya dönüşmektedir (MEB, 2024). Bu durum, öğretmen adaylarının yalnızca alan bilgisine değil, pedagojik bilgi ve becerilere, iletişim, iş birliği ve dijital okuryazarlık gibi mesleki yeterliklere de sahip olmalarını gerekli kılmaktadır. Bu bağlamda öğretmen yetiştirme sürecinde problem çözme becerisinin geliştirilmesi, hem öğretmen adaylarının mesleki yeterliklerini güçlendirmesi hem de gelecekte öğrencilerin problem çözme becerilerini etkili biçimde destekleyebilmeleri açısından önem taşımaktadır.</w:t>
      </w:r>
    </w:p>
    <w:p w14:paraId="7166D25C" w14:textId="6BB99A55" w:rsidR="001415B6" w:rsidRPr="001415B6" w:rsidRDefault="001415B6" w:rsidP="00B243EB">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bağlamında problem çözme becerileri, araştırma-sorgulama süreçleri, proje tabanlı öğrenme uygulamaları ve disiplinler arası etkinlikler aracılığıyla doğal biçimde geliştirilmektedir. Bu süreçler, öğrencilerin yalnızca bilimsel bilgiye ulaşmalarını değil, aynı zamanda bu bilgiyi gerçek yaşam problemleriyle ilişkilendirerek kullanmalarını sağlamaktadır. Ayrıca bu öğrenme süreçleri, sürdürülebilir yaşam, çevre bilinci, afet farkındalığı ve toplumsal dayanışma gibi temalarla ilişkilendirildiğinde daha anlamlı ve kalıcı hâle gelmektedir. Bu durum, öğrencilerin bilimsel bilgiye dayalı çözüm üretme süreçlerini toplumsal ve insani değerlerle bütünleştirmelerine katkı sağlamaktadır. Fen bilgisi öğretmen adayları açısından bu yaklaşım, hem mesleki hem de etik sorumluluk bilincinin gelişmesini destekleyen önemli bir öğrenme zemini sunmaktadır.</w:t>
      </w:r>
    </w:p>
    <w:p w14:paraId="10A1061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problem çözme becerileri, yalnızca bilişsel bir yeterlik değil; sosyal, duyuşsal ve etik boyutlarıyla birlikte ele alınması gereken çok yönlü bir öğrenme alanıdır. Bu becerinin geliştirilmesi, öğrencilerin karşılaştıkları durumları analiz edebilmelerini, çözüm üretebilmelerini ve bu süreçleri etkili biçimde yönetebilmelerini sağlamaktadır. Bu yönüyle problem çözme, iletişim ve iş birliği gibi diğer temel becerilerle birlikte ele alındığında, öğrenme sürecinin bütüncül yapısını destekleyen temel bir bileşen olarak değerlendirilmektedir.</w:t>
      </w:r>
    </w:p>
    <w:p w14:paraId="0C726A5C" w14:textId="77777777" w:rsidR="001415B6" w:rsidRPr="00E0281C" w:rsidRDefault="001415B6" w:rsidP="00EE3619">
      <w:bookmarkStart w:id="8015" w:name="Ortak40_8015"/>
      <w:bookmarkStart w:id="5015" w:name="Birlesik_5015"/>
      <w:pPr>
        <w:pStyle w:val="Balk2"/>
        <w:keepNext/>
        <w:widowControl/>
      </w:pPr>
      <w:bookmarkStart w:id="15" w:name="_Toc236354021"/>
      <w:r w:rsidRPr="00E0281C">
        <w:t>2.3 İletişim Becerileri</w:t>
      </w:r>
      <w:bookmarkEnd w:id="15"/>
      <w:bookmarkEnd w:id="5015"/>
      <w:bookmarkEnd w:id="8015"/>
    </w:p>
    <w:p w14:paraId="797D0AFB" w14:textId="77777777" w:rsidR="00856D6B" w:rsidRDefault="00856D6B"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Ölçeği’nin geliştirme çalışmasında, üniversite öğrencilerinin iletişim davranışları dört faktör altında ele alınmıştır: iletişim ilkeleri ve temel beceriler, kendini ifade etme, etkin dinleme ve sözel olmayan iletişim, iletişim kurmaya isteklilik (Korkut Owen ve Bugay, 2014). Bu yapı, araştırmada iletişimi yalnızca konuşmaya veya grup içinde bulunmaya indirgememek için temel alınmıştır.</w:t>
      </w:r>
    </w:p>
    <w:p w14:paraId="351FBCCF" w14:textId="6F06F8A0"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bilimleri açısından iletişim, öğrenme-öğretme sürecinin temel dinamiklerinden biridir. Öğrenme, bireylerin karşılıklı etkileşim kurmaları, düşüncelerini paylaşmaları ve ortak anlam üretmeleriyle derinlik kazanmaktadır. Bu yönüyle iletişim, yalnızca bilgi aktarımını sağlayan bir araç değil, öğrenmenin sosyal boyutunu oluşturan temel bir süreçtir. Bu süreç, öğrencilerin bilgiyi aktif biçimde işlemesine ve öğrenmenin daha anlamlı hâle gelmesine katkı sağlamaktadır.</w:t>
      </w:r>
    </w:p>
    <w:p w14:paraId="1D9B0EF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Öğrenme süreçlerinde bireyler, gözlem, etkileşim ve geri bildirim yoluyla bilgi edinmektedir. Bu doğrultuda öğretmen-öğrenci ve öğrenci-öğrenci iletişimi öğrenme sürecinin merkezinde yer almaktadır. Etkili iletişim becerileri, öğrencilerin akademik başarılarını desteklediği kadar sosyal ilişkilerini düzenlemelerine ve özgüven geliştirmelerine de katkı sağlamaktadır. Bu yönüyle iletişim becerileri, problem çözme, eleştirel düşünme ve iş birliği gibi diğer 21. yüzyıl becerilerinin de temel bileşenlerinden biri olarak değerlendirilmektedir.</w:t>
      </w:r>
    </w:p>
    <w:p w14:paraId="609900C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özellikle fen eğitimi gibi etkileşim ve tartışma temelli öğrenme alanlarında öğrencilerin bilimsel düşüncelerini ifade etmeleri, savunmaları ve yeniden yapılandırmaları açısından kritik bir rol oynamaktadır. Bu nedenle iletişim, yalnızca genel bir yaşam becerisi değil, aynı zamanda alan öğretiminin niteliğini belirleyen temel bir unsur olarak değerlendirilmektedir.</w:t>
      </w:r>
    </w:p>
    <w:p w14:paraId="68C09CB9"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eğitim anlayışı, iletişim becerilerini yalnızca bir ifade aracı değil, öğrenme topluluklarını inşa eden bir yetkinlik olarak ele almaktadır. Günümüz eğitim ortamlarında iletişim; dijital araçlar, çokkültürlü etkileşim ve çevrim içi iş birliği bağlamında yeniden tanımlanmaktadır. Bu çerçevede eğitim ortamlarında iletişim becerilerinin rolü daha da belirgin hâle gelmektedir.</w:t>
      </w:r>
    </w:p>
    <w:p w14:paraId="404966C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iletişim becerileri, öğrenme sürecinin niteliğini belirleyen temel unsurlardan biridir. Etkili iletişim, öğrenme ortamlarında güven, açıklık ve katılım kültürü oluşturur. Öğrencilerin kendilerini rahatça ifade edebilmeleri, öğretmenleriyle anlamlı bir etkileşim kurabilmeleri; akademik başarının yanı sıra öz güven, empati ve motivasyon düzeylerini de artırır. Öğrenme süreci etkileşim yoluyla yapılandığı için iletişim, öğretim sürecinin merkezinde yer almaktadır. Bu nedenle öğretmenlerin iletişim becerileri, öğrencilerin öğrenme deneyimlerinin kalitesini doğrudan etkileyen bir pedagojik yeterlik olarak görülmektedir.</w:t>
      </w:r>
    </w:p>
    <w:p w14:paraId="5AF7FC7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Öğretmen-öğrenci iletişiminin niteliği, sınıf iklimi ve öğrencilerin öğrenmeye yönelik tutumları üzerinde belirleyici bir rol oynamaktadır. Destekleyici ve açık iletişim ortamları, öğrencilerin öğrenme motivasyonlarını artırmakta ve sınıf içi uyumu güçlendirmektedir. Bu durum, iletişimin yalnızca bir aktarım aracı değil, aynı zamanda öğrenme sürecini yönlendiren temel bir pedagojik unsur olduğunu göstermektedir.</w:t>
      </w:r>
    </w:p>
    <w:p w14:paraId="769E2358"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çalışmada iletişim, öğretmen adaylarının proje gruplarında fikirlerini ifade etmeleri, farklı önerileri değerlendirmeleri ve ortak karar vermeleri bağlamında incelenmiştir. Bu gözlem alanı, öğretmenlik mesleğinin bütün iletişim gereksinimlerini kapsamamaktadır. Öğretmen–öğrenci iletişimi veya sınıf yönetiminde başarı ayrıca ölçülmemiştir.</w:t>
      </w:r>
    </w:p>
    <w:p w14:paraId="2BBEE24D"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Ölçek geliştirme çalışmasında elde edilen geçerlik ve güvenirlik bulguları, aracın üniversite öğrencilerinde kullanımına ilişkin dayanak sunmaktadır (Korkut Owen ve Bugay, 2014). Ancak bir aracın bu özellikleri, belirli bir ders uygulamasının etkili olduğunu göstermez. Uygulama sonrasındaki değişim, bu araştırmanın ön test–son test verileri üzerinden ayrıca değerlendirilmiştir.</w:t>
      </w:r>
    </w:p>
    <w:p w14:paraId="54FC7D3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iletişim becerileri, 21. yüzyıl eğitim modellerinde temel yaşam yeterliklerinden biri olarak konumlandırılmaktadır. Birleşmiş Milletler Eğitim, Bilim ve Kültür Örgütü (UNESCO, 2015), iletişimi yalnızca bilgi paylaşımı değil, aynı zamanda “anlam inşası ve kültürler arası anlayışın aracı” olarak tanımlamaktadır. Ekonomik İş birliği ve Kalkınma Teşkilatı (OECD, 2018) raporlarında ise iletişim becerileri, bireylerin karmaşık toplumsal yapılar içinde etkili biçimde etkileşim kurmalarını sağlayan bilişsel ve duyuşsal bir bileşen olarak ele alınmıştır. Bu bakış açısı, iletişimin artık yalnızca dilsel bir beceri değil; aynı zamanda kültürel farkındalık, empati ve etik sorumluluk içeren bütüncül bir yeterlik olarak görülmesini sağlamıştır.</w:t>
      </w:r>
    </w:p>
    <w:p w14:paraId="74F2960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Grup çalışması sırasında iletişim kurma fırsatının bulunması, iletişim becerilerinde mutlaka gelişim gerçekleşeceği anlamına gelmemektedir. Bu araştırmada iletişim ortamına ilişkin açıklamalar ile zaman içindeki değişim birbirinden ayrılmıştır. Görüşmelerde rahat ifade ve tanışıklık, süreç koşulları; açıkça belirtilen beceri katkıları ise katılımcıların gelişim değerlendirmeleri olarak ele alınmıştır.</w:t>
      </w:r>
    </w:p>
    <w:p w14:paraId="0611DA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Fen Bilimleri Dersi Öğretim Programı’nda iletişim ve takım çalışması yaşam becerileri kapsamında yer almaktadır (MEB, 2018). Bu araştırmada bu kapsamla ilişkili grup deneyimleri incelenmiş; öğretmen adaylarının kendi değerlendirmeleri ölçek ve görüşmelerle ayrı ayrı toplanmıştır. Programda bir becerinin hedeflenmesi, uygulamada o becerinin geliştiği sonucunun yerine kullanılmamıştır.</w:t>
      </w:r>
    </w:p>
    <w:p w14:paraId="75F8611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iletişim becerilerini yalnızca akademik bir araç olarak değil, bireyin toplumsal sorumluluk bilincini destekleyen temel bir yeterlik olarak ele almaktadır (MEB, 2024). Bu yaklaşım, iletişimi bilgi aktarımının ötesine taşıyarak etkileşim, empati ve anlam üretimi süreçleriyle bütünleştirmektedir. Bu doğrultuda iletişim becerileri, bireylerin hem bireysel hem de toplumsal düzeyde etkili ilişkiler kurabilmelerini sağlayan çok boyutlu bir yeterlik alanı olarak değerlendirilmektedir.</w:t>
      </w:r>
    </w:p>
    <w:p w14:paraId="54B10A6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nedenle iletişim bu çalışmanın hem nicel bir ölçüm alanı hem nitel bir deneyim alanıdır. Nicel sonuçlar eşleşen katılımcıların puan değişimini, nitel sonuçlar dört görüşmecinin anlatımlarını göstermektedir. Bulgular birlikte yorumlanırken veri türlerinin bu sınırları korunmuştur.</w:t>
      </w:r>
    </w:p>
    <w:p w14:paraId="26E96FB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iletişim becerileri, bireyin bilişsel, duyuşsal ve sosyal gelişimini bütüncül biçimde destekleyen temel bir öğrenme alanıdır. Bu beceri, öğrenme süreçlerinde etkileşimi, anlam üretimini ve iş birliğini mümkün kılarak eğitimin niteliğini doğrudan etkilemektedir. Özellikle problem çözme ve iş birliğine dayalı öğrenme süreçlerinde iletişim, bireylerin düşüncelerini ifade edebilmeleri, farklı bakış açılarını değerlendirebilmeleri ve ortak çözümler geliştirebilmeleri açısından kritik bir rol oynamaktadır. Bu bağlamda iletişim, öğretmen adaylarının hem öğrencilerle etkili etkileşim kurabilmeleri hem de sınıf içi öğrenme süreçlerini yönetebilmeleri açısından temel bir mesleki yeterlik olarak değerlendirilmektedir.</w:t>
      </w:r>
    </w:p>
    <w:p w14:paraId="64703000" w14:textId="77777777" w:rsidR="001415B6" w:rsidRDefault="001415B6" w:rsidP="00EE3619">
      <w:bookmarkStart w:id="8016" w:name="Ortak40_8016"/>
      <w:bookmarkStart w:id="5016" w:name="Birlesik_5016"/>
      <w:pPr>
        <w:pStyle w:val="Balk2"/>
        <w:keepNext/>
        <w:widowControl/>
      </w:pPr>
      <w:bookmarkStart w:id="16" w:name="_Toc236354022"/>
      <w:r w:rsidRPr="00E0281C">
        <w:t>2.4 Proje Tabanlı Öğrenme Yaklaşımı</w:t>
      </w:r>
      <w:bookmarkEnd w:id="16"/>
      <w:bookmarkEnd w:id="5016"/>
      <w:bookmarkEnd w:id="8016"/>
    </w:p>
    <w:p w14:paraId="0B307988" w14:textId="19E43325"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 (PTÖ), öğrencilerin gerçek yaşamla ilişkili bir problem ya da soru çerçevesinde araştırma yapmalarını, bilgi oluşturmalarını ve öğrenme süreci sonunda somut bir ürün ortaya koymalarını temel alan öğrenci merkezli bir öğrenme yaklaşımıdır (Thomas, 2000; Bell, 2010). Bu yaklaşımda öğrenciler öğrenme sürecinin aktif katılımcıları olarak bilgiye ulaşmakta, elde ettikleri bilgileri analiz etmekte, farklı kaynaklardan yararlanmakta ve problem durumuna yönelik çözüm önerileri geliştirmektedirler. Bu yönüyle proje tabanlı öğrenme, öğrencilerin bilgiyi yapılandırmalarını ve öğrenmelerini gerçek yaşam deneyimleriyle ilişkilendirmelerini destekleyen bir öğrenme yaklaşımı olarak değerlendirilmektedir (Kokotsaki, Menzies ve Wiggins, 2016).</w:t>
      </w:r>
    </w:p>
    <w:p w14:paraId="3686AC2F" w14:textId="628AD427"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Bu araştırmanın proje sürecinde öğretmen adayları doğal afetlerle ilişkili bir problem belirlemiş, bilgi araştırmış, çözüm ve materyal taslakları hazırlamış ve geri bildirimler doğrultusunda ürünlerini geliştirmiştir. Öğretim elemanının rehberliği, taslak sunumları ve son ürünlerin gözden geçirilmesi yöntem bölümünde haftalara göre açıklanmıştır. Burada öğretim yaklaşımının genel etkileriyle uygulamada gerçekleşen işlemler birbirinden ayrılarak ele alınmıştır.</w:t>
      </w:r>
    </w:p>
    <w:p w14:paraId="72B64850" w14:textId="02F9C17A"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PTÖ sürecinde öğrenciler araştırma, iletişim, iş birliği, eleştirel düşünme ve problem çözme gibi üst düzey becerileri öğrenme etkinlikleri içerisinde kullanmaktadırlar. Proje süresince bilgiye ulaşma, bilgiyi değerlendirme, farklı bakış açılarını karşılaştırma ve ortak karar alma gibi süreçleri deneyimleyen öğrenciler, öğrenme sürecinde aktif sorumluluk üstlenmektedirler. Bu nedenle PTÖ, yalnızca akademik bilgi edinimini değil, bilişsel, sosyal ve iletişim becerilerinin birlikte kullanılmasını gerektiren bütüncül bir öğrenme yaklaşımı olarak ele alınmaktadır (Thomas, 2000; Kokotsaki ve ark., 2016).</w:t>
      </w:r>
    </w:p>
    <w:p w14:paraId="5601086B" w14:textId="77777777"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açısından değerlendirildiğinde PTÖ, bilimsel süreç becerilerinin öğretim sürecine dâhil edilmesine olanak sağlamaktadır. Proje süreci; gözlem yapma, problem durumunu tanımlama, hipotez oluşturma, veri toplama, verileri analiz etme ve ulaşılan bulguları tartışma gibi bilimsel araştırma basamaklarını içermektedir. Bu süreçte öğrenciler, bilimsel süreç becerilerini uygulama fırsatı bulmaktadırlar (Krajcik &amp; Blumenfeld, 2006).</w:t>
      </w:r>
    </w:p>
    <w:p w14:paraId="37244BA6" w14:textId="4280089D"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eğitiminde ele alınan problemlerin önemli bir bölümü açık uçlu ve gerçek yaşamla ilişkilidir. Bu nedenle PTÖ ortamlarında öğrenciler tek bir doğru cevaba ulaşmaktan çok farklı çözüm yollarını değerlendirmekte, kanıta dayalı gerekçeler geliştirmekte ve çözüm önerilerini akranlarıyla tartışmaktadırlar. Bu süreçte iletişim, iş birliği ve bilimsel tartışma öğrenme etkinliklerinin önemli bir parçasını oluşturmakta; öğrenciler problemi tanımlama, çözüm yolları geliştirme, karar verme ve ulaştıkları sonuçları değerlendirme süreçlerini deneyimlemektedirler.</w:t>
      </w:r>
    </w:p>
    <w:p w14:paraId="193600AC" w14:textId="44D737B8"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doğrultuda PTÖ, öğrencilerin yalnızca bilimsel ya da teknik bir probleme yönelik değil, günlük yaşamla ilişkili problem durumlarına yönelik de çözüm önerileri geliştirmelerine olanak sağlamaktadır. Bu süreçte yürütülen projeler, öğrencilerin öğrendikleri bilgileri günlük yaşamla ilişkilendirmelerine ve bu bilgileri farklı problem durumlarında kullanmalarına fırsat sunmaktadır. Fen öğretiminde kavramların günlük yaşamla ilişkilendirilmesi ise öğrenmenin anlamlı ve kalıcı olmasını destekleyen unsurlar arasında gösterilmektedir (Krajcik &amp; Shin, 2014).</w:t>
      </w:r>
    </w:p>
    <w:p w14:paraId="393AFEE9" w14:textId="47C49349" w:rsid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kapsamda gerçekleştirilen araştırmalar, proje tabanlı öğrenmenin yalnızca akademik başarı üzerinde değil; iletişim, iş birliği, eleştirel düşünme ve özgüven gibi beceriler üzerinde de olumlu etkiler oluşturduğunu ortaya koymaktadır (Holm, 2011; Kokotsaki, Menzies ve Wiggins, 2016). Proje sürecinde öğrenciler farklı görüşleri değerlendirme, sorumluluk paylaşma, ortak karar alma ve eleştirel düşünme gibi deneyimler kazanmaktadırlar. Araştırma bulguları, PTÖ'nün öğrencilerin bilişsel, sosyal ve duyuşsal gelişimlerine olumlu katkılar sağlayabildiğini göstermektedir.</w:t>
      </w:r>
    </w:p>
    <w:p w14:paraId="008C7BC0" w14:textId="77777777" w:rsid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Türkiye'de proje tabanlı öğrenme yaklaşımı, özellikle 2000'li yıllardan itibaren yapılandırmacı eğitim anlayışının benimsenmesiyle birlikte öğretim programlarında daha fazla yer almaya başlamıştır. Millî Eğitim Bakanlığı (MEB, 2018) tarafından yayımlanan Fen Bilimleri Dersi Öğretim Programı'nda öğrencilerin araştırma yapma, problem çözme, karar verme ve iletişim becerilerini kullanabilecekleri öğrenme yaşantılarının oluşturulması vurgulanmaktadır. Bu doğrultuda proje temelli uygulamalar, öğrencilerin bilgiyi yalnızca edinmelerine değil, aynı zamanda kullanmalarına ve günlük yaşamla ilişkilendirmelerine olanak sağlayan öğrenme süreçlerinden biri olarak değerlendirilmektedir. Bu yönüyle proje tabanlı öğrenme, fen öğretim programında öne çıkan becerilerin desteklenmesinde kullanılabilecek yaklaşımlar arasında yer almaktadır.</w:t>
      </w:r>
    </w:p>
    <w:p w14:paraId="1180396B" w14:textId="56BBDFFB"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Ürün geliştirmeye dayalı farklı bir uygulama örneğinde Çokyaşar Özdemir (2023), fen bilgisi öğretmen adaylarının bilim tarihi temelli dijital hikâye hazırlama sürecine ilişkin görüşlerini incelemiştir. Katılımcılar öğretici yönlerin yanında hazırlama, dijitalleştirme ve zaman kullanımıyla ilgili güçlükler de bildirmiştir. Bu çalışma proje tabanlı öğrenmeyle aynı uygulama değildir; ancak üretim süreçlerinin değerlendirilmesinde kazanımlar kadar uygulama güçlüklerinin de ele alınabileceğini göstermesi bakımından karşılaştırma olanağı sunmaktadır.</w:t>
      </w:r>
    </w:p>
    <w:p w14:paraId="14D63E6A" w14:textId="10E987FA"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MEB'in (2024) Türkiye Yüzyılı Maarif Modeli'nde de beceri temelli öğrenme anlayışı ön plana çıkarılmaktadır. Modelde öğrencilerin bilgiyi edinmelerinin yanı sıra anlamlandırmaları, günlük yaşamla ilişkilendirmeleri ve farklı durumlarda kullanabilmeleri hedeflenmektedir. Bu yönüyle modelde vurgulanan öğrenme anlayışı ile proje tabanlı öğrenmenin temel özellikleri arasında benzerlikler bulunmaktadır.</w:t>
      </w:r>
    </w:p>
    <w:p w14:paraId="7E3372C2" w14:textId="0BFA0048"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bağlamında değerlendirildiğinde proje tabanlı öğrenme, öğrencilerin bilimsel bilgiyi araştırma, sorgulama ve problem çözme süreçleri içerisinde kullanmalarına olanak sağlamaktadır. Proje sürecinde öğrenciler, farklı bilgi kaynaklarından yararlanmakta, iş birliği içerisinde çalışmakta ve ulaştıkları sonuçları paylaşmaktadırlar. Bu özellikleriyle proje tabanlı öğrenme, fen öğretiminde öne çıkan becerilerin öğrenme süreci içerisinde kullanılmasına uygun bir öğrenme ortamı sunmaktadır.</w:t>
      </w:r>
    </w:p>
    <w:p w14:paraId="54B8D2D7" w14:textId="530BEFC3"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Bu araştırmada öğretmen adayları projeleri öğrenen olarak deneyimlemiş, hazırladıkları taslak ve ürünleri sınıfta paylaşmıştır. Bir öğretim yaklaşımını deneyimlemek ile o yaklaşımı gelecekte kendi öğrencilerine etkili biçimde uygulayabilmek aynı sonuç değildir. Bu nedenle araştırmada öğretim yeterliğinde veya mesleki performansta artış, ayrıca ölçülmüş bir kazanım olarak sunulmamıştır.</w:t>
      </w:r>
    </w:p>
    <w:p w14:paraId="713FE415" w14:textId="517D6802"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Sonuç olarak proje tabanlı öğrenme, öğrencilerin öğrenme sürecine aktif katılımını temel alan ve gerçek yaşamla ilişkili problem durumlarını öğrenme sürecine taşıyan öğrenci merkezli bir öğrenme yaklaşımıdır. Araştırma, problem çözme, iletişim ve iş birliği gibi becerilerin öğrenme etkinlikleri içerisinde birlikte kullanılmasına olanak sağlaması nedeniyle fen eğitimi açısından işlevsel bir yaklaşım olarak değerlendirilmektedir. Ayrıca öğretmen adaylarının öğrenme ortamlarını planlama, uygulama ve değerlendirme süreçlerine ilişkin deneyim kazanmalarını desteklemesi bakımından öğretmen yetiştirme sürecinde de önemli yaklaşımlardan biri olarak görülmektedir.</w:t>
      </w:r>
    </w:p>
    <w:p w14:paraId="50D8C2DB" w14:textId="77777777" w:rsidR="001415B6" w:rsidRPr="00E0281C" w:rsidRDefault="001415B6" w:rsidP="00EE3619">
      <w:bookmarkStart w:id="8017" w:name="Ortak40_8017"/>
      <w:bookmarkStart w:id="5017" w:name="Birlesik_5017"/>
      <w:pPr>
        <w:pStyle w:val="Balk2"/>
        <w:keepNext/>
        <w:widowControl/>
      </w:pPr>
      <w:bookmarkStart w:id="17" w:name="_Toc236354023"/>
      <w:r w:rsidRPr="00E0281C">
        <w:t>2.5 Afet Eğitimi ve Afet Bilinci</w:t>
      </w:r>
      <w:bookmarkEnd w:id="17"/>
      <w:bookmarkEnd w:id="5017"/>
      <w:bookmarkEnd w:id="8017"/>
    </w:p>
    <w:p w14:paraId="26B83B4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bireylerin doğal ya da insan kaynaklı afetler karşısında bilinçli, hazırlıklı ve sorumlu davranışlar geliştirmelerini amaçlayan çok boyutlu bir öğrenme sürecidir. Bu eğitim yalnızca afet anında doğru davranışı öğretmekle sınırlı değildir; afet öncesinde risklerin fark edilmesi, afet sırasında güvenli davranışların sergilenmesi ve afet sonrasında toplumsal dayanışmanın sürdürülmesi gibi aşamaları da kapsar (UNDRR, 2015). Afet bilinci ise, bireylerin afetlere ilişkin farkındalık, tutum ve davranışlarının bütüncül biçimde gelişmesini ifade etmektedir. Bu yönüyle afet eğitimi, bilişsel bilgi aktarımının ötesinde, duyuşsal farkındalık ve davranışa dönük becerilerin birlikte gelişimini içeren bütüncül bir öğrenme alanı olarak değerlendirilmektedir.</w:t>
      </w:r>
    </w:p>
    <w:p w14:paraId="5D710008"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Bu çalışmanın doğal afetler teması, proje kapsamında bilgi araştırma ve çözüm geliştirme etkinlikleriyle sınırlandırılmıştır. Tahliye tatbikatı, ilk yardım yeterliği veya gerçek bir afet durumundaki karar verme başarısı ölçülmemiştir. Bu etkinlik alanlarına ilişkin sonuçlar, mevcut problem çözme ve iletişim verilerinden türetilmemelidir.</w:t>
      </w:r>
    </w:p>
    <w:p w14:paraId="64A997B4" w14:textId="77777777" w:rsidR="00B04103" w:rsidRDefault="00B04103" w:rsidP="00B04103">
      <w:pPr>
        <w:widowControl/>
        <w:spacing w:line="360" w:lineRule="auto"/>
        <w:jc w:val="both"/>
        <w:rPr>
          <w:rFonts w:ascii="Times New Roman" w:hAnsi="Times New Roman" w:cs="Times New Roman"/>
          <w:bCs/>
          <w:sz w:val="24"/>
          <w:szCs w:val="24"/>
        </w:rPr>
      </w:pPr>
      <w:r w:rsidRPr="00B04103">
        <w:rPr>
          <w:rFonts w:ascii="Times New Roman" w:hAnsi="Times New Roman" w:cs="Times New Roman"/>
          <w:bCs/>
          <w:sz w:val="24"/>
          <w:szCs w:val="24"/>
        </w:rPr>
        <w:t>Yapılandırmacı öğrenme yaklaşımına göre bilgi, öğretmenden doğrudan aktarılan bir içerik değil, bireyin çevresiyle etkileşimi ve deneyimleri sonucunda yapılandırdığı bir süreçtir (Jonassen, 1999). Bu yaklaşımda öğrencinin öğrenme sürecine aktif katılımı, gerçek yaşam problemleri üzerinde düşünmesi ve önceki bilgi ile deneyimlerini yeni durumlarla ilişkilendirmesi önem taşımaktadır. Afetler gibi gerçek yaşamla doğrudan ilişkili konuların öğretiminde de öğrencilerin aktif katılımını temel alan öğrenme etkinliklerinin önemli olduğu belirtilmektedir (Kitagawa, 2021).</w:t>
      </w:r>
    </w:p>
    <w:p w14:paraId="52EC88B8" w14:textId="1D085B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Doğal afetlerin toplumsal yönü bu araştırmada, katılımcıların grup içinde bir probleme ilişkin düşüncelerini paylaşabilmesi bakımından ele alınmıştır. Ailelerin veya toplumun afet hazırlığına ilişkin veri toplanmadığından, grup deneyimlerinden toplumsal dayanıklılıkta artış sonucu çıkarılmamıştır.</w:t>
      </w:r>
    </w:p>
    <w:p w14:paraId="5745CD1D"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Fen öğretimiyle bağlantı, doğal afet konusundaki bilgilerin araştırılması ve bir proje çözümünde kullanılması üzerinden kurulmuştur. Projelerin hangi problemi ele aldığı ve çözümün nasıl geliştirildiği, katılımcıların süreç anlatılarıyla incelenmiştir. Bilimsel süreç becerileri için ayrıca bir performans ölçümü yapılmadığından bu alanda nesnel gelişim sonucu üretilmemiştir.</w:t>
      </w:r>
    </w:p>
    <w:p w14:paraId="2BDABC4F"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Öğretmen adaylarının mesleki hazırlığı bu çalışmada bağımsız bir ölçüm alanı olarak tanımlanmamıştır. Görüşmelerde öğretmenliğe hazırlıkla ilgili değerlendirme yer aldığında bu ifade katılımcının algısı olarak sunulmuştur. Bu sınır, doğal afet temasının eğitimsel önemini tartışırken ölçülmeyen mesleki kazanımları araştırma sonucu gibi göstermemek için korunmuştur.</w:t>
      </w:r>
    </w:p>
    <w:p w14:paraId="0176F653" w14:textId="77777777" w:rsidR="001415B6" w:rsidRPr="001415B6" w:rsidRDefault="001415B6" w:rsidP="00B0410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eğitimiyle ilgili uluslararası çalışmalar, öğrenmenin disiplinler arası yapısının önemine dikkat çekmektedir. UNESCO (2015) raporlarına göre afet bilincinin kalıcı hâle gelmesi, farklı ders içeriklerinin birbirini desteklemesiyle mümkündür. Bu nedenle birçok ülkede fen, coğrafya ve vatandaşlık dersleri afet eğitimiyle bütünleştirilmiştir. Japonya, Yeni Zelanda ve Güney Kore gibi ülkelerde okul müfredatına entegre edilen afet eğitim programlarının, öğrencilerde yüksek düzeyde farkındalık ve toplumsal dayanışma kültürünün gelişmesine katkı sağladığı görülmektedir (Shiwaku &amp; Shaw, 2016). Bu örnekler, afet eğitiminin yalnızca teorik bilgi aktarımından ibaret olmadığını, değerler eğitimiyle desteklenmesi gerektiğini göstermektedir.</w:t>
      </w:r>
    </w:p>
    <w:p w14:paraId="3393A0E4" w14:textId="75EE1B5C" w:rsidR="00E031D5" w:rsidRPr="00E031D5" w:rsidRDefault="001415B6" w:rsidP="00E031D5">
      <w:pPr>
        <w:widowControl/>
        <w:spacing w:line="360" w:lineRule="auto"/>
        <w:jc w:val="both"/>
        <w:rPr>
          <w:rFonts w:ascii="Times New Roman" w:hAnsi="Times New Roman" w:cs="Times New Roman"/>
          <w:bCs/>
          <w:sz w:val="24"/>
          <w:szCs w:val="24"/>
        </w:rPr>
      </w:pPr>
      <w:r>
        <w:rPr>
          <w:rFonts w:ascii="Times New Roman" w:hAnsi="Times New Roman"/>
          <w:sz w:val="24"/>
        </w:rPr>
        <w:t>Doğal afetler temasının bu araştırmadaki yeri, uygulama etkinlikleri ve kullanılan ölçme araçlarının kapsamı birlikte dikkate alınarak Tablo 2.1’de özetlenmiştir.</w:t>
      </w:r>
    </w:p>
    <w:p w14:paraId="0C37EA6B" w14:textId="77777777" w:rsidR="005B1F4B" w:rsidRDefault="002C5D9F" w:rsidP="005B1F4B">
      <w:bookmarkStart w:id="8018" w:name="Ortak40_8018"/>
      <w:bookmarkStart w:id="5018" w:name="Birlesik_5018"/>
      <w:pPr>
        <w:keepNext/>
        <w:keepLines/>
        <w:widowControl/>
        <w:spacing w:line="360" w:lineRule="auto"/>
        <w:jc w:val="both"/>
        <w:rPr>
          <w:rFonts w:ascii="Times New Roman" w:hAnsi="Times New Roman" w:cs="Times New Roman"/>
          <w:b/>
          <w:bCs/>
        </w:rPr>
      </w:pPr>
      <w:r>
        <w:rPr>
          <w:rFonts w:ascii="Times New Roman" w:hAnsi="Times New Roman"/>
          <w:sz w:val="24"/>
        </w:rPr>
        <w:t>Tablo 2.1 Doğal afetler temalı uygulamanın etkinlik ve ölçüm kapsamı</w:t>
      </w:r>
      <w:bookmarkEnd w:id="5018"/>
      <w:bookmarkEnd w:id="8018"/>
      <w:fldSimple w:instr="TC &quot;Tablo 2.1 Doğal afetler temalı uygulamanın etkinlik ve ölçüm kapsamı&quot; \f T \l 1"/>
    </w:p>
    <w:p w14:paraId="2A97DC58" w14:textId="428F3D85" w:rsidR="005B1F4B" w:rsidRPr="005B1F4B" w:rsidRDefault="005B1F4B" w:rsidP="005B1F4B">
      <w:pPr>
        <w:keepNext/>
        <w:spacing w:line="360" w:lineRule="auto"/>
        <w:jc w:val="both"/>
        <w:rPr>
          <w:rFonts w:ascii="Times New Roman" w:hAnsi="Times New Roman" w:cs="Times New Roman"/>
          <w:b/>
          <w:bCs/>
        </w:rPr>
      </w:pPr>
      <w:r>
        <w:rPr>
          <w:rFonts w:ascii="Times New Roman" w:hAnsi="Times New Roman" w:cs="Times New Roman"/>
          <w:b/>
          <w:bCs/>
        </w:rPr>
        <w:instrText xml:space="preserve"> </w:instrText>
      </w:r>
      <w:r>
        <w:rPr>
          <w:rFonts w:ascii="Times New Roman" w:hAnsi="Times New Roman" w:cs="Times New Roman"/>
          <w:b/>
          <w:bCs/>
        </w:rPr>
        <w:fldChar w:fldCharType="end"/>
      </w:r>
    </w:p>
    <w:tbl>
      <w:tblPr>
        <w:tblW w:w="9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5"/>
        <w:gridCol w:w="4642"/>
        <w:gridCol w:w="2917"/>
      </w:tblGrid>
      <w:tr w:rsidR="002C5D9F" w:rsidRPr="00A87642" w14:paraId="0AC8503F" w14:textId="77777777" w:rsidTr="008E6BB3">
        <w:trPr>
          <w:trHeight w:val="363"/>
          <w:tblHeader/>
          <w:tblCellSpacing w:w="15" w:type="dxa"/>
          <w:cantSplit/>
        </w:trPr>
        <w:tc>
          <w:tcPr>
            <w:tcW w:w="1455" w:type="dxa"/>
            <w:hideMark/>
          </w:tcPr>
          <w:p>
            <w:pPr>
              <w:keepNext/>
              <w:spacing w:line="252" w:lineRule="auto" w:after="60" w:before="40"/>
            </w:pPr>
            <w:r>
              <w:rPr>
                <w:rFonts w:ascii="Times New Roman" w:hAnsi="Times New Roman"/>
                <w:sz w:val="20"/>
              </w:rPr>
              <w:t>Boyut</w:t>
            </w:r>
          </w:p>
        </w:tc>
        <w:tc>
          <w:tcPr>
            <w:tcW w:w="4642" w:type="dxa"/>
            <w:hideMark/>
          </w:tcPr>
          <w:p>
            <w:pPr>
              <w:keepNext/>
              <w:spacing w:line="252" w:lineRule="auto" w:after="60" w:before="40"/>
            </w:pPr>
            <w:r>
              <w:rPr>
                <w:rFonts w:ascii="Times New Roman" w:hAnsi="Times New Roman"/>
                <w:sz w:val="20"/>
              </w:rPr>
              <w:t>Uygulamadaki karşılığı</w:t>
            </w:r>
          </w:p>
        </w:tc>
        <w:tc>
          <w:tcPr>
            <w:tcW w:w="2917" w:type="dxa"/>
            <w:hideMark/>
          </w:tcPr>
          <w:p>
            <w:pPr>
              <w:keepNext/>
              <w:spacing w:line="252" w:lineRule="auto" w:after="60" w:before="40"/>
            </w:pPr>
            <w:r>
              <w:rPr>
                <w:rFonts w:ascii="Times New Roman" w:hAnsi="Times New Roman"/>
                <w:sz w:val="20"/>
              </w:rPr>
              <w:t>Ölçme ve yorum kapsamı</w:t>
            </w:r>
          </w:p>
        </w:tc>
      </w:tr>
      <w:tr w:rsidR="002C5D9F" w:rsidRPr="00A87642" w14:paraId="778E92B9" w14:textId="77777777" w:rsidTr="008E6BB3">
        <w:trPr>
          <w:trHeight w:val="951"/>
          <w:tblCellSpacing w:w="15" w:type="dxa"/>
          <w:cantSplit/>
        </w:trPr>
        <w:tc>
          <w:tcPr>
            <w:tcW w:w="1455" w:type="dxa"/>
            <w:hideMark/>
          </w:tcPr>
          <w:p>
            <w:pPr>
              <w:keepNext/>
              <w:spacing w:line="252" w:lineRule="auto" w:after="60" w:before="40"/>
            </w:pPr>
            <w:r>
              <w:rPr>
                <w:rFonts w:ascii="Times New Roman" w:hAnsi="Times New Roman"/>
                <w:sz w:val="20"/>
              </w:rPr>
              <w:t>Bilgi araştırma</w:t>
            </w:r>
          </w:p>
        </w:tc>
        <w:tc>
          <w:tcPr>
            <w:tcW w:w="4642" w:type="dxa"/>
            <w:hideMark/>
          </w:tcPr>
          <w:p>
            <w:pPr>
              <w:keepNext/>
              <w:spacing w:line="252" w:lineRule="auto" w:after="60" w:before="40"/>
            </w:pPr>
            <w:r>
              <w:rPr>
                <w:rFonts w:ascii="Times New Roman" w:hAnsi="Times New Roman"/>
                <w:sz w:val="20"/>
              </w:rPr>
              <w:t>Doğal afet konusuna ilişkin bilgi toplama ve projede kullanma</w:t>
            </w:r>
          </w:p>
        </w:tc>
        <w:tc>
          <w:tcPr>
            <w:tcW w:w="2917" w:type="dxa"/>
            <w:hideMark/>
          </w:tcPr>
          <w:p>
            <w:pPr>
              <w:keepNext/>
              <w:spacing w:line="252" w:lineRule="auto" w:after="60" w:before="40"/>
            </w:pPr>
            <w:r>
              <w:rPr>
                <w:rFonts w:ascii="Times New Roman" w:hAnsi="Times New Roman"/>
                <w:sz w:val="20"/>
              </w:rPr>
              <w:t>Ayrı bilgi testi yoktur; öğrenmeye ilişkin görüşler alınmıştır.</w:t>
            </w:r>
          </w:p>
        </w:tc>
      </w:tr>
      <w:tr w:rsidR="002C5D9F" w:rsidRPr="00A87642" w14:paraId="467BB55B" w14:textId="77777777" w:rsidTr="008E6BB3">
        <w:trPr>
          <w:tblCellSpacing w:w="15" w:type="dxa"/>
          <w:cantSplit/>
        </w:trPr>
        <w:tc>
          <w:tcPr>
            <w:tcW w:w="1455" w:type="dxa"/>
            <w:hideMark/>
          </w:tcPr>
          <w:p>
            <w:pPr>
              <w:keepNext/>
              <w:spacing w:line="252" w:lineRule="auto" w:after="60" w:before="40"/>
            </w:pPr>
            <w:r>
              <w:rPr>
                <w:rFonts w:ascii="Times New Roman" w:hAnsi="Times New Roman"/>
                <w:sz w:val="20"/>
              </w:rPr>
              <w:t>Problem çözme</w:t>
            </w:r>
          </w:p>
        </w:tc>
        <w:tc>
          <w:tcPr>
            <w:tcW w:w="4642" w:type="dxa"/>
            <w:hideMark/>
          </w:tcPr>
          <w:p>
            <w:pPr>
              <w:keepNext/>
              <w:spacing w:line="252" w:lineRule="auto" w:after="60" w:before="40"/>
            </w:pPr>
            <w:r>
              <w:rPr>
                <w:rFonts w:ascii="Times New Roman" w:hAnsi="Times New Roman"/>
                <w:sz w:val="20"/>
              </w:rPr>
              <w:t>Problem seçimi, çözüm seçenekleri ve tasarım güçlükleri</w:t>
            </w:r>
          </w:p>
        </w:tc>
        <w:tc>
          <w:tcPr>
            <w:tcW w:w="2917" w:type="dxa"/>
            <w:hideMark/>
          </w:tcPr>
          <w:p>
            <w:pPr>
              <w:keepNext/>
              <w:spacing w:line="252" w:lineRule="auto" w:after="60" w:before="40"/>
            </w:pPr>
            <w:r>
              <w:rPr>
                <w:rFonts w:ascii="Times New Roman" w:hAnsi="Times New Roman"/>
                <w:sz w:val="20"/>
              </w:rPr>
              <w:t>PÇBÖ öz değerlendirmeleri ve görüşmeler.</w:t>
            </w:r>
          </w:p>
        </w:tc>
      </w:tr>
      <w:tr w:rsidR="002C5D9F" w:rsidRPr="00A87642" w14:paraId="256A40A2" w14:textId="77777777" w:rsidTr="008E6BB3">
        <w:trPr>
          <w:trHeight w:val="841"/>
          <w:tblCellSpacing w:w="15" w:type="dxa"/>
          <w:cantSplit/>
        </w:trPr>
        <w:tc>
          <w:tcPr>
            <w:tcW w:w="1455" w:type="dxa"/>
            <w:hideMark/>
          </w:tcPr>
          <w:p>
            <w:pPr>
              <w:keepNext/>
              <w:spacing w:line="252" w:lineRule="auto" w:after="60" w:before="40"/>
            </w:pPr>
            <w:r>
              <w:rPr>
                <w:rFonts w:ascii="Times New Roman" w:hAnsi="Times New Roman"/>
                <w:sz w:val="20"/>
              </w:rPr>
              <w:t>İletişim</w:t>
            </w:r>
          </w:p>
        </w:tc>
        <w:tc>
          <w:tcPr>
            <w:tcW w:w="4642" w:type="dxa"/>
            <w:hideMark/>
          </w:tcPr>
          <w:p>
            <w:pPr>
              <w:keepNext/>
              <w:spacing w:line="252" w:lineRule="auto" w:after="60" w:before="40"/>
            </w:pPr>
            <w:r>
              <w:rPr>
                <w:rFonts w:ascii="Times New Roman" w:hAnsi="Times New Roman"/>
                <w:sz w:val="20"/>
              </w:rPr>
              <w:t>Grup içi görüş paylaşımı ve ortak karar</w:t>
            </w:r>
          </w:p>
        </w:tc>
        <w:tc>
          <w:tcPr>
            <w:tcW w:w="2917" w:type="dxa"/>
            <w:hideMark/>
          </w:tcPr>
          <w:p>
            <w:pPr>
              <w:keepNext/>
              <w:spacing w:line="252" w:lineRule="auto" w:after="60" w:before="40"/>
            </w:pPr>
            <w:r>
              <w:rPr>
                <w:rFonts w:ascii="Times New Roman" w:hAnsi="Times New Roman"/>
                <w:sz w:val="20"/>
              </w:rPr>
              <w:t>İletişim ölçeği ve görüşmeler.</w:t>
            </w:r>
          </w:p>
        </w:tc>
      </w:tr>
      <w:tr w:rsidR="002C5D9F" w:rsidRPr="00A87642" w14:paraId="168CAA86" w14:textId="77777777" w:rsidTr="008E6BB3">
        <w:trPr>
          <w:trHeight w:val="857"/>
          <w:tblCellSpacing w:w="15" w:type="dxa"/>
          <w:cantSplit/>
        </w:trPr>
        <w:tc>
          <w:tcPr>
            <w:tcW w:w="1455" w:type="dxa"/>
            <w:hideMark/>
          </w:tcPr>
          <w:p>
            <w:pPr>
              <w:keepNext w:val="0"/>
              <w:spacing w:line="252" w:lineRule="auto" w:after="60" w:before="40"/>
            </w:pPr>
            <w:r>
              <w:rPr>
                <w:rFonts w:ascii="Times New Roman" w:hAnsi="Times New Roman"/>
                <w:sz w:val="20"/>
              </w:rPr>
              <w:t>Süreç yönetimi</w:t>
            </w:r>
          </w:p>
        </w:tc>
        <w:tc>
          <w:tcPr>
            <w:tcW w:w="4642" w:type="dxa"/>
            <w:hideMark/>
          </w:tcPr>
          <w:p>
            <w:pPr>
              <w:keepNext w:val="0"/>
              <w:spacing w:line="252" w:lineRule="auto" w:after="60" w:before="40"/>
            </w:pPr>
            <w:r>
              <w:rPr>
                <w:rFonts w:ascii="Times New Roman" w:hAnsi="Times New Roman"/>
                <w:sz w:val="20"/>
              </w:rPr>
              <w:t>Malzeme, bütçe, zaman ve rehberlik gereksinimleri</w:t>
            </w:r>
          </w:p>
        </w:tc>
        <w:tc>
          <w:tcPr>
            <w:tcW w:w="2917" w:type="dxa"/>
            <w:hideMark/>
          </w:tcPr>
          <w:p>
            <w:pPr>
              <w:keepNext w:val="0"/>
              <w:spacing w:line="252" w:lineRule="auto" w:after="60" w:before="40"/>
            </w:pPr>
            <w:r>
              <w:rPr>
                <w:rFonts w:ascii="Times New Roman" w:hAnsi="Times New Roman"/>
                <w:sz w:val="20"/>
              </w:rPr>
              <w:t>Görüşmelerde süreç güçlükleri ve öneriler.</w:t>
            </w:r>
          </w:p>
        </w:tc>
      </w:tr>
    </w:tbl>
    <w:p w14:paraId="1FED82AE" w14:textId="253391B2" w:rsidR="001415B6" w:rsidRPr="002C5D9F" w:rsidRDefault="002C5D9F" w:rsidP="002C5D9F">
      <w:pPr>
        <w:widowControl/>
        <w:spacing w:line="360" w:lineRule="auto"/>
        <w:jc w:val="both"/>
        <w:rPr>
          <w:rFonts w:ascii="Times New Roman" w:hAnsi="Times New Roman" w:cs="Times New Roman"/>
        </w:rPr>
      </w:pPr>
      <w:r>
        <w:rPr>
          <w:rFonts w:ascii="Times New Roman" w:hAnsi="Times New Roman"/>
          <w:sz w:val="24"/>
        </w:rPr>
        <w:t>Not. Araştırmanın uygulama akışı ve veri toplama araçları esas alınarak araştırmacı tarafından oluşturulmuştur. Tablo, bir afet yeterlik modeli veya ölçülmüş kazanım listesi değildir.</w:t>
      </w:r>
    </w:p>
    <w:p w14:paraId="75BB203B"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Bu araştırmada afet teması, öğretmen adaylarının doğal olayları bir proje problemiyle ilişkilendirdikleri ders bağlamını oluşturmaktadır. Afet farkındalığına veya afete hazırlık davranışına ilişkin ayrı bir ölçüm yapılmamıştır. Araştırmanın bu alanlara ilişkin katkısı, öğretim uygulamalarına yönelik sorular ve öneriler geliştirmekle sınırlıdır.</w:t>
      </w:r>
    </w:p>
    <w:p w14:paraId="26D05B2A"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afet eğitimi ve bilincini yalnızca güvenlik odaklı bir konu olarak değil, değer temelli bir öğrenme alanı olarak ele almaktadır (MEB, 2024). Bu yaklaşım, öğrencilerin doğa olaylarını anlamlandırmalarının ötesinde; çevreyle uyum içinde yaşama, kaynakları bilinçli kullanma ve toplumsal dayanışma bilinci geliştirmelerini amaçlamaktadır. Bu yönüyle afet bilinci, yalnızca bireysel korunma davranışlarıyla sınırlı olmayıp; sorumluluk, yardımlaşma ve toplumsal duyarlılık gibi değerlerle birlikte ele alınmaktadır.</w:t>
      </w:r>
    </w:p>
    <w:p w14:paraId="22462B1C"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 fen bilgisi öğretmen adaylarının mesleğin toplumsal ve etik yönlerini güçlendirmesine katkı sağlamaktadır. Adaylardan beklenen yalnızca afetlere ilişkin bilgi vermek değil, öğrencilerde bilinçli davranış geliştirmeyi destekleyen öğrenme ortamları oluşturmaktır. Bu süreçte proje tabanlı öğrenme, problem çözme ve iletişim becerileri, afet eğitiminin etkili biçimde yapılandırılmasında temel bileşenler olarak değerlendirilebilir. Öğretmen adaylarının afet eğitimi kapsamında geliştirecekleri etkinlikler, öğrencilere yalnızca teorik bilgi kazandırmakla kalmayıp, yaşam boyu sürdürülebilir bir bilinç oluşturma potansiyeline sahiptir.</w:t>
      </w:r>
    </w:p>
    <w:p w14:paraId="78F08445"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afet eğitimi ve afet bilinci, yalnızca belirli içeriklerin öğretildiği bir konu alanı değil; bireylerin bilimsel düşünme, problem çözme ve bilinçli karar verme becerilerini geliştiren bütüncül bir öğrenme alanı olarak değerlendirilmektedir. Fen eğitimi bağlamında ele alındığında, afetler öğrencilerin doğa olaylarını anlamlandırmalarını, neden-sonuç ilişkileri kurmalarını ve bilimsel süreç becerilerini gerçek yaşam durumlarıyla ilişkilendirmelerini sağlayan güçlü bir öğrenme ortamı sunmaktadır. Bu süreçte iletişim ve iş birliği, öğrencilerin düşüncelerini ifade etmeleri, farklı bakış açılarını değerlendirmeleri ve ortak çözüm yolları geliştirmeleri açısından önemli bir rol oynamaktadır.</w:t>
      </w:r>
    </w:p>
    <w:p w14:paraId="3E0F46A0"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ise afet eğitimi, yalnızca bilgi aktarımını değil; aynı zamanda öğrenme süreçlerini planlama, yönlendirme ve öğrencilerde farkındalık oluşturma becerilerini içeren çok boyutlu bir mesleki yeterlik alanı olarak öne çıkmaktadır. Proje tabanlı öğrenme gibi öğrenci merkezli yaklaşımlar, afet eğitiminin gerçek yaşamla bütünleşmesini destekleyerek hem bilişsel hem de sosyal-duyuşsal becerilerin gelişimine katkı sağlamaktadır.</w:t>
      </w:r>
    </w:p>
    <w:p w14:paraId="6B152FD4" w14:textId="77777777" w:rsid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güncel öğretim yaklaşımları ve eğitim politikaları, afet bilincini bireysel güvenliğin ötesine taşıyarak toplumsal sorumluluk, dayanışma ve sürdürülebilir yaşam anlayışıyla ilişkilendirmektedir. Sonuç olarak afet eğitimi; fen eğitimi, problem çözme ve iletişim becerileriyle bütünleştiğinde, öğretmen adaylarının hem bireysel hem toplumsal düzeyde etkili öğrenme ortamları tasarlamalarına olanak tanıyan kapsamlı ve işlevsel bir eğitim alanı olarak değerlendirilmektedir.</w:t>
      </w:r>
    </w:p>
    <w:p w14:paraId="20AEE038" w14:textId="77777777" w:rsidR="008C4226" w:rsidRDefault="008C4226" w:rsidP="00EE3619">
      <w:bookmarkStart w:id="8019" w:name="Ortak40_8019"/>
      <w:bookmarkStart w:id="5019" w:name="Birlesik_5019"/>
      <w:pPr>
        <w:pStyle w:val="Balk2"/>
        <w:keepNext/>
        <w:widowControl/>
      </w:pPr>
      <w:bookmarkStart w:id="18" w:name="_Toc236354024"/>
      <w:r w:rsidRPr="003E6584">
        <w:t>2.6. Konuya İlişkin Yapılmış Çalışmalar</w:t>
      </w:r>
      <w:bookmarkEnd w:id="18"/>
      <w:bookmarkEnd w:id="5019"/>
      <w:bookmarkEnd w:id="8019"/>
    </w:p>
    <w:p w14:paraId="6FDC98A3" w14:textId="77777777" w:rsidR="008C4226" w:rsidRDefault="008C4226" w:rsidP="008C4226">
      <w:pPr>
        <w:widowControl/>
        <w:spacing w:line="360" w:lineRule="auto"/>
        <w:jc w:val="both"/>
        <w:rPr>
          <w:rFonts w:ascii="Times New Roman" w:hAnsi="Times New Roman" w:cs="Times New Roman"/>
        </w:rPr>
      </w:pPr>
      <w:r>
        <w:rPr>
          <w:rFonts w:ascii="Times New Roman" w:hAnsi="Times New Roman"/>
          <w:sz w:val="24"/>
        </w:rPr>
        <w:t>Bu bölümde proje tabanlı öğrenme, afet eğitimi ve iletişim ölçümüyle ilişkili çalışmalara yer verilmiştir. Araştırmaların uygulama, örneklem ve ölçüm alanları bakımından mevcut çalışmayla ortak ve farklı yönleri ele alınmıştır. Bu karşılaştırma, bütün alan yazını kapsayan sistematik bir tarama veya benzer çalışmaların bulunmadığına ilişkin bir kanıt olarak sunulmamıştır.</w:t>
      </w:r>
    </w:p>
    <w:p w14:paraId="7CD88C50" w14:textId="77777777" w:rsidR="008C4226" w:rsidRDefault="008C4226" w:rsidP="008C4226">
      <w:pPr>
        <w:widowControl/>
        <w:spacing w:line="360" w:lineRule="auto"/>
        <w:jc w:val="both"/>
        <w:rPr>
          <w:rFonts w:ascii="Times New Roman" w:hAnsi="Times New Roman" w:cs="Times New Roman"/>
          <w:b/>
          <w:bCs/>
        </w:rPr>
      </w:pPr>
      <w:r w:rsidRPr="00864B1D">
        <w:rPr>
          <w:rFonts w:ascii="Times New Roman" w:hAnsi="Times New Roman" w:cs="Times New Roman"/>
          <w:b/>
          <w:bCs/>
        </w:rPr>
        <w:t>Ulusal Çalışmalar</w:t>
      </w:r>
    </w:p>
    <w:p w14:paraId="1A8BD6D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Ulusal çalışmalar ele alınırken proje tabanlı öğrenmeye, afet eğitimine ve öğretmen adaylarının farklı öğrenme deneyimlerine odaklanan araştırmalar birbirinden ayrılmıştır. Farklı bir konu veya öğretim yaklaşımında elde edilen sonuçlar, mevcut doğal afetler uygulamasının problem çözme ve iletişim sonuçlarını doğrudan doğrulayan kanıtlar olarak kullanılmamıştır.</w:t>
      </w:r>
    </w:p>
    <w:p w14:paraId="01BEDB98"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Çokyaşar Özdemir (2023), Yer Bilimi dersinde bilim tarihi temelli dijital hikâye uygulamalarının fen bilgisi öğretmen adayları açısından etkililiğini ve uygulama deneyimlerini incelemiştir. Çalışmada ürün hazırlama sürecine ilişkin öğretici deneyimlerle birlikte hazırlık, teknik uygulama ve zaman güçlükleri bildirilmiştir. Ders bağlamı ve katılımcı grubu mevcut araştırmayla karşılaştırmaya uygundur; buna karşılık kullanılan öğretim yaklaşımı ve ölçülen sonuçlar farklıdır. Bu nedenle çalışma problem çözme veya iletişim puanları için eşdeğer bir müdahale kanıtı olarak değerlendirilmemiştir.</w:t>
      </w:r>
    </w:p>
    <w:p w14:paraId="11FAFAA3"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Benzer (2010), </w:t>
      </w:r>
      <w:r w:rsidRPr="00864B1D">
        <w:rPr>
          <w:rFonts w:ascii="Times New Roman" w:hAnsi="Times New Roman" w:cs="Times New Roman"/>
          <w:i/>
          <w:iCs/>
        </w:rPr>
        <w:t>Proje Tabanlı Öğrenme Yaklaşımıyla Hazırlanan Çevre Eğitimi Dersinin Fen Bilgisi Öğretmen Adaylarının Çevre Okuryazarlığına Etkisi</w:t>
      </w:r>
      <w:r w:rsidRPr="00864B1D">
        <w:rPr>
          <w:rFonts w:ascii="Times New Roman" w:hAnsi="Times New Roman" w:cs="Times New Roman"/>
        </w:rPr>
        <w:t xml:space="preserve"> başlıklı doktora tezinde, proje tabanlı öğrenmeye dayalı çevre eğitiminin fen bilgisi öğretmen adaylarının çevre okuryazarlıkları üzerindeki etkisini araştırmıştır. Çalışmada çevre okuryazarlığı; farkındalık, bilgi, tutum, duyarlılık, problem çözme ve davranış boyutlarıyla ele alınmıştır. Araştırmada fen bilgisi öğretmen adaylarıyla çevre sorunlarına ilişkin kapsamlı projeler yürütülmüş ve proje tabanlı öğrenmenin çevre okuryazarlığının farklı boyutları üzerindeki etkisi incelenmiştir. Bu tez, gerçek yaşamla ilişkili çevresel problemlerin proje sürecine taşınması ve öğretmen adaylarının problem çözme becerilerinin değerlendirilmesi bakımından mevcut araştırmaya yakın bir çalışma niteliğindedir. </w:t>
      </w:r>
    </w:p>
    <w:p w14:paraId="6A9C869C"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Nacaroğlu (2015), </w:t>
      </w:r>
      <w:r w:rsidRPr="00864B1D">
        <w:rPr>
          <w:rFonts w:ascii="Times New Roman" w:hAnsi="Times New Roman" w:cs="Times New Roman"/>
          <w:i/>
          <w:iCs/>
        </w:rPr>
        <w:t>Proje Tabanlı Öğrenmenin Fen Bilgisi Öğretmen Adaylarının Fotosentez Konusundaki Akademik Başarısına Etkisi</w:t>
      </w:r>
      <w:r w:rsidRPr="00864B1D">
        <w:rPr>
          <w:rFonts w:ascii="Times New Roman" w:hAnsi="Times New Roman" w:cs="Times New Roman"/>
        </w:rPr>
        <w:t xml:space="preserve"> başlıklı yüksek lisans tezinde, proje tabanlı öğrenme ile geleneksel öğretim yönteminin fen bilgisi öğretmen adaylarının fotosentez konusundaki akademik başarıları üzerindeki etkisini karşılaştırmıştır. Araştırma, proje tabanlı öğrenmenin fen bilgisi öğretmen adaylarının ders içeriğini anlamaları ve öğrenme sürecine etkin biçimde katılmaları üzerindeki etkisine odaklanmıştır. Çalışmanın sonuçları daha sonra yayımlanan makalede de proje tabanlı öğrenmenin fen bilgisi öğretmen adaylarının akademik başarıları açısından değerlendirildiğini göstermektedir. Bu tez, doğrudan problem çözme veya iletişim becerilerini incelememekle birlikte proje tabanlı öğrenmenin fen bilgisi öğretmen adayları üzerindeki uygulanabilirliğini ortaya koyması bakımından mevcut araştırmayla ilişkilidir. </w:t>
      </w:r>
    </w:p>
    <w:p w14:paraId="11E4FB9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Korkut Owen ve Bugay (2014), üniversite öğrencilerine yönelik İletişim Becerileri Ölçeği’nin geliştirme çalışmasında 25 maddeli dört faktörlü bir yapı raporlamıştır. Araştırma, mevcut çalışmada kullanılan iletişim ölçümünün kapsamına ve kaynaklandırılmasına dayanak oluşturmaktadır. Bir ölçek geliştirme çalışması olması nedeniyle proje tabanlı öğrenmenin iletişim üzerindeki etkisini sınayan bir araştırma olarak ele alınmamıştır.</w:t>
      </w:r>
    </w:p>
    <w:p w14:paraId="1895BA49"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Çalışkan (2019), </w:t>
      </w:r>
      <w:r w:rsidRPr="00864B1D">
        <w:rPr>
          <w:rFonts w:ascii="Times New Roman" w:hAnsi="Times New Roman" w:cs="Times New Roman"/>
          <w:i/>
          <w:iCs/>
        </w:rPr>
        <w:t>Afet Risk Azaltımı Eğitimi ve Yönetimi Açısından İlkokul ve Ortaokul Öğretim Programlarının Değerlendirilmesi</w:t>
      </w:r>
      <w:r w:rsidRPr="00864B1D">
        <w:rPr>
          <w:rFonts w:ascii="Times New Roman" w:hAnsi="Times New Roman" w:cs="Times New Roman"/>
        </w:rPr>
        <w:t xml:space="preserve"> başlıklı yüksek lisans tezinde, ilkokul ve ortaokul öğretim programlarını afet risk azaltımı eğitimi açısından değerlendirmiştir. Çalışmada öğretim programlarında afetlere, afet öncesi hazırlığa ve risk azaltmaya ilişkin içeriklerin hangi düzeyde yer aldığı incelenmiştir. Araştırma, afet eğitiminin farklı ders ve öğretim programları içerisinde bütüncül bir yaklaşımla ele alınması gerektiğini göstermesi açısından önemlidir. Bununla birlikte çalışma, öğretim programlarının incelenmesine dayandığından öğretmen adaylarının beceri gelişimini doğrudan değerlendirmemiştir. </w:t>
      </w:r>
    </w:p>
    <w:p w14:paraId="43184CD9"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Piyadeoğlu Kaya (2019), </w:t>
      </w:r>
      <w:r w:rsidRPr="00864B1D">
        <w:rPr>
          <w:rFonts w:ascii="Times New Roman" w:hAnsi="Times New Roman" w:cs="Times New Roman"/>
          <w:i/>
          <w:iCs/>
        </w:rPr>
        <w:t>Ortaokul Öğrencilerine Verilen Afet Bilinci Eğitiminin Öğrencilerin Bilgi Düzeyleri Üzerine Etkisi: Gümüşhane Örneği</w:t>
      </w:r>
      <w:r w:rsidRPr="00864B1D">
        <w:rPr>
          <w:rFonts w:ascii="Times New Roman" w:hAnsi="Times New Roman" w:cs="Times New Roman"/>
        </w:rPr>
        <w:t xml:space="preserve"> başlıklı yüksek lisans tezinde, verilen afet bilinci eğitiminin ortaokul öğrencilerinin afetlere ilişkin bilgi düzeyleri üzerindeki etkisini incelemiştir. Araştırmanın temel bulguları, planlı bir afet eğitiminin öğrencilerin afet bilgileri üzerinde etkili olabildiğini göstermektedir. Bu çalışma, afet eğitimine dayalı bir uygulamanın öncesi ve sonrasındaki değişimin değerlendirilmesi bakımından mevcut araştırmayla benzerlik göstermektedir. Ancak çalışmada problem çözme ve iletişim becerileri yerine öğrencilerin afet bilgi düzeyleri üzerinde durulmuştur. </w:t>
      </w:r>
    </w:p>
    <w:p w14:paraId="164901DE" w14:textId="77777777" w:rsidR="008C4226"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Sözcü (2019), </w:t>
      </w:r>
      <w:r w:rsidRPr="00864B1D">
        <w:rPr>
          <w:rFonts w:ascii="Times New Roman" w:hAnsi="Times New Roman" w:cs="Times New Roman"/>
          <w:i/>
          <w:iCs/>
        </w:rPr>
        <w:t>Öğretmen Adaylarının Doğal Afet Okuryazarlık Düzeylerinin Belirlenmesi</w:t>
      </w:r>
      <w:r w:rsidRPr="00864B1D">
        <w:rPr>
          <w:rFonts w:ascii="Times New Roman" w:hAnsi="Times New Roman" w:cs="Times New Roman"/>
        </w:rPr>
        <w:t xml:space="preserve"> başlıklı doktora tezinde sosyal bilgiler, fen bilgisi ve sınıf öğretmenliği programlarının son sınıflarında öğrenim gören öğretmen adaylarının doğal afet okuryazarlık düzeylerini incelemiştir. Araştırmada öğretmen adaylarının doğal afetlere ilişkin bilgi ve davranışlarının orta düzeyde, duyuşsal eğilimlerinin ise görece daha yüksek düzeyde olduğu belirlenmiştir. Ayrıca doğal afetlerle ilgili ders alma, afet yaşama, afet faaliyetlerine katılma ve acil toplanma yerini bilme gibi deneyimlere sahip öğretmen adaylarının doğal afet okuryazarlık düzeylerinin daha yüksek olduğu sonucuna ulaşılmıştır. Bu sonuçlar, öğretmen adaylarının afetlerle ilgili yalnızca kuramsal bilgi edinmelerinin yeterli olmayabileceğini ve uygulamalı öğrenme yaşantılarının önem taşıdığını göstermektedir. </w:t>
      </w:r>
    </w:p>
    <w:p w14:paraId="09D95DB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Bu araştırmalar farklı değişken ve bağlamlara ilişkin bilgi sağlamaktadır. Mevcut çalışmada ise doğal afetler teması içinde problem çözme ve iletişim puanları ile dört öğretmen adayının süreç deneyimleri birlikte incelenmiştir. Araştırmalar arasındaki benzerlikler yorumlama için kullanılmış, farklı örneklemler ve farklı ölçme araçlarından elde edilen sonuçlar birbirinin yerine geçirilmemiştir.</w:t>
      </w:r>
    </w:p>
    <w:p w14:paraId="72EE0F6C" w14:textId="77777777" w:rsidR="008C4226" w:rsidRDefault="008C4226" w:rsidP="008C4226">
      <w:pPr>
        <w:widowControl/>
        <w:spacing w:line="360" w:lineRule="auto"/>
        <w:jc w:val="both"/>
        <w:rPr>
          <w:rFonts w:ascii="Times New Roman" w:hAnsi="Times New Roman" w:cs="Times New Roman"/>
          <w:b/>
          <w:bCs/>
        </w:rPr>
      </w:pPr>
      <w:r w:rsidRPr="00864B1D">
        <w:rPr>
          <w:rFonts w:ascii="Times New Roman" w:hAnsi="Times New Roman" w:cs="Times New Roman"/>
          <w:b/>
          <w:bCs/>
        </w:rPr>
        <w:t>Uluslararası Çalışmalar</w:t>
      </w:r>
    </w:p>
    <w:p w14:paraId="31D2946D"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Uluslararası çalışmalar kapsamında proje tabanlı öğrenmeye ilişkin derlemeler ile afet eğitimine ilişkin araştırmalar ayrı olarak ele alınmıştır. Bu çalışmalar araştırmanın bağlamını tartışmak için kullanılmış; öğretim yaklaşımının her örneklemde aynı sonucu doğuracağı varsayılmamıştır.</w:t>
      </w:r>
    </w:p>
    <w:p w14:paraId="7694EC8A"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Thomas (2000), proje tabanlı öğrenmeye ilişkin kapsamlı derleme çalışmasında bu yaklaşımın öğrencilerin gerçek yaşam problemleri üzerinde çalışmasını sağlayarak öğrenme sürecine aktif katılımı desteklediğini belirtmiştir. Araştırmada proje tabanlı öğrenmenin problem çözme, eleştirel düşünme, iş birliği ve iletişim becerilerinin geliştirilmesine katkı sağlayan öğrenci merkezli bir öğrenme yaklaşımı olduğu vurgulanmıştır.</w:t>
      </w:r>
    </w:p>
    <w:p w14:paraId="4A436D42"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Bell (2010), proje tabanlı öğrenmenin 21. yüzyıl becerilerinin geliştirilmesindeki rolünü incelemiş ve bu yaklaşımın öğrencilerin araştırma yapma, iş birliği kurma, problem çözme ve etkili iletişim becerilerini desteklediğini ifade etmiştir. Ayrıca proje sürecinde öğrencilerin gerçek yaşam problemleri üzerinde çalışmasının öğrenmeyi daha kalıcı hâle getirdiği belirtilmiştir.</w:t>
      </w:r>
    </w:p>
    <w:p w14:paraId="17C35206"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Kokotsaki, Menzies ve Wiggins (2016) tarafından gerçekleştirilen sistematik derleme çalışmasında proje tabanlı öğrenmenin öğrencilerin akademik başarılarının yanı sıra iletişim, iş birliği, öz düzenleme ve problem çözme becerilerinin gelişimine olumlu katkılar sağladığı belirtilmiştir. Bununla birlikte etkili sonuçlar elde edilebilmesi için öğretmen rehberliğinin ve iyi planlanmış proje süreçlerinin önem taşıdığı vurgulanmıştır.</w:t>
      </w:r>
    </w:p>
    <w:p w14:paraId="3B2E69E0"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Seyihoğlu ve arkadaşları (2021) tarafından geliştirilen Disiplinlerarası Afet Eğitimi Programı (Interdisciplinary Disaster Education Program-IDEP) kapsamında öğretmenlerin doğal afet okuryazarlıklarının geliştirilmesi amaçlanmıştır. Araştırma sonucunda disiplinlerarası ve öğrenci merkezli öğretim etkinliklerinin öğretmenlerin afet okuryazarlığını geliştirdiği ve afet eğitimine ilişkin olumlu görüşler oluşturduğu belirlenmiştir. </w:t>
      </w:r>
    </w:p>
    <w:p w14:paraId="7EA08AF7"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Kitagawa (2021), afet eğitiminin yalnızca afetlere ilişkin bilgi kazandırmayı amaçlamadığını; aynı zamanda riskleri değerlendirme, hazırlıklı olma ve toplumsal dayanıklılığı geliştirme süreçlerini de kapsadığını ifade etmiştir. Araştırmada afet eğitiminin öğrenci merkezli, katılımcı ve gerçek yaşamla ilişkili öğrenme ortamlarında yürütülmesinin önemine dikkat çekilmiştir.</w:t>
      </w:r>
    </w:p>
    <w:p w14:paraId="208EC882" w14:textId="546508A7" w:rsidR="008C4226" w:rsidRPr="008C4226" w:rsidRDefault="008C4226" w:rsidP="008C4226">
      <w:pPr>
        <w:widowControl/>
        <w:spacing w:line="360" w:lineRule="auto"/>
        <w:jc w:val="both"/>
        <w:rPr>
          <w:rFonts w:ascii="Times New Roman" w:hAnsi="Times New Roman" w:cs="Times New Roman"/>
        </w:rPr>
      </w:pPr>
      <w:r>
        <w:rPr>
          <w:rFonts w:ascii="Times New Roman" w:hAnsi="Times New Roman"/>
          <w:sz w:val="24"/>
        </w:rPr>
        <w:t>İncelenen uluslararası çalışmalar proje tabanlı öğrenme ve afet eğitimi için farklı tartışma alanları sunmaktadır. Mevcut araştırmanın bu alanlarla bağlantısı, doğal afetler temalı bir öğretim uygulamasında problem çözme ve iletişim öz değerlendirmeleri ile katılımcı deneyimlerini birlikte incelemesidir. Sonuçların yönü ve kapsamı, araştırmanın kendi verileri ve sınırlılıkları üzerinden değerlendirilmiştir.</w:t>
      </w:r>
    </w:p>
    <w:p w14:paraId="26D8D1B3" w14:textId="3CE977A8" w:rsidR="001415B6" w:rsidRPr="008C4226" w:rsidRDefault="001A19D3" w:rsidP="00EE3619">
      <w:bookmarkStart w:id="8020" w:name="Ortak40_8020"/>
      <w:bookmarkStart w:id="5020" w:name="Birlesik_5020"/>
      <w:pPr>
        <w:pStyle w:val="Balk1"/>
        <w:keepNext/>
        <w:pageBreakBefore/>
        <w:widowControl/>
      </w:pPr>
      <w:bookmarkStart w:id="19" w:name="_Toc236354025"/>
      <w:r>
        <w:t>3</w:t>
      </w:r>
      <w:r w:rsidR="001415B6" w:rsidRPr="008C4226">
        <w:t>.</w:t>
      </w:r>
      <w:r w:rsidR="005510FA">
        <w:t xml:space="preserve"> BÖLÜM:</w:t>
      </w:r>
      <w:r w:rsidR="001415B6" w:rsidRPr="008C4226">
        <w:t xml:space="preserve"> YÖNTEM</w:t>
      </w:r>
      <w:bookmarkEnd w:id="19"/>
      <w:bookmarkEnd w:id="5020"/>
      <w:bookmarkEnd w:id="8020"/>
    </w:p>
    <w:p w14:paraId="66F19944" w14:textId="6AB40582"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araştırmanın deseni, çalışma grubu, veri toplama araçları, uygulama süreci ve verilerin analizine ilişkin bilgiler ayrıntılı olarak sunulmuştur.</w:t>
      </w:r>
    </w:p>
    <w:p w14:paraId="5D91AC5A" w14:textId="77777777" w:rsidR="001415B6" w:rsidRPr="001415B6" w:rsidRDefault="001415B6" w:rsidP="001415B6">
      <w:pPr>
        <w:spacing w:after="0" w:line="360" w:lineRule="auto"/>
        <w:jc w:val="both"/>
        <w:rPr>
          <w:rFonts w:ascii="Times New Roman" w:hAnsi="Times New Roman" w:cs="Times New Roman"/>
          <w:bCs/>
          <w:sz w:val="24"/>
          <w:szCs w:val="24"/>
        </w:rPr>
      </w:pPr>
    </w:p>
    <w:p w14:paraId="388DF30E" w14:textId="2D7FB60A" w:rsidR="001415B6" w:rsidRPr="008C4226" w:rsidRDefault="001A19D3" w:rsidP="00EE3619">
      <w:bookmarkStart w:id="8021" w:name="Ortak40_8021"/>
      <w:bookmarkStart w:id="5021" w:name="Birlesik_5021"/>
      <w:pPr>
        <w:pStyle w:val="Balk2"/>
        <w:keepNext/>
        <w:widowControl/>
      </w:pPr>
      <w:bookmarkStart w:id="20" w:name="_Toc236354026"/>
      <w:r>
        <w:t>3</w:t>
      </w:r>
      <w:r w:rsidR="001415B6" w:rsidRPr="008C4226">
        <w:t xml:space="preserve">.1 </w:t>
      </w:r>
      <w:r w:rsidR="00C16765" w:rsidRPr="00C16765">
        <w:t>Araştırma Modeli</w:t>
      </w:r>
      <w:bookmarkEnd w:id="20"/>
      <w:bookmarkEnd w:id="5021"/>
      <w:bookmarkEnd w:id="8021"/>
    </w:p>
    <w:p w14:paraId="21C9464D" w14:textId="77777777" w:rsidR="008C4226" w:rsidRPr="008C4226" w:rsidRDefault="008C4226" w:rsidP="008C4226">
      <w:pPr>
        <w:widowControl/>
        <w:jc w:val="both"/>
        <w:rPr>
          <w:rFonts w:ascii="Times New Roman" w:hAnsi="Times New Roman" w:cs="Times New Roman"/>
          <w:sz w:val="24"/>
          <w:szCs w:val="24"/>
        </w:rPr>
      </w:pPr>
      <w:r>
        <w:rPr>
          <w:rFonts w:ascii="Times New Roman" w:hAnsi="Times New Roman"/>
          <w:sz w:val="24"/>
        </w:rPr>
        <w:t>Bu araştırmada nicel aşamayı nitel aşamanın izlediği karma yöntem yaklaşımı kullanılmıştır. Problem çözme ve iletişime ilişkin ön test–son test sonuçları ile uygulama sonrasında gerçekleştirilen görüşmeler birlikte değerlendirilmiştir. Veri toplama sırası ve iki veri türünün birlikte yorumlanması aşağıda açıklanmıştır.</w:t>
      </w:r>
    </w:p>
    <w:p w14:paraId="419ABD48" w14:textId="77777777" w:rsidR="008C4226" w:rsidRPr="008C4226" w:rsidRDefault="008C4226" w:rsidP="008C4226">
      <w:pPr>
        <w:widowControl/>
        <w:jc w:val="both"/>
        <w:rPr>
          <w:rFonts w:ascii="Times New Roman" w:hAnsi="Times New Roman" w:cs="Times New Roman"/>
          <w:sz w:val="24"/>
          <w:szCs w:val="24"/>
        </w:rPr>
      </w:pPr>
      <w:r>
        <w:rPr>
          <w:rFonts w:ascii="Times New Roman" w:hAnsi="Times New Roman"/>
          <w:sz w:val="24"/>
        </w:rPr>
        <w:t>Nicel aşamada ön test ve son test verileri elde edilerek analiz edilmiştir. Araştırmacı nicel analiz sonuçlarını gördükten sonra, çalışma tamamlandığında dört öğretmen adayıyla görüşmeler gerçekleştirilmiştir. Görüşmeciler puan düzeylerine göre tabakalandırılmamış, rastgele seçilmiştir. Nitel veriler katılımcıların deneyimlerini ayrıntılandırmak ve nicel sonuçlarla birlikte yorumlamak amacıyla kullanılmıştır.</w:t>
      </w:r>
    </w:p>
    <w:p w14:paraId="263483FD"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Araştırmanın nicel boyutu kontrol grubu bulunmayan tek grup ön test–son test deseniyle yürütülmüştür. Sekiz haftalık ders akışının ikinci haftasında ön testler, sekizinci haftasında son testler uygulanmıştır. Bu yapı, eşleşen katılımcıların ölçümleri arasındaki değişimi incelemeye olanak vermekte; gözlenen değişimi yalnızca proje tabanlı öğrenmeye bağlamaya olanak vermemektedir.</w:t>
      </w:r>
    </w:p>
    <w:p w14:paraId="47B85847"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Nitel boyutta, çalışma sonrasında gerçekleştirilen yarı yapılandırılmış görüşmeler aracılığıyla dört katılımcının problem çözme, grup içi iletişim, öğrenme ve uygulama koşullarına ilişkin deneyimleri incelenmiştir. Katılımcıların bildirdiği katkılar, nesnel performans ölçümlerinden ve nicel ölçeklerdeki anlamlı değişimden ayrı değerlendirilmiştir.</w:t>
      </w:r>
    </w:p>
    <w:p w14:paraId="061F6DB2" w14:textId="77777777" w:rsid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Nicel ve nitel bulgular, ortak konu alanları üzerinden birlikte yorumlanmıştır. Problem çözmede yön bakımından örtüşen değerlendirmeler, iletişimde ise olumlu süreç anlatıları ile anlamlı olmayan ölçek değişimi birlikte korunmuştur. Birlikte değerlendirme, nitel verileri nicel sonuçları değiştirmek için kullanmak yerine veri türlerinin kapsamını ve ayrıştıkları noktaları açıklamak üzere yapılmıştır.</w:t>
      </w:r>
    </w:p>
    <w:p w14:paraId="1EDAD0BD" w14:textId="77777777" w:rsidR="00822D07" w:rsidRPr="003141E3" w:rsidRDefault="00822D07" w:rsidP="00822D07">
      <w:pPr>
        <w:keepNext/>
        <w:keepLines/>
        <w:spacing w:line="240" w:lineRule="auto" w:before="100" w:after="100"/>
        <w:ind w:firstLine="0" w:left="0" w:right="0"/>
        <w:jc w:val="center"/>
        <w:rPr>
          <w:rFonts w:ascii="Times New Roman" w:hAnsi="Times New Roman" w:cs="Times New Roman"/>
        </w:rPr>
      </w:pPr>
      <w:r w:rsidRPr="0046472F">
        <w:rPr>
          <w:rFonts w:ascii="Times New Roman" w:hAnsi="Times New Roman" w:cs="Times New Roman"/>
          <w:noProof/>
        </w:rPr>
        <w:drawing>
          <wp:inline distT="0" distB="0" distL="0" distR="0" wp14:anchorId="5D77DA1A" wp14:editId="59F6F2DB">
            <wp:extent cx="5580000" cy="5504594"/>
            <wp:effectExtent l="0" t="0" r="0" b="3810"/>
            <wp:docPr id="2" name="TezGors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stretch>
                      <a:fillRect/>
                    </a:stretch>
                  </pic:blipFill>
                  <pic:spPr>
                    <a:xfrm>
                      <a:off x="0" y="0"/>
                      <a:ext cx="5580000" cy="5504594"/>
                    </a:xfrm>
                    <a:prstGeom prst="rect">
                      <a:avLst/>
                    </a:prstGeom>
                  </pic:spPr>
                </pic:pic>
              </a:graphicData>
            </a:graphic>
          </wp:inline>
        </w:drawing>
      </w:r>
    </w:p>
    <w:p w14:paraId="4B869B61" w14:textId="4CF7AA0C" w:rsidR="00822D07" w:rsidRPr="0046472F" w:rsidRDefault="00822D07" w:rsidP="00822D07">
      <w:bookmarkStart w:id="8022" w:name="Ortak40_8022"/>
      <w:bookmarkStart w:id="5022" w:name="Birlesik_5022"/>
      <w:pPr>
        <w:keepNext/>
        <w:keepLines/>
        <w:widowControl/>
        <w:jc w:val="both"/>
        <w:rPr>
          <w:rFonts w:ascii="Times New Roman" w:hAnsi="Times New Roman" w:cs="Times New Roman"/>
        </w:rPr>
      </w:pPr>
      <w:r>
        <w:rPr>
          <w:rFonts w:ascii="Times New Roman" w:hAnsi="Times New Roman"/>
          <w:sz w:val="24"/>
        </w:rPr>
        <w:t>Şekil 3.1. Araştırmanın veri toplama, analiz ve birlikte değerlendirme akışı</w:t>
      </w:r>
      <w:bookmarkEnd w:id="5022"/>
      <w:bookmarkEnd w:id="8022"/>
      <w:fldSimple w:instr="TC &quot;Şekil 3.1. Araştırmanın veri toplama, analiz ve birlikte değerlendirme akışı&quot; \f F \l 1"/>
    </w:p>
    <w:p w14:paraId="0603C556" w14:textId="77777777" w:rsidR="00822D07" w:rsidRDefault="00822D07" w:rsidP="00822D07">
      <w:pPr>
        <w:keepNext w:val="0"/>
        <w:widowControl/>
        <w:jc w:val="both"/>
        <w:rPr>
          <w:rFonts w:ascii="Times New Roman" w:hAnsi="Times New Roman" w:cs="Times New Roman"/>
        </w:rPr>
      </w:pPr>
      <w:r>
        <w:rPr>
          <w:rFonts w:ascii="Times New Roman" w:hAnsi="Times New Roman"/>
          <w:sz w:val="24"/>
        </w:rPr>
        <w:t>Not. Araştırmanın gerçekleşen işlem sırası esas alınarak araştırmacı tarafından oluşturulmuştur. Oklar işlem sırasını göstermekte, nedensellik ifade etmemektedir.</w:t>
      </w:r>
    </w:p>
    <w:p w14:paraId="59B639B3" w14:textId="77777777" w:rsidR="00822D07" w:rsidRDefault="00822D07" w:rsidP="00822D07">
      <w:pPr>
        <w:jc w:val="both"/>
        <w:rPr>
          <w:rFonts w:ascii="Times New Roman" w:hAnsi="Times New Roman" w:cs="Times New Roman"/>
        </w:rPr>
      </w:pPr>
    </w:p>
    <w:p w14:paraId="24B4A3E6" w14:textId="50F9747D" w:rsidR="00822D07" w:rsidRDefault="00822D07" w:rsidP="00822D07">
      <w:pPr>
        <w:keepNext/>
        <w:keepLines/>
        <w:widowControl/>
        <w:jc w:val="both"/>
        <w:rPr>
          <w:rFonts w:ascii="Times New Roman" w:hAnsi="Times New Roman" w:cs="Times New Roman"/>
        </w:rPr>
      </w:pPr>
      <w:r>
        <w:rPr>
          <w:rFonts w:ascii="Times New Roman" w:hAnsi="Times New Roman"/>
          <w:sz w:val="24"/>
        </w:rPr>
        <w:t>Şekil 3.1’de nicel ölçümlerin ders akışı içindeki zamanlaması, nicel analizden sonra gerçekleştirilen dört görüşme ve iki veri türünün birlikte değerlendirilmesi gösterilmiştir. Görüşmelerin sırası, görüşme sorularının nicel sonuçlardan türetildiği veya katılımcıların puanlarına göre seçildiği anlamına gelmemektedir.</w:t>
      </w:r>
    </w:p>
    <w:p w14:paraId="7041BD04" w14:textId="77777777" w:rsidR="00C16765" w:rsidRPr="00822D07" w:rsidRDefault="00C16765" w:rsidP="00822D07">
      <w:pPr>
        <w:jc w:val="both"/>
        <w:rPr>
          <w:rFonts w:ascii="Times New Roman" w:hAnsi="Times New Roman" w:cs="Times New Roman"/>
        </w:rPr>
      </w:pPr>
    </w:p>
    <w:p w14:paraId="6547A732" w14:textId="77777777" w:rsidR="00C16765" w:rsidRDefault="001A19D3" w:rsidP="00EE3619">
      <w:bookmarkStart w:id="8023" w:name="Ortak40_8023"/>
      <w:bookmarkStart w:id="5023" w:name="Birlesik_5023"/>
      <w:pPr>
        <w:pStyle w:val="Balk2"/>
        <w:keepNext/>
        <w:widowControl/>
      </w:pPr>
      <w:bookmarkStart w:id="21" w:name="_Toc236354027"/>
      <w:r>
        <w:t>3</w:t>
      </w:r>
      <w:r w:rsidR="001415B6" w:rsidRPr="00822D07">
        <w:t xml:space="preserve">.2 </w:t>
      </w:r>
      <w:r w:rsidR="00C16765" w:rsidRPr="00C16765">
        <w:t>Evren ve Örneklem/Çalışma Grubu</w:t>
      </w:r>
      <w:bookmarkEnd w:id="21"/>
      <w:bookmarkEnd w:id="5023"/>
      <w:bookmarkEnd w:id="8023"/>
    </w:p>
    <w:p w14:paraId="57D27361" w14:textId="1E0FF571" w:rsidR="00D74D36" w:rsidRPr="003141E3" w:rsidRDefault="00D74D36" w:rsidP="00C16765">
      <w:pPr>
        <w:widowControl/>
        <w:spacing w:after="0" w:line="360" w:lineRule="auto"/>
        <w:jc w:val="both"/>
        <w:rPr>
          <w:rFonts w:ascii="Times New Roman" w:hAnsi="Times New Roman" w:cs="Times New Roman"/>
        </w:rPr>
      </w:pPr>
      <w:r>
        <w:rPr>
          <w:rFonts w:ascii="Times New Roman" w:hAnsi="Times New Roman"/>
          <w:sz w:val="24"/>
        </w:rPr>
        <w:t>Araştırmanın çalışma grubu, bir devlet üniversitesinin Eğitim Fakültesi Fen Bilgisi Öğretmenliği programında ikinci sınıfta öğrenim gören ve PÇBÖ ile İBDÖ’nün ön test ve son test ölçümlerinin tamamında kullanılabilir verisi bulunan aynı 40 öğretmen adayından oluşmaktadır. Uygulama, Yer Bilimi dersinin yürütüldüğü kolay ulaşılabilir sınıf ortamında gerçekleştirilmiştir (Büyüköztürk vd., 2018). Nicel çalışma grubunun belirlenmesinde dört ölçümde ortak ve eksiksiz kayıt bulunması ölçütü uygulanmıştır. Her ölçek için farklı katılımcı kümeleri kullanılmamıştır.</w:t>
      </w:r>
    </w:p>
    <w:p w14:paraId="3FA1322B" w14:textId="77777777" w:rsidR="00D74D36" w:rsidRPr="003141E3" w:rsidRDefault="00D74D36" w:rsidP="00D74D36">
      <w:pPr>
        <w:widowControl/>
        <w:jc w:val="both"/>
        <w:rPr>
          <w:rFonts w:ascii="Times New Roman" w:hAnsi="Times New Roman" w:cs="Times New Roman"/>
        </w:rPr>
      </w:pPr>
      <w:r>
        <w:rPr>
          <w:rFonts w:ascii="Times New Roman" w:hAnsi="Times New Roman"/>
          <w:sz w:val="24"/>
        </w:rPr>
        <w:t>Çalışma grubunun temel özellikleri Tablo 3.1’de sunulmuştur.</w:t>
      </w:r>
    </w:p>
    <w:p w14:paraId="260E84F9" w14:textId="1A9313DE" w:rsidR="00D74D36" w:rsidRPr="003141E3" w:rsidRDefault="00D74D36" w:rsidP="00D74D36">
      <w:bookmarkStart w:id="8024" w:name="Ortak40_8024"/>
      <w:pPr>
        <w:keepNext/>
        <w:keepLines/>
        <w:widowControl/>
        <w:jc w:val="both"/>
        <w:rPr>
          <w:rFonts w:ascii="Times New Roman" w:hAnsi="Times New Roman" w:cs="Times New Roman"/>
          <w:b/>
          <w:bCs/>
        </w:rPr>
      </w:pPr>
      <w:r>
        <w:rPr>
          <w:rFonts w:ascii="Times New Roman" w:hAnsi="Times New Roman"/>
          <w:sz w:val="24"/>
        </w:rPr>
        <w:t>Tablo 3.1 Çalışma Grubunun Temel Özellikleri</w:t>
      </w:r>
      <w:bookmarkEnd w:id="8024"/>
      <w:fldSimple w:instr="TC &quot;Tablo 3.1 Çalışma Grubunun Temel Özellikleri&quot; \f T \l 1"/>
    </w:p>
    <w:tbl>
      <w:tblPr>
        <w:tblW w:w="6371" w:type="dxa"/>
        <w:tblCellMar>
          <w:left w:w="0" w:type="dxa"/>
          <w:right w:w="0" w:type="dxa"/>
        </w:tblCellMar>
        <w:tblLook w:val="04A0" w:firstRow="1" w:lastRow="0" w:firstColumn="1" w:lastColumn="0" w:noHBand="0" w:noVBand="1"/>
      </w:tblPr>
      <w:tblGrid>
        <w:gridCol w:w="1835"/>
        <w:gridCol w:w="2977"/>
        <w:gridCol w:w="850"/>
        <w:gridCol w:w="709"/>
      </w:tblGrid>
      <w:tr w:rsidR="00D74D36" w:rsidRPr="003141E3" w14:paraId="0DE854C1" w14:textId="77777777" w:rsidTr="008E6BB3">
        <w:trPr>
          <w:trHeight w:val="315"/>
          <w:cantSplit/>
          <w:tblHeader/>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Değişken</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Kategori</w:t>
            </w: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f</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spacing w:line="252" w:lineRule="auto" w:after="60"/>
            </w:pPr>
            <w:r>
              <w:rPr>
                <w:rFonts w:ascii="Times New Roman" w:hAnsi="Times New Roman"/>
                <w:sz w:val="20"/>
              </w:rPr>
              <w:t>%</w:t>
            </w:r>
          </w:p>
        </w:tc>
      </w:tr>
      <w:tr w:rsidR="00D74D36" w:rsidRPr="003141E3" w14:paraId="77BA32A8" w14:textId="77777777" w:rsidTr="008E6BB3">
        <w:trPr>
          <w:trHeight w:val="315"/>
          <w:cantSplit/>
        </w:trPr>
        <w:tc>
          <w:tcPr>
            <w:tcW w:w="1835"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Sınıf Düzeyi</w:t>
            </w:r>
          </w:p>
        </w:tc>
        <w:tc>
          <w:tcPr>
            <w:tcW w:w="2977"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2. sınıf</w:t>
            </w:r>
          </w:p>
        </w:tc>
        <w:tc>
          <w:tcPr>
            <w:tcW w:w="850"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40</w:t>
            </w:r>
          </w:p>
        </w:tc>
        <w:tc>
          <w:tcPr>
            <w:tcW w:w="709"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100</w:t>
            </w:r>
          </w:p>
        </w:tc>
      </w:tr>
      <w:tr w:rsidR="00D74D36" w:rsidRPr="003141E3" w14:paraId="1AAB722C" w14:textId="77777777" w:rsidTr="008E6BB3">
        <w:trPr>
          <w:trHeight w:val="315"/>
          <w:cantSplit/>
        </w:trPr>
        <w:tc>
          <w:tcPr>
            <w:tcW w:w="1835"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Cinsiyet</w:t>
            </w: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Kadın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33</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82.5</w:t>
            </w:r>
          </w:p>
        </w:tc>
      </w:tr>
      <w:tr w:rsidR="00D74D36" w:rsidRPr="003141E3" w14:paraId="6F89508F" w14:textId="77777777" w:rsidTr="008E6BB3">
        <w:trPr>
          <w:trHeight w:val="315"/>
          <w:cantSplit/>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Erkek</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7</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17.5</w:t>
            </w:r>
          </w:p>
        </w:tc>
      </w:tr>
      <w:tr w:rsidR="00D74D36" w:rsidRPr="003141E3" w14:paraId="53C7072B" w14:textId="77777777" w:rsidTr="008E6BB3">
        <w:trPr>
          <w:trHeight w:val="315"/>
          <w:cantSplit/>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Toplam</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spacing w:line="252" w:lineRule="auto" w:after="60"/>
            </w:pPr>
            <w:r>
              <w:rPr>
                <w:rFonts w:ascii="Times New Roman" w:hAnsi="Times New Roman"/>
                <w:sz w:val="20"/>
              </w:rPr>
              <w:t>40</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spacing w:line="252" w:lineRule="auto" w:after="60"/>
            </w:pPr>
            <w:r>
              <w:rPr>
                <w:rFonts w:ascii="Times New Roman" w:hAnsi="Times New Roman"/>
                <w:sz w:val="20"/>
              </w:rPr>
              <w:t>100</w:t>
            </w:r>
          </w:p>
        </w:tc>
      </w:tr>
    </w:tbl>
    <w:p w14:paraId="1E8F0B46" w14:textId="77777777" w:rsidR="00C16765" w:rsidRDefault="00C16765" w:rsidP="00D74D36">
      <w:pPr>
        <w:jc w:val="both"/>
        <w:rPr>
          <w:rFonts w:ascii="Times New Roman" w:hAnsi="Times New Roman" w:cs="Times New Roman"/>
        </w:rPr>
      </w:pPr>
    </w:p>
    <w:p w14:paraId="5BA0467E" w14:textId="24FD255C" w:rsidR="00822D07" w:rsidRDefault="00D74D36" w:rsidP="00D74D36">
      <w:pPr>
        <w:keepNext/>
        <w:keepLines/>
        <w:widowControl/>
        <w:jc w:val="both"/>
        <w:rPr>
          <w:rFonts w:ascii="Times New Roman" w:hAnsi="Times New Roman" w:cs="Times New Roman"/>
        </w:rPr>
      </w:pPr>
      <w:r>
        <w:t>Tablo 3.1’deki ortak çalışma grubu 33 kadın ve 7 erkek olmak üzere 40 ikinci sınıf öğretmen adayından oluşmaktadır. Cinsiyet bilgileri ölçek formlarında sorulmamış, araştırmacı tarafından katılımcı bilgileri üzerinden teyit edilmiştir. Her iki ölçeğin ön test ve son test ölçümlerinde aynı 40 kişi yer almaktadır.</w:t>
      </w:r>
    </w:p>
    <w:p w14:paraId="501A1666" w14:textId="38BC6204" w:rsidR="008A4054" w:rsidRPr="00D74D36" w:rsidRDefault="008A4054" w:rsidP="00D74D36">
      <w:pPr>
        <w:widowControl/>
        <w:jc w:val="both"/>
        <w:rPr>
          <w:rFonts w:ascii="Times New Roman" w:hAnsi="Times New Roman" w:cs="Times New Roman"/>
        </w:rPr>
      </w:pPr>
      <w:r>
        <w:rPr>
          <w:rFonts w:ascii="Times New Roman" w:hAnsi="Times New Roman"/>
          <w:sz w:val="24"/>
        </w:rPr>
        <w:t>Katılımcılar öğrenci numaraları üzerinden dört veri dosyası arasında eşleştirilmiş, ad kayıtlarının uyumu da kontrol edilmiştir. Herhangi bir ölçümde kullanılabilir kaydı bulunmayan kişiler ortak analiz grubuna alınmamıştır. Böylece PÇBÖ ön test, PÇBÖ son test, İBDÖ ön test ve İBDÖ son test analizlerinde aynı 40 kişi yer almıştır. Görüşmelerdeki dört katılımcı K1–K4 kodlarıyla gösterilmiştir.</w:t>
      </w:r>
    </w:p>
    <w:p w14:paraId="2FC3354F" w14:textId="02356250" w:rsidR="001415B6" w:rsidRPr="00822D07" w:rsidRDefault="001A19D3" w:rsidP="00EE3619">
      <w:bookmarkStart w:id="8025" w:name="Ortak40_8025"/>
      <w:bookmarkStart w:id="5025" w:name="Birlesik_5025"/>
      <w:pPr>
        <w:pStyle w:val="Balk2"/>
        <w:keepNext/>
        <w:widowControl/>
      </w:pPr>
      <w:bookmarkStart w:id="22" w:name="_Toc236354028"/>
      <w:r>
        <w:t>3</w:t>
      </w:r>
      <w:r w:rsidR="001415B6" w:rsidRPr="00822D07">
        <w:t>.3 Veri Toplama Araçları</w:t>
      </w:r>
      <w:bookmarkEnd w:id="22"/>
      <w:bookmarkEnd w:id="5025"/>
      <w:bookmarkEnd w:id="8025"/>
    </w:p>
    <w:p w14:paraId="439F8F56" w14:textId="39F274C6"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araştırmada, fen bilgisi öğretmen adaylarının proje tabanlı öğrenme süreci sonunda problem çözme ve iletişim becerilerinde meydana gelen değişimi belirlemek amacıyla nicel ve nitel veri toplama araçlarından yararlanılmıştır. </w:t>
      </w:r>
    </w:p>
    <w:p w14:paraId="5B4AA37E" w14:textId="313E0943" w:rsidR="001415B6" w:rsidRPr="00EE3619" w:rsidRDefault="001A19D3" w:rsidP="00EE3619">
      <w:bookmarkStart w:id="8026" w:name="Ortak40_8026"/>
      <w:bookmarkStart w:id="5026" w:name="Birlesik_5026"/>
      <w:pPr>
        <w:pStyle w:val="Balk3"/>
        <w:keepNext/>
        <w:widowControl/>
        <w:rPr>
          <w:bCs/>
        </w:rPr>
      </w:pPr>
      <w:bookmarkStart w:id="23" w:name="_Toc236354029"/>
      <w:r w:rsidRPr="00EE3619">
        <w:rPr>
          <w:bCs/>
        </w:rPr>
        <w:t>3</w:t>
      </w:r>
      <w:r w:rsidR="001415B6" w:rsidRPr="00EE3619">
        <w:rPr>
          <w:bCs/>
        </w:rPr>
        <w:t>.3.1 İletişim Becerileri Ölçeği (İBDÖ)</w:t>
      </w:r>
      <w:bookmarkEnd w:id="23"/>
      <w:bookmarkEnd w:id="5026"/>
      <w:bookmarkEnd w:id="8026"/>
    </w:p>
    <w:p w14:paraId="13A19AA8" w14:textId="77777777" w:rsidR="001A19D3" w:rsidRDefault="001A19D3" w:rsidP="001A19D3">
      <w:pPr>
        <w:widowControl/>
        <w:spacing w:line="360" w:lineRule="auto"/>
        <w:jc w:val="both"/>
        <w:rPr>
          <w:rFonts w:ascii="Times New Roman" w:hAnsi="Times New Roman" w:cs="Times New Roman"/>
          <w:bCs/>
          <w:sz w:val="24"/>
          <w:szCs w:val="24"/>
        </w:rPr>
      </w:pPr>
      <w:r>
        <w:rPr>
          <w:rFonts w:ascii="Times New Roman" w:hAnsi="Times New Roman"/>
          <w:sz w:val="24"/>
        </w:rPr>
        <w:t>Araştırmada Korkut Owen ve Bugay (2014) tarafından geliştirilen İletişim Becerileri Ölçeği kullanılmıştır. Kaynakta İBÖ olarak kısaltılan ölçek, mevcut analiz dosyalarıyla ilişkiyi korumak üzere bu tezde İBDÖ kısaltmasıyla gösterilmiştir. Ölçek üniversite öğrencileri için geliştirilmiş, 25 maddeli ve dört faktörlü bir yapıda raporlanmıştır.</w:t>
      </w:r>
    </w:p>
    <w:p w14:paraId="596EFD07" w14:textId="255D9ECB" w:rsidR="001415B6" w:rsidRPr="001415B6" w:rsidRDefault="001415B6" w:rsidP="001A19D3">
      <w:pPr>
        <w:widowControl/>
        <w:spacing w:line="360" w:lineRule="auto"/>
        <w:jc w:val="both"/>
        <w:rPr>
          <w:rFonts w:ascii="Times New Roman" w:hAnsi="Times New Roman" w:cs="Times New Roman"/>
          <w:bCs/>
          <w:sz w:val="24"/>
          <w:szCs w:val="24"/>
        </w:rPr>
      </w:pPr>
      <w:r>
        <w:rPr>
          <w:rFonts w:ascii="Times New Roman" w:hAnsi="Times New Roman"/>
          <w:sz w:val="24"/>
        </w:rPr>
        <w:t>Ölçek, iletişim ilkeleri ve temel beceriler, kendini ifade etme, etkin dinleme ve sözel olmayan iletişim ile iletişim kurmaya isteklilik boyutlarını kapsamaktadır. Elde edilen puanlar katılımcıların kendi iletişim davranışlarına ilişkin değerlendirmelerini yansıtmaktadır (Korkut Owen ve Bugay, 2014).</w:t>
      </w:r>
    </w:p>
    <w:p w14:paraId="6B6D71F1" w14:textId="27B69066"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widowControl/>
        <w:spacing w:line="360" w:lineRule="auto"/>
        <w:jc w:val="both"/>
        <w:rPr>
          <w:rFonts w:ascii="Times New Roman" w:hAnsi="Times New Roman" w:cs="Times New Roman"/>
          <w:bCs/>
          <w:sz w:val="24"/>
          <w:szCs w:val="24"/>
        </w:rPr>
      </w:pPr>
      <w:r>
        <w:rPr>
          <w:rFonts w:ascii="Times New Roman" w:hAnsi="Times New Roman"/>
          <w:sz w:val="24"/>
        </w:rPr>
        <w:t>Ortak 40 katılımcının ön test ve son test kayıtları birlikte ele alınarak hesaplanan toplam Cronbach alfa katsayısı ,865’tir. Aynı kişilerin tekrarlı ölçümlerinin birleştirilmesiyle elde edilen bu katsayı, her ölçüm zamanı için ayrı bir güvenirlik kestirimi olarak yorumlanmamıştır. Ölçek maddeleri Ek 1’de sunulmuştur.</w:t>
      </w:r>
    </w:p>
    <w:p w14:paraId="133C8FA6" w14:textId="69660F65" w:rsidR="001415B6" w:rsidRPr="00AE3CEA" w:rsidRDefault="00AE3CEA" w:rsidP="00EE3619">
      <w:bookmarkStart w:id="8027" w:name="Ortak40_8027"/>
      <w:bookmarkStart w:id="5027" w:name="Birlesik_5027"/>
      <w:pPr>
        <w:pStyle w:val="Balk3"/>
        <w:keepNext/>
        <w:widowControl/>
      </w:pPr>
      <w:bookmarkStart w:id="24" w:name="_Toc236354030"/>
      <w:r>
        <w:t>3</w:t>
      </w:r>
      <w:r w:rsidR="001415B6" w:rsidRPr="00AE3CEA">
        <w:t>.3.2 Problem Çözme Becerileri Ölçeği (PÇBÖ)</w:t>
      </w:r>
      <w:bookmarkEnd w:id="24"/>
      <w:bookmarkEnd w:id="5027"/>
      <w:bookmarkEnd w:id="8027"/>
    </w:p>
    <w:p w14:paraId="549EDC64" w14:textId="77777777" w:rsidR="00F26FF1" w:rsidRDefault="00F26FF1" w:rsidP="001A19D3">
      <w:pPr>
        <w:widowControl/>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widowControl/>
        <w:spacing w:line="360" w:lineRule="auto"/>
        <w:jc w:val="both"/>
        <w:rPr>
          <w:rFonts w:ascii="Times New Roman" w:hAnsi="Times New Roman" w:cs="Times New Roman"/>
          <w:bCs/>
          <w:sz w:val="24"/>
          <w:szCs w:val="24"/>
        </w:rPr>
      </w:pPr>
      <w:r>
        <w:rPr>
          <w:rFonts w:ascii="Times New Roman" w:hAnsi="Times New Roman"/>
          <w:sz w:val="24"/>
        </w:rPr>
        <w:t>Analizde ters yönde kodlanan maddelere 7 − ham puan dönüşümü uygulanmıştır. Bulgular bölümündeki toplam ve alt boyut puanları madde ortalamaları olarak raporlanmıştır. Bu çalışmanın mevcut puanlama düzeninde düşük puanlar daha olumlu problem çözme algısı olarak yorumlanmıştır.</w:t>
      </w:r>
    </w:p>
    <w:p w14:paraId="0CB3B0F0" w14:textId="393954AD"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widowControl/>
        <w:spacing w:line="360" w:lineRule="auto"/>
        <w:jc w:val="both"/>
        <w:rPr>
          <w:rFonts w:ascii="Times New Roman" w:hAnsi="Times New Roman" w:cs="Times New Roman"/>
          <w:bCs/>
          <w:sz w:val="24"/>
          <w:szCs w:val="24"/>
        </w:rPr>
      </w:pPr>
      <w:r>
        <w:rPr>
          <w:rFonts w:ascii="Times New Roman" w:hAnsi="Times New Roman"/>
          <w:sz w:val="24"/>
        </w:rPr>
        <w:t>Mevcut analizde ön test ve son test kayıtları birlikte ele alınarak hesaplanan toplam Cronbach alfa katsayısı ,912’dir. Alt boyut katsayıları Problem Çözmeye Güvenme için ,840, Yaklaşma–Kaçınma Stili için ,833 ve Kişisel Kontrol için ,634’tür. Bu katsayılar, ayrı ön test ve son test güvenirlikleri yerine kullanılmamış; özellikle Kişisel Kontrol boyutu ihtiyatla yorumlanmıştır.</w:t>
      </w:r>
    </w:p>
    <w:p w14:paraId="2A9EB045"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bookmarkStart w:id="8028" w:name="Ortak40_8028"/>
      <w:bookmarkStart w:id="5028" w:name="Birlesik_5028"/>
      <w:pPr>
        <w:pStyle w:val="Balk3"/>
        <w:keepNext/>
        <w:widowControl/>
      </w:pPr>
      <w:bookmarkStart w:id="25" w:name="_Toc236354031"/>
      <w:r>
        <w:t>3</w:t>
      </w:r>
      <w:r w:rsidR="001415B6" w:rsidRPr="007D69E4">
        <w:t>.3.3 Yarı Yapılandırılmış Görüşmeler</w:t>
      </w:r>
      <w:bookmarkEnd w:id="25"/>
      <w:bookmarkEnd w:id="5028"/>
      <w:bookmarkEnd w:id="8028"/>
    </w:p>
    <w:p w14:paraId="301D0B80" w14:textId="77777777" w:rsidR="007D69E4" w:rsidRP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Araştırmanın nitel verileri yarı yapılandırılmış görüşmelerle toplanmıştır. Görüşmelerde problem belirleme ve çözme, grup içi iletişim, öğrenme deneyimleri, uygulamanın olumlu ve olumsuz yönleri ile düzenleme önerileri ele alınmıştır. Form yedi ana sorudan oluşmakta; 1, 2, 3 ve 5. soruların a–b alt sorularıyla birlikte 11 yanıt başlığı içermektedir.</w:t>
      </w:r>
    </w:p>
    <w:p w14:paraId="654EE82B" w14:textId="77777777" w:rsidR="007D69E4" w:rsidRPr="007D69E4" w:rsidRDefault="007D69E4" w:rsidP="007D69E4">
      <w:pPr>
        <w:widowControl/>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 formu, araştırmanın amacı ve alt problemleri doğrultusunda araştırmacı tarafından hazırlanmıştır. Hazırlanan taslak görüşme soruları alan uzmanlarının görüşüne sunulmuş, alınan öneriler doğrultusunda gerekli düzenlemeler yapılarak forma son hâli verilmiştir. Görüşme formunda problem belirleme ve çözme süreci, grup içi etkileşim ve iletişim, doğal afetler temasının öğrenmeye katkısı, proje tabanlı öğrenme sürecinde kazanıldığı düşünülen beceriler ile uygulama sürecine ilişkin değerlendirmeleri ortaya çıkarmaya yönelik açık uçlu sorulara yer verilmiştir.</w:t>
      </w:r>
    </w:p>
    <w:p w14:paraId="1F2D9C14" w14:textId="77777777" w:rsidR="007D69E4" w:rsidRP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Görüşmeler çalışma tamamlandıktan ve nicel analiz sonuçları görüldükten sonra yapılmıştır. Görüşmeye katılan dört öğretmen adayı rastgele seçilmiş, seçimde ölçek puanlarına göre iyi, orta veya düşük düzey grupları oluşturulmamıştır. Katılımcılar, görüşme dosyasındaki sıraları esas alınarak K1, K2, K3 ve K4 biçiminde kodlanmıştır.</w:t>
      </w:r>
    </w:p>
    <w:p w14:paraId="33C978AB" w14:textId="77777777" w:rsid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Bireysel görüşmelere ait ses kayıtlarının kelimesi kelimesine yazılı dökümleri analiz edilmiştir. Bulgularda kimlikler yerine K1–K4 kodları kullanılmıştır. Görüşme formu Ek 3’te sunulmuştur.</w:t>
      </w:r>
    </w:p>
    <w:p w14:paraId="751433B9" w14:textId="29491E2A" w:rsidR="007D69E4" w:rsidRPr="007D69E4" w:rsidRDefault="007D69E4" w:rsidP="007D69E4">
      <w:pPr>
        <w:widowControl/>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Araştırmada kullanılan veri toplama araçları ve bu araçlara ilişkin temel özellikler Tablo 3.2'de özetlenmiştir.</w:t>
      </w:r>
    </w:p>
    <w:p w14:paraId="1C8A1F9F" w14:textId="77777777" w:rsidR="0069150B" w:rsidRDefault="0069150B" w:rsidP="0069150B">
      <w:bookmarkStart w:id="8029" w:name="Ortak40_8029"/>
      <w:bookmarkStart w:id="5029" w:name="Birlesik_5029"/>
      <w:pPr>
        <w:keepNext/>
        <w:keepLines/>
        <w:widowControl/>
        <w:jc w:val="both"/>
        <w:rPr>
          <w:rFonts w:ascii="Times New Roman" w:hAnsi="Times New Roman" w:cs="Times New Roman"/>
        </w:rPr>
      </w:pPr>
      <w:r w:rsidRPr="00B21115">
        <w:rPr>
          <w:rFonts w:ascii="Times New Roman" w:hAnsi="Times New Roman" w:cs="Times New Roman"/>
          <w:b/>
          <w:bCs/>
        </w:rPr>
        <w:t>Tablo 3.2. Araştırmada Kullanılan Veri Toplama Araçlarının Özellikleri</w:t>
      </w:r>
      <w:bookmarkEnd w:id="5029"/>
      <w:bookmarkEnd w:id="8029"/>
      <w:fldSimple w:instr="TC &quot;Tablo 3.2. Araştırmada Kullanılan Veri Toplama Araçlarının Özellikleri&quot; \f T \l 1"/>
    </w:p>
    <w:tbl>
      <w:tblPr>
        <w:tblW w:w="9014" w:type="dxa"/>
        <w:tblCellSpacing w:w="15"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1"/>
        <w:gridCol w:w="663"/>
        <w:gridCol w:w="1260"/>
        <w:gridCol w:w="1585"/>
        <w:gridCol w:w="1189"/>
        <w:gridCol w:w="2905"/>
      </w:tblGrid>
      <w:tr w:rsidR="00413DE2" w:rsidRPr="00426B07" w14:paraId="4F05A03A" w14:textId="77777777" w:rsidTr="008E6BB3">
        <w:trPr>
          <w:tblHeader/>
          <w:tblCellSpacing w:w="15" w:type="dxa"/>
          <w:cantSplit/>
        </w:trPr>
        <w:tc>
          <w:tcPr>
            <w:tcW w:w="1411" w:type="dxa"/>
            <w:vAlign w:val="center"/>
            <w:hideMark/>
          </w:tcPr>
          <w:p w14:paraId="79EBE1D6" w14:textId="61965259"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Araç</w:t>
            </w:r>
          </w:p>
        </w:tc>
        <w:tc>
          <w:tcPr>
            <w:tcW w:w="663" w:type="dxa"/>
            <w:vAlign w:val="center"/>
            <w:hideMark/>
          </w:tcPr>
          <w:p w14:paraId="6943CF18" w14:textId="20FBFC7E"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Tür</w:t>
            </w:r>
          </w:p>
        </w:tc>
        <w:tc>
          <w:tcPr>
            <w:tcW w:w="1260" w:type="dxa"/>
            <w:vAlign w:val="center"/>
            <w:hideMark/>
          </w:tcPr>
          <w:p w14:paraId="696CAB66" w14:textId="163A014D"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Kapsam</w:t>
            </w:r>
          </w:p>
        </w:tc>
        <w:tc>
          <w:tcPr>
            <w:tcW w:w="1585" w:type="dxa"/>
            <w:vAlign w:val="center"/>
            <w:hideMark/>
          </w:tcPr>
          <w:p w14:paraId="08F8668A" w14:textId="0678BC11"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Puanlama</w:t>
            </w:r>
          </w:p>
        </w:tc>
        <w:tc>
          <w:tcPr>
            <w:tcW w:w="1189" w:type="dxa"/>
            <w:vAlign w:val="center"/>
            <w:hideMark/>
          </w:tcPr>
          <w:p w14:paraId="3C8260A0" w14:textId="2DBB61B0"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Alt Boyut</w:t>
            </w:r>
          </w:p>
        </w:tc>
        <w:tc>
          <w:tcPr>
            <w:tcW w:w="2905" w:type="dxa"/>
            <w:vAlign w:val="center"/>
            <w:hideMark/>
          </w:tcPr>
          <w:p w14:paraId="70C19F35" w14:textId="66355DA3"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Kullanım Amacı</w:t>
            </w:r>
          </w:p>
        </w:tc>
      </w:tr>
      <w:tr w:rsidR="00413DE2" w:rsidRPr="00426B07" w14:paraId="6396ED37" w14:textId="77777777" w:rsidTr="008E6BB3">
        <w:trPr>
          <w:tblCellSpacing w:w="15" w:type="dxa"/>
          <w:cantSplit/>
        </w:trPr>
        <w:tc>
          <w:tcPr>
            <w:tcW w:w="1411" w:type="dxa"/>
            <w:vAlign w:val="center"/>
            <w:hideMark/>
          </w:tcPr>
          <w:p w14:paraId="25E0A12C" w14:textId="0E4FFA19"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İletişim Becerileri Ölçeği (İBDÖ)</w:t>
            </w:r>
          </w:p>
        </w:tc>
        <w:tc>
          <w:tcPr>
            <w:tcW w:w="663" w:type="dxa"/>
            <w:vAlign w:val="center"/>
            <w:hideMark/>
          </w:tcPr>
          <w:p w14:paraId="3593CF21" w14:textId="30FD2142"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Nicel</w:t>
            </w:r>
          </w:p>
        </w:tc>
        <w:tc>
          <w:tcPr>
            <w:tcW w:w="1260" w:type="dxa"/>
            <w:vAlign w:val="center"/>
            <w:hideMark/>
          </w:tcPr>
          <w:p w14:paraId="027DFD08" w14:textId="4811C730"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25 madde</w:t>
            </w:r>
          </w:p>
        </w:tc>
        <w:tc>
          <w:tcPr>
            <w:tcW w:w="1585" w:type="dxa"/>
            <w:vAlign w:val="center"/>
            <w:hideMark/>
          </w:tcPr>
          <w:p w14:paraId="3660DFCB" w14:textId="17974DDA"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5'li Likert (1–5)</w:t>
            </w:r>
          </w:p>
        </w:tc>
        <w:tc>
          <w:tcPr>
            <w:tcW w:w="1189" w:type="dxa"/>
            <w:vAlign w:val="center"/>
            <w:hideMark/>
          </w:tcPr>
          <w:p w14:paraId="3D7637F4" w14:textId="62B0395D"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4 alt boyut</w:t>
            </w:r>
          </w:p>
        </w:tc>
        <w:tc>
          <w:tcPr>
            <w:tcW w:w="2905" w:type="dxa"/>
            <w:vAlign w:val="center"/>
            <w:hideMark/>
          </w:tcPr>
          <w:p w14:paraId="7B4D67E0" w14:textId="0BFC483B"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Öğretmen adaylarının iletişim becerilerini belirlemek</w:t>
            </w:r>
          </w:p>
        </w:tc>
      </w:tr>
      <w:tr w:rsidR="00413DE2" w:rsidRPr="00426B07" w14:paraId="75E0989E" w14:textId="77777777" w:rsidTr="008E6BB3">
        <w:trPr>
          <w:tblCellSpacing w:w="15" w:type="dxa"/>
          <w:cantSplit/>
        </w:trPr>
        <w:tc>
          <w:tcPr>
            <w:tcW w:w="1411" w:type="dxa"/>
            <w:vAlign w:val="center"/>
            <w:hideMark/>
          </w:tcPr>
          <w:p w14:paraId="3017461A" w14:textId="06F4E3BC"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Problem Çözme Becerileri Ölçeği (PÇBÖ)</w:t>
            </w:r>
          </w:p>
        </w:tc>
        <w:tc>
          <w:tcPr>
            <w:tcW w:w="663" w:type="dxa"/>
            <w:vAlign w:val="center"/>
            <w:hideMark/>
          </w:tcPr>
          <w:p w14:paraId="07E9153C" w14:textId="280F0635"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Nicel</w:t>
            </w:r>
          </w:p>
        </w:tc>
        <w:tc>
          <w:tcPr>
            <w:tcW w:w="1260" w:type="dxa"/>
            <w:vAlign w:val="center"/>
            <w:hideMark/>
          </w:tcPr>
          <w:p w14:paraId="13E064B5" w14:textId="0BCEECD8"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35 madde</w:t>
            </w:r>
          </w:p>
        </w:tc>
        <w:tc>
          <w:tcPr>
            <w:tcW w:w="1585" w:type="dxa"/>
            <w:vAlign w:val="center"/>
            <w:hideMark/>
          </w:tcPr>
          <w:p w14:paraId="2284394A" w14:textId="49B543FB"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6'lı Likert (1–6)</w:t>
            </w:r>
          </w:p>
        </w:tc>
        <w:tc>
          <w:tcPr>
            <w:tcW w:w="1189" w:type="dxa"/>
            <w:vAlign w:val="center"/>
            <w:hideMark/>
          </w:tcPr>
          <w:p w14:paraId="459694F0" w14:textId="29DE01F5"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3 alt boyut</w:t>
            </w:r>
          </w:p>
        </w:tc>
        <w:tc>
          <w:tcPr>
            <w:tcW w:w="2905" w:type="dxa"/>
            <w:vAlign w:val="center"/>
            <w:hideMark/>
          </w:tcPr>
          <w:p w14:paraId="3CDC98D9" w14:textId="5775C45F"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Öğretmen adaylarının problem çözme becerilerini belirlemek</w:t>
            </w:r>
          </w:p>
        </w:tc>
      </w:tr>
      <w:tr w:rsidR="00413DE2" w:rsidRPr="00426B07" w14:paraId="55732D84" w14:textId="77777777" w:rsidTr="008E6BB3">
        <w:trPr>
          <w:tblCellSpacing w:w="15" w:type="dxa"/>
          <w:cantSplit/>
        </w:trPr>
        <w:tc>
          <w:tcPr>
            <w:tcW w:w="1411" w:type="dxa"/>
            <w:vAlign w:val="center"/>
            <w:hideMark/>
          </w:tcPr>
          <w:p w14:paraId="444BD2CB" w14:textId="537423F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Yarı yapılandırılmış görüşme formu</w:t>
            </w:r>
          </w:p>
        </w:tc>
        <w:tc>
          <w:tcPr>
            <w:tcW w:w="663" w:type="dxa"/>
            <w:vAlign w:val="center"/>
            <w:hideMark/>
          </w:tcPr>
          <w:p w14:paraId="2BE29714" w14:textId="30F812D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Nitel</w:t>
            </w:r>
          </w:p>
        </w:tc>
        <w:tc>
          <w:tcPr>
            <w:tcW w:w="1260" w:type="dxa"/>
            <w:vAlign w:val="center"/>
            <w:hideMark/>
          </w:tcPr>
          <w:p w14:paraId="2ECAB23C" w14:textId="191EF959"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7 açık uçlu soru</w:t>
            </w:r>
          </w:p>
        </w:tc>
        <w:tc>
          <w:tcPr>
            <w:tcW w:w="1585" w:type="dxa"/>
            <w:vAlign w:val="center"/>
            <w:hideMark/>
          </w:tcPr>
          <w:p w14:paraId="312464B7" w14:textId="2E5FE568"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Açık uçlu</w:t>
            </w:r>
          </w:p>
        </w:tc>
        <w:tc>
          <w:tcPr>
            <w:tcW w:w="1189" w:type="dxa"/>
            <w:vAlign w:val="center"/>
            <w:hideMark/>
          </w:tcPr>
          <w:p w14:paraId="5C388DCE" w14:textId="3DC1C04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Tematik</w:t>
            </w:r>
          </w:p>
        </w:tc>
        <w:tc>
          <w:tcPr>
            <w:tcW w:w="2905" w:type="dxa"/>
            <w:vAlign w:val="center"/>
            <w:hideMark/>
          </w:tcPr>
          <w:p w14:paraId="00A50310" w14:textId="1E561ED2"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Proje tabanlı öğrenme sürecine ilişkin katılımcı görüşlerini derinlemesine incelemek</w:t>
            </w:r>
          </w:p>
        </w:tc>
      </w:tr>
    </w:tbl>
    <w:p w14:paraId="617F0721" w14:textId="77777777" w:rsidR="0069150B" w:rsidRDefault="0069150B" w:rsidP="001415B6">
      <w:pPr>
        <w:spacing w:after="0" w:line="360" w:lineRule="auto"/>
        <w:jc w:val="both"/>
        <w:rPr>
          <w:rFonts w:ascii="Times New Roman" w:hAnsi="Times New Roman" w:cs="Times New Roman"/>
          <w:bCs/>
          <w:sz w:val="24"/>
          <w:szCs w:val="24"/>
        </w:rPr>
      </w:pPr>
    </w:p>
    <w:p w14:paraId="5D0C4061" w14:textId="77777777" w:rsidR="00283A46" w:rsidRPr="00283A46" w:rsidRDefault="00283A46" w:rsidP="00EE3619">
      <w:bookmarkStart w:id="8030" w:name="Ortak40_8030"/>
      <w:bookmarkStart w:id="5030" w:name="Birlesik_5030"/>
      <w:pPr>
        <w:pStyle w:val="Balk2"/>
        <w:keepNext/>
        <w:widowControl/>
      </w:pPr>
      <w:bookmarkStart w:id="26" w:name="_Toc236354032"/>
      <w:r w:rsidRPr="00283A46">
        <w:t>3.4 Uygulama Süreci</w:t>
      </w:r>
      <w:bookmarkEnd w:id="26"/>
      <w:bookmarkEnd w:id="5030"/>
      <w:bookmarkEnd w:id="8030"/>
    </w:p>
    <w:p w14:paraId="3A0EA51A" w14:textId="1C2FE300"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 xml:space="preserve">Bu araştırma kapsamında proje tabanlı öğrenme yaklaşımına dayalı öğretim süreci sekiz hafta boyunca yürütülmüştür. Uygulamalar, fen bilgisi öğretmenliği ikinci sınıfta öğrenim görmekte olan öğretmen adaylarının mevcut ders programı içerisinde, doğal sınıf ortamında gerçekleştirilmiştir. Süreç planlanırken öğretmen adaylarının yalnızca kuramsal bilgi edinmeleri değil, aynı zamanda gerçek yaşamla ilişki kurarak problem belirleme, çözüm üretme, materyal geliştirme ve iş birliği içinde ürün ortaya koyma deneyimi yaşamaları amaçlanmıştır. Uygulama sürecinin haftalara göre planlanışı Şekil </w:t>
      </w:r>
      <w:r w:rsidR="00A63292">
        <w:rPr>
          <w:rFonts w:ascii="Times New Roman" w:hAnsi="Times New Roman" w:cs="Times New Roman"/>
          <w:bCs/>
          <w:sz w:val="24"/>
          <w:szCs w:val="24"/>
        </w:rPr>
        <w:t>3.2</w:t>
      </w:r>
      <w:r w:rsidRPr="00283A46">
        <w:rPr>
          <w:rFonts w:ascii="Times New Roman" w:hAnsi="Times New Roman" w:cs="Times New Roman"/>
          <w:bCs/>
          <w:sz w:val="24"/>
          <w:szCs w:val="24"/>
        </w:rPr>
        <w:t>’te sunulmuştur.</w:t>
      </w:r>
    </w:p>
    <w:p w14:paraId="5EE0A472"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Uygulamanın ilk haftasında öğretmen adaylarına proje tabanlı öğrenme yaklaşımının temel özellikleri tanıtılmış, sürecin nasıl ilerleyeceği, hangi aşamalardan oluşacağı ve kendilerinden neler beklendiği açıklanmıştır. Aynı hafta doğal afetler temasına giriş yapılarak uygulamanın konu çerçevesi oluşturulmuştur. İkinci haftada doğal afetler konusunun öğretimine devam edilmiş; böylece öğretmen adaylarının ilerleyen haftalarda geliştirecekleri proje fikirleri için ortak bir bilgi zemini oluşturulması hedeflenmiştir. Bu haftada ayrıca araştırma kapsamında ön test uygulamaları gerçekleştirilmiştir.</w:t>
      </w:r>
    </w:p>
    <w:p w14:paraId="6B11869F"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bCs/>
          <w:sz w:val="24"/>
          <w:szCs w:val="24"/>
        </w:rPr>
        <w:t>.</w:t>
      </w:r>
    </w:p>
    <w:p w14:paraId="04062FBA" w14:textId="5C4EE59A" w:rsidR="006201F5" w:rsidRDefault="006201F5" w:rsidP="00283A46">
      <w:pPr>
        <w:keepNext/>
        <w:keepLines/>
        <w:spacing w:line="240" w:lineRule="auto" w:before="100" w:after="100"/>
        <w:ind w:firstLine="0" w:left="0" w:right="0"/>
        <w:jc w:val="center"/>
        <w:rPr>
          <w:rFonts w:ascii="Times New Roman" w:hAnsi="Times New Roman" w:cs="Times New Roman"/>
          <w:bCs/>
          <w:sz w:val="24"/>
          <w:szCs w:val="24"/>
        </w:rPr>
      </w:pPr>
      <w:r w:rsidRPr="006201F5">
        <w:rPr>
          <w:rFonts w:ascii="Times New Roman" w:hAnsi="Times New Roman" w:cs="Times New Roman"/>
          <w:bCs/>
          <w:noProof/>
          <w:sz w:val="24"/>
          <w:szCs w:val="24"/>
        </w:rPr>
        <w:drawing>
          <wp:inline distT="0" distB="0" distL="0" distR="0" wp14:anchorId="786514DE" wp14:editId="7216B3B9">
            <wp:extent cx="5616000" cy="6259996"/>
            <wp:effectExtent l="0" t="0" r="0" b="1905"/>
            <wp:docPr id="3" name="TezGors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a:stretch>
                      <a:fillRect/>
                    </a:stretch>
                  </pic:blipFill>
                  <pic:spPr>
                    <a:xfrm>
                      <a:off x="0" y="0"/>
                      <a:ext cx="5616000" cy="6259996"/>
                    </a:xfrm>
                    <a:prstGeom prst="rect">
                      <a:avLst/>
                    </a:prstGeom>
                  </pic:spPr>
                </pic:pic>
              </a:graphicData>
            </a:graphic>
          </wp:inline>
        </w:drawing>
      </w:r>
    </w:p>
    <w:p w14:paraId="4AF5E92D" w14:textId="39063347" w:rsidR="006201F5" w:rsidRDefault="006201F5" w:rsidP="006201F5">
      <w:bookmarkStart w:id="8031" w:name="Ortak40_8031"/>
      <w:bookmarkStart w:id="5031" w:name="Birlesik_5031"/>
      <w:pPr>
        <w:keepNext/>
        <w:keepLines/>
        <w:widowControl/>
        <w:spacing w:line="360" w:lineRule="auto"/>
        <w:jc w:val="both"/>
        <w:rPr>
          <w:rFonts w:ascii="Times New Roman" w:hAnsi="Times New Roman" w:cs="Times New Roman"/>
          <w:bCs/>
          <w:sz w:val="24"/>
          <w:szCs w:val="24"/>
        </w:rPr>
      </w:pPr>
      <w:r w:rsidRPr="006201F5">
        <w:rPr>
          <w:rFonts w:ascii="Times New Roman" w:hAnsi="Times New Roman" w:cs="Times New Roman"/>
          <w:b/>
          <w:sz w:val="24"/>
          <w:szCs w:val="24"/>
        </w:rPr>
        <w:t>Şekil 3.2</w:t>
      </w:r>
      <w:r>
        <w:rPr>
          <w:rFonts w:ascii="Times New Roman" w:hAnsi="Times New Roman" w:cs="Times New Roman"/>
          <w:b/>
          <w:sz w:val="24"/>
          <w:szCs w:val="24"/>
        </w:rPr>
        <w:t xml:space="preserve"> </w:t>
      </w:r>
      <w:r w:rsidRPr="006201F5">
        <w:rPr>
          <w:rFonts w:ascii="Times New Roman" w:hAnsi="Times New Roman" w:cs="Times New Roman"/>
          <w:bCs/>
          <w:sz w:val="24"/>
          <w:szCs w:val="24"/>
        </w:rPr>
        <w:t>Proje tabanlı öğrenme uygulama sürecinin haftalara göre genel akışı</w:t>
      </w:r>
      <w:bookmarkEnd w:id="5031"/>
      <w:bookmarkEnd w:id="8031"/>
      <w:fldSimple w:instr="TC &quot;Şekil 3.2 Proje tabanlı öğrenme uygulama sürecinin haftalara göre genel akışı&quot; \f F \l 1"/>
    </w:p>
    <w:p w14:paraId="1032BBAA" w14:textId="2F4A5559" w:rsidR="00367693" w:rsidRDefault="006201F5" w:rsidP="00C16765">
      <w:pPr>
        <w:keepNext/>
        <w:keepLines/>
        <w:widowControl/>
        <w:spacing w:line="360" w:lineRule="auto"/>
        <w:jc w:val="both"/>
        <w:rPr>
          <w:rFonts w:ascii="Times New Roman" w:hAnsi="Times New Roman" w:cs="Times New Roman"/>
          <w:bCs/>
          <w:sz w:val="24"/>
          <w:szCs w:val="24"/>
        </w:rPr>
      </w:pPr>
      <w:r w:rsidRPr="006201F5">
        <w:rPr>
          <w:rFonts w:ascii="Times New Roman" w:hAnsi="Times New Roman" w:cs="Times New Roman"/>
          <w:bCs/>
          <w:sz w:val="24"/>
          <w:szCs w:val="24"/>
        </w:rPr>
        <w:t>Şekil 3.2'de uygulama sürecinin sekiz haftalık genel akışı özetlenmiştir. Süreç; proje tabanlı öğrenme yaklaşımının tanıtılması, doğal afetler temasına yönelik problem durumlarının belirlenmesi, proje ve materyal geliştirme çalışmaları, geri bildirimler doğrultusunda yapılan düzenlemeler ve son değerlendirme aşamalarından oluşmaktadır. Uygulama sürecinde gerçekleştirilen çalışmalar aşağıda haftalara göre ayrıntılı olarak açıklanmıştır.</w:t>
      </w:r>
    </w:p>
    <w:p w14:paraId="0C84F18F" w14:textId="77777777" w:rsidR="00C16765" w:rsidRPr="00C16765" w:rsidRDefault="00C16765" w:rsidP="00EE3619">
      <w:bookmarkStart w:id="8032" w:name="Ortak40_8032"/>
      <w:bookmarkStart w:id="5032" w:name="Birlesik_5032"/>
      <w:pPr>
        <w:pStyle w:val="Balk2"/>
        <w:keepNext/>
        <w:widowControl/>
      </w:pPr>
      <w:bookmarkStart w:id="27" w:name="_Toc236354033"/>
      <w:r w:rsidRPr="00C16765">
        <w:t>3.5 Verilerin Analizi</w:t>
      </w:r>
      <w:bookmarkEnd w:id="27"/>
      <w:bookmarkEnd w:id="5032"/>
      <w:bookmarkEnd w:id="8032"/>
    </w:p>
    <w:p w14:paraId="6333C294" w14:textId="77777777" w:rsidR="00C16765" w:rsidRPr="00C16765" w:rsidRDefault="00C16765" w:rsidP="00C16765">
      <w:pPr>
        <w:widowControl/>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Bu araştırmada elde edilen veriler, araştırmanın nicel ve nitel boyutları doğrultusunda ayrı ayrı analiz edilmiştir. Nicel verilerin analizinde öncelikle veri seti analize hazırlanmış, ardından araştırmanın alt problemlerine uygun istatistiksel analizler gerçekleştirilmiştir. Nitel verilerin analizinde ise yarı yapılandırılmış görüşmelerden elde edilen veriler içerik analizi yöntemiyle incelenmiştir. Nicel ve nitel veri analiz süreçlerine ilişkin ayrıntılar aşağıda sunulmuştur.</w:t>
      </w:r>
    </w:p>
    <w:p w14:paraId="53BC9A7B" w14:textId="77777777" w:rsidR="00C16765" w:rsidRPr="00C16765" w:rsidRDefault="00C16765" w:rsidP="00EE3619">
      <w:bookmarkStart w:id="8033" w:name="Ortak40_8033"/>
      <w:bookmarkStart w:id="5033" w:name="Birlesik_5033"/>
      <w:pPr>
        <w:pStyle w:val="Balk3"/>
        <w:keepNext/>
        <w:widowControl/>
      </w:pPr>
      <w:bookmarkStart w:id="28" w:name="_Toc236354034"/>
      <w:r w:rsidRPr="00C16765">
        <w:t>3.5.1 Nicel Verilerin Analizi</w:t>
      </w:r>
      <w:bookmarkEnd w:id="28"/>
      <w:bookmarkEnd w:id="5033"/>
      <w:bookmarkEnd w:id="8033"/>
    </w:p>
    <w:p w14:paraId="057F3E0C" w14:textId="1A4143E8" w:rsidR="00C16765" w:rsidRPr="00C16765" w:rsidRDefault="008A4054" w:rsidP="00C16765">
      <w:pPr>
        <w:widowControl/>
        <w:spacing w:line="360" w:lineRule="auto"/>
        <w:jc w:val="both"/>
        <w:rPr>
          <w:rFonts w:ascii="Times New Roman" w:hAnsi="Times New Roman" w:cs="Times New Roman"/>
          <w:sz w:val="24"/>
          <w:szCs w:val="24"/>
        </w:rPr>
      </w:pPr>
      <w:r>
        <w:rPr>
          <w:rFonts w:ascii="Times New Roman" w:hAnsi="Times New Roman"/>
          <w:sz w:val="24"/>
        </w:rPr>
        <w:t>Nicel veriler Python ile analiz edilmiştir. Dört veri dosyasında öğrenci numarası kullanılabilir olan kayıtlar alınmış, yinelenen numaralarda son kayıt korunmuştur. Katılımcı kümesi, iki ölçeğin ön test ve son test dosyalarının kesişimi üzerinden belirlenmiş; tüm maddeleri geçerli olan aynı 40 kişinin verileri kullanılmıştır. Numara eşleşmesine ad kayıtlarının uyumu kontrolü eşlik etmiştir. Karşılaştırmalar aynı katılımcı sırasıyla yapılmış, eksik yanıtlar için puan atanmamış ve ölçekler arasında farklı örneklemler kullanılmamıştır.</w:t>
      </w:r>
    </w:p>
    <w:p w14:paraId="7D7C1245" w14:textId="77777777" w:rsidR="00C16765" w:rsidRPr="00C16765" w:rsidRDefault="00C16765" w:rsidP="00C16765">
      <w:pPr>
        <w:widowControl/>
        <w:spacing w:line="360" w:lineRule="auto"/>
        <w:jc w:val="both"/>
        <w:rPr>
          <w:rFonts w:ascii="Times New Roman" w:hAnsi="Times New Roman" w:cs="Times New Roman"/>
          <w:sz w:val="24"/>
          <w:szCs w:val="24"/>
        </w:rPr>
      </w:pPr>
      <w:r>
        <w:rPr>
          <w:rFonts w:ascii="Times New Roman" w:hAnsi="Times New Roman"/>
          <w:sz w:val="24"/>
        </w:rPr>
        <w:t>Tanımlayıcı istatistiklerin ardından eşleştirilmiş ön test–son test fark puanlarının dağılımı Shapiro–Wilk testiyle incelenmiştir. Ana karşılaştırmalar bağımlı örneklemler t testiyle yürütülmüş, anlamlılık düzeyi ,05 olarak alınmıştır. Testler çift yönlü yürütülmüştür. Normal dağılımdan anlamlı sapma gösteren farklar için Wilcoxon işaretli sıralar testi duyarlılık incelemesi olarak kullanılmıştır. Bu ek inceleme ana sonuçları seçmek veya değiştirmek için kullanılmamıştır. Etki büyüklüğü, farkların ortalamasının farkların standart sapmasına oranıyla hesaplanmış ve büyüklüğü pozitif olarak raporlanmıştır. Hesaplamalarda yuvarlanmamış puanlar kullanılmış, tablolar için yuvarlama yapılmıştır. Alt boyut karşılaştırmalarında çoklu test düzeltmesi yapılmamıştır. Güvenirlik tablolarında ön ve son kayıtlar birlikte ele alınarak hesaplanan alfa katsayıları gösterildiğinden bunlar ayrı ölçüm zamanı katsayıları olarak yorumlanmamıştır.</w:t>
      </w:r>
    </w:p>
    <w:p w14:paraId="1BD5DEF3" w14:textId="77777777" w:rsidR="00C16765" w:rsidRPr="00C16765" w:rsidRDefault="00C16765" w:rsidP="00EE3619">
      <w:bookmarkStart w:id="8034" w:name="Ortak40_8034"/>
      <w:bookmarkStart w:id="5034" w:name="Birlesik_5034"/>
      <w:pPr>
        <w:pStyle w:val="Balk3"/>
        <w:keepNext/>
        <w:widowControl/>
      </w:pPr>
      <w:bookmarkStart w:id="29" w:name="_Toc236354035"/>
      <w:r w:rsidRPr="00C16765">
        <w:t>3.5.2 Nitel Verilerin Analizi</w:t>
      </w:r>
      <w:bookmarkEnd w:id="29"/>
      <w:bookmarkEnd w:id="5034"/>
      <w:bookmarkEnd w:id="8034"/>
    </w:p>
    <w:p w14:paraId="24E13443" w14:textId="77777777" w:rsidR="00A63292" w:rsidRDefault="00A63292" w:rsidP="00C16765">
      <w:pPr>
        <w:widowControl/>
        <w:spacing w:line="360" w:lineRule="auto"/>
        <w:jc w:val="both"/>
        <w:rPr>
          <w:rFonts w:ascii="Times New Roman" w:hAnsi="Times New Roman" w:cs="Times New Roman"/>
          <w:sz w:val="24"/>
          <w:szCs w:val="24"/>
        </w:rPr>
      </w:pPr>
      <w:r>
        <w:rPr>
          <w:rFonts w:ascii="Times New Roman" w:hAnsi="Times New Roman"/>
          <w:sz w:val="24"/>
        </w:rPr>
        <w:t>Dört görüşmenin her birindeki 11 yanıt başlığı olmak üzere toplam 44 yanıt birimi incelenmiştir. Bir yanıt biriminde birden fazla anlam bulunabildiğinden çoklu kodlama yapılmıştır. Kod tanımları, kapsama ve dışlama sınırları belirlenerek 53 kod dört tema altında düzenlenmiştir. Kod frekansı, ilgili görüşü herhangi bir yanıtında dile getiren farklı katılımcı sayısı olarak hesaplanmış; aynı kişinin tekrarı frekansı artırmamıştır. Toplam 140 yanıt–kod eşleşmesi, görüşme sayısı veya bağımsız katılımcı sayısı olarak değerlendirilmemiştir. Kod kitabı Ek 4’te sunulmuştur.</w:t>
      </w:r>
    </w:p>
    <w:p>
      <w:pPr>
        <w:widowControl/>
      </w:pPr>
      <w:r>
        <w:t>Analizde problem belirleme ve çözüm geliştirme; grup içi iletişim ve iş birliği; öğrenme deneyimleri ve süreç güçlükleri; öğretim sürecine yönelik öneriler birlikte ele alınmıştır. Katılımcı alıntıları dökümlerdeki ifadeler korunarak K kodu ve soru numarasıyla gösterilmiştir. K1’in belirli bir beceri gelişimini açıkça adlandırmadığı yanıtı boş veri sayılmamış; K2’nin katkı büyüklüğüne ilişkin belirsizliği ve katılımcıların farklı çözüm yolları korunmuştur.</w:t>
      </w:r>
    </w:p>
    <w:p>
      <w:pPr>
        <w:widowControl/>
      </w:pPr>
      <w:r>
        <w:t>Danışmanın K1’e ilişkin kısmi notları ilgili kodlama kararlarını karşılaştırmak için kullanılmıştır. Bu karşılaştırma, dört görüşmenin tamamında bağımsız çift kodlama veya kodlayıcılar arası uyum hesabı yapıldığı anlamına gelmemektedir. Kodlama kararları ile alıntılar arasındaki bağ korunmuş; veri doygunluğu, katılımcı teyidi veya hesaplanmamış bir uyum katsayısı raporlanmamıştır.</w:t>
      </w:r>
    </w:p>
    <w:p w14:paraId="3680A9C3" w14:textId="2806B883" w:rsidR="00C16765" w:rsidRDefault="00C16765" w:rsidP="00EE3619">
      <w:bookmarkStart w:id="8035" w:name="Ortak40_8035"/>
      <w:bookmarkStart w:id="5035" w:name="Birlesik_5035"/>
      <w:pPr>
        <w:pStyle w:val="Balk1"/>
        <w:keepNext/>
        <w:pageBreakBefore/>
        <w:widowControl/>
      </w:pPr>
      <w:bookmarkStart w:id="30" w:name="_Toc236354036"/>
      <w:r w:rsidRPr="00C16765">
        <w:t>4. BULGULAR VE YORUMLAR</w:t>
      </w:r>
      <w:bookmarkEnd w:id="30"/>
      <w:bookmarkEnd w:id="5035"/>
      <w:bookmarkEnd w:id="8035"/>
    </w:p>
    <w:p w14:paraId="05108CAD" w14:textId="5A7CD6EC" w:rsidR="008A4054" w:rsidRDefault="007C40BE" w:rsidP="00C16765">
      <w:pPr>
        <w:widowControl/>
        <w:spacing w:line="360" w:lineRule="auto"/>
        <w:jc w:val="both"/>
        <w:rPr>
          <w:rFonts w:ascii="Times New Roman" w:hAnsi="Times New Roman" w:cs="Times New Roman"/>
          <w:sz w:val="24"/>
          <w:szCs w:val="24"/>
        </w:rPr>
      </w:pPr>
      <w:r w:rsidRPr="007C40BE">
        <w:rPr>
          <w:rFonts w:ascii="Times New Roman" w:hAnsi="Times New Roman" w:cs="Times New Roman"/>
          <w:sz w:val="24"/>
          <w:szCs w:val="24"/>
        </w:rPr>
        <w:t>Bu bölümde, araştırma kapsamında elde edilen nicel ve nitel bulgular araştırmanın alt problemleri doğrultusunda sunulmuş ve yorumlanmıştır. İlk olarak Problem Çözme Becerileri Ölçeği (PÇBÖ) ve İletişim Becerileri Ölçeği'nden (İBDÖ) elde edilen nicel bulgulara yer verilmiş; ardından yarı yapılandırılmış görüşmelerden elde edilen nitel bulgular tema ve kodlar çerçevesinde sunularak nicel bulgularla birlikte değerlendirilmiştir.</w:t>
      </w:r>
    </w:p>
    <w:p w14:paraId="26203899" w14:textId="77777777" w:rsidR="00F92D23" w:rsidRPr="00F92D23" w:rsidRDefault="00F92D23" w:rsidP="00EE3619">
      <w:bookmarkStart w:id="8036" w:name="Ortak40_8036"/>
      <w:bookmarkStart w:id="5036" w:name="Birlesik_5036"/>
      <w:pPr>
        <w:pStyle w:val="Balk2"/>
        <w:keepNext/>
        <w:widowControl/>
      </w:pPr>
      <w:bookmarkStart w:id="31" w:name="_Toc236354037"/>
      <w:r w:rsidRPr="00F92D23">
        <w:t>4.1 Nicel Bulgular</w:t>
      </w:r>
      <w:bookmarkEnd w:id="31"/>
      <w:bookmarkEnd w:id="5036"/>
      <w:bookmarkEnd w:id="8036"/>
    </w:p>
    <w:p w14:paraId="3D280A38" w14:textId="77777777" w:rsidR="00F92D23" w:rsidRDefault="00F92D23" w:rsidP="00F92D23">
      <w:pPr>
        <w:widowControl/>
        <w:spacing w:line="360" w:lineRule="auto"/>
        <w:jc w:val="both"/>
        <w:rPr>
          <w:rFonts w:ascii="Times New Roman" w:hAnsi="Times New Roman" w:cs="Times New Roman"/>
          <w:sz w:val="24"/>
          <w:szCs w:val="24"/>
        </w:rPr>
      </w:pPr>
      <w:r>
        <w:rPr>
          <w:rFonts w:ascii="Times New Roman" w:hAnsi="Times New Roman"/>
          <w:sz w:val="24"/>
        </w:rPr>
        <w:t>Bu bölümde, proje tabanlı öğrenme sürecinde problem çözme ve iletişim ölçeği puanlarındaki değişime ilişkin nicel bulgular sunulmuştur. İki ölçeğin sonuçları ayrı başlıklar altında değerlendirilmiştir.</w:t>
      </w:r>
    </w:p>
    <w:p w14:paraId="45E46BE4" w14:textId="77777777" w:rsidR="00F92D23" w:rsidRPr="00F92D23" w:rsidRDefault="00F92D23" w:rsidP="00EE3619">
      <w:bookmarkStart w:id="8037" w:name="Ortak40_8037"/>
      <w:bookmarkStart w:id="5037" w:name="Birlesik_5037"/>
      <w:pPr>
        <w:pStyle w:val="Balk3"/>
        <w:keepNext/>
        <w:widowControl/>
      </w:pPr>
      <w:bookmarkStart w:id="32" w:name="_Toc236354038"/>
      <w:r w:rsidRPr="00F92D23">
        <w:t>4.1.1. Problem Çözme Becerisi Ölçeğine İlişkin Bulgular</w:t>
      </w:r>
      <w:bookmarkEnd w:id="32"/>
      <w:bookmarkEnd w:id="5037"/>
      <w:bookmarkEnd w:id="8037"/>
    </w:p>
    <w:p w14:paraId="670BE730" w14:textId="77777777" w:rsidR="00F92D23" w:rsidRDefault="00F92D23" w:rsidP="00F92D23">
      <w:pPr>
        <w:widowControl/>
        <w:spacing w:line="360" w:lineRule="auto"/>
        <w:jc w:val="both"/>
        <w:rPr>
          <w:rFonts w:ascii="Times New Roman" w:hAnsi="Times New Roman" w:cs="Times New Roman"/>
          <w:sz w:val="24"/>
          <w:szCs w:val="24"/>
        </w:rPr>
      </w:pPr>
      <w:r>
        <w:rPr>
          <w:rFonts w:ascii="Times New Roman" w:hAnsi="Times New Roman"/>
          <w:sz w:val="24"/>
        </w:rPr>
        <w:t>Bu bölümde Problem Çözme Becerileri Ölçeği’nden elde edilen nicel bulgular sunulmuştur. Ön test ve son test kayıtları katılımcı bazında eşleştirilmiş, her iki ölçümü bulunan katılımcılar üzerinden analiz yapılmıştır. Katılım ve eşleştirme bilgileri, güvenirlik katsayıları, tanımlayıcı istatistikler, normallik testleri ve ön test–son test karşılaştırmaları sırasıyla verilmiştir.</w:t>
      </w:r>
    </w:p>
    <w:p w14:paraId="0A81CD6B" w14:textId="77777777" w:rsidR="00F92D23" w:rsidRPr="00F92D23" w:rsidRDefault="00F92D23" w:rsidP="00F92D23">
      <w:pPr>
        <w:keepNext/>
        <w:keepLines/>
        <w:widowControl/>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Katılımcı Sayıları ve Veri Eşleştirme Süreci</w:t>
      </w:r>
    </w:p>
    <w:p w14:paraId="30B226D0" w14:textId="77777777" w:rsidR="00F92D23" w:rsidRPr="00F92D23" w:rsidRDefault="00F92D23" w:rsidP="00F92D23">
      <w:pPr>
        <w:widowControl/>
        <w:spacing w:line="360" w:lineRule="auto"/>
        <w:jc w:val="both"/>
        <w:rPr>
          <w:rFonts w:ascii="Times New Roman" w:hAnsi="Times New Roman" w:cs="Times New Roman"/>
          <w:sz w:val="24"/>
          <w:szCs w:val="24"/>
        </w:rPr>
      </w:pPr>
      <w:r>
        <w:rPr>
          <w:rFonts w:ascii="Times New Roman" w:hAnsi="Times New Roman"/>
          <w:sz w:val="24"/>
        </w:rPr>
        <w:t>PÇBÖ karşılaştırmalarında ortak çalışma grubundaki aynı 40 öğretmen adayının ön test ve son test verileri kullanılmıştır. Tablo 4.1’deki sayılar bu analiz grubuna aittir. Öğrenci numarası üzerinden yapılan eşleştirme sonucunda ön ve son ölçümlerde kişi sayısı ve kişi kümesi aynıdır.</w:t>
      </w:r>
    </w:p>
    <w:p w14:paraId="55BEAD24" w14:textId="50988FFC" w:rsidR="00F92D23" w:rsidRDefault="00F92D23" w:rsidP="00F92D23">
      <w:bookmarkStart w:id="8038" w:name="Ortak40_8038"/>
      <w:pPr>
        <w:keepNext/>
        <w:keepLines/>
        <w:widowControl/>
        <w:spacing w:line="360" w:lineRule="auto"/>
        <w:jc w:val="both"/>
        <w:rPr>
          <w:rFonts w:ascii="Times New Roman" w:hAnsi="Times New Roman" w:cs="Times New Roman"/>
          <w:b/>
          <w:bCs/>
          <w:sz w:val="24"/>
          <w:szCs w:val="24"/>
        </w:rPr>
      </w:pPr>
      <w:r>
        <w:rPr>
          <w:rFonts w:ascii="Times New Roman" w:hAnsi="Times New Roman"/>
          <w:sz w:val="24"/>
        </w:rPr>
        <w:t>Tablo 4.1 PÇBÖ Ortak Analiz Grubunun Ön Test ve Son Test Katılımcı Sayıları</w:t>
      </w:r>
      <w:bookmarkEnd w:id="8038"/>
      <w:fldSimple w:instr="TC &quot;Tablo 4.1 PÇBÖ Ortak Analiz Grubunun Ön Test ve Son Test Katılımcı Sayıları&quot; \f T \l 1"/>
    </w:p>
    <w:tbl>
      <w:tblPr>
        <w:tblW w:w="9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8"/>
        <w:gridCol w:w="7076"/>
      </w:tblGrid>
      <w:tr w:rsidR="00F92D23" w:rsidRPr="00F92D23" w14:paraId="68DF5DDA" w14:textId="77777777" w:rsidTr="00F92D23">
        <w:trPr>
          <w:tblHeader/>
          <w:tblCellSpacing w:w="15" w:type="dxa"/>
          <w:cantSplit/>
        </w:trPr>
        <w:tc>
          <w:tcPr>
            <w:tcW w:w="1938" w:type="dxa"/>
            <w:vAlign w:val="center"/>
            <w:hideMark/>
          </w:tcPr>
          <w:p>
            <w:pPr>
              <w:spacing w:line="252" w:lineRule="auto" w:after="60"/>
            </w:pPr>
            <w:r>
              <w:rPr>
                <w:rFonts w:ascii="Times New Roman" w:hAnsi="Times New Roman"/>
                <w:sz w:val="20"/>
              </w:rPr>
              <w:t>Ölçüm</w:t>
            </w:r>
          </w:p>
        </w:tc>
        <w:tc>
          <w:tcPr>
            <w:tcW w:w="7076" w:type="dxa"/>
            <w:vAlign w:val="center"/>
            <w:hideMark/>
          </w:tcPr>
          <w:p>
            <w:pPr>
              <w:spacing w:line="252" w:lineRule="auto" w:after="60"/>
            </w:pPr>
            <w:r>
              <w:rPr>
                <w:rFonts w:ascii="Times New Roman" w:hAnsi="Times New Roman"/>
                <w:sz w:val="20"/>
              </w:rPr>
              <w:t>Ortak gruptaki katılımcı sayısı</w:t>
            </w:r>
          </w:p>
        </w:tc>
      </w:tr>
      <w:tr w:rsidR="00F92D23" w:rsidRPr="00F92D23" w14:paraId="175BFA60" w14:textId="77777777" w:rsidTr="00F92D23">
        <w:trPr>
          <w:tblCellSpacing w:w="15" w:type="dxa"/>
          <w:cantSplit/>
        </w:trPr>
        <w:tc>
          <w:tcPr>
            <w:tcW w:w="1938" w:type="dxa"/>
            <w:vAlign w:val="center"/>
            <w:hideMark/>
          </w:tcPr>
          <w:p>
            <w:pPr>
              <w:spacing w:line="252" w:lineRule="auto" w:after="60"/>
            </w:pPr>
            <w:r>
              <w:rPr>
                <w:rFonts w:ascii="Times New Roman" w:hAnsi="Times New Roman"/>
                <w:sz w:val="20"/>
              </w:rPr>
              <w:t>Ön Test</w:t>
            </w:r>
          </w:p>
        </w:tc>
        <w:tc>
          <w:tcPr>
            <w:tcW w:w="7076" w:type="dxa"/>
            <w:vAlign w:val="center"/>
            <w:hideMark/>
          </w:tcPr>
          <w:p>
            <w:pPr>
              <w:spacing w:line="252" w:lineRule="auto" w:after="60"/>
            </w:pPr>
            <w:r>
              <w:rPr>
                <w:rFonts w:ascii="Times New Roman" w:hAnsi="Times New Roman"/>
                <w:sz w:val="20"/>
              </w:rPr>
              <w:t>40</w:t>
            </w:r>
          </w:p>
        </w:tc>
      </w:tr>
      <w:tr w:rsidR="00F92D23" w:rsidRPr="00F92D23" w14:paraId="6CC25199" w14:textId="77777777" w:rsidTr="00F92D23">
        <w:trPr>
          <w:tblCellSpacing w:w="15" w:type="dxa"/>
          <w:cantSplit/>
        </w:trPr>
        <w:tc>
          <w:tcPr>
            <w:tcW w:w="1938" w:type="dxa"/>
            <w:vAlign w:val="center"/>
            <w:hideMark/>
          </w:tcPr>
          <w:p>
            <w:pPr>
              <w:spacing w:line="252" w:lineRule="auto" w:after="60"/>
            </w:pPr>
            <w:r>
              <w:rPr>
                <w:rFonts w:ascii="Times New Roman" w:hAnsi="Times New Roman"/>
                <w:sz w:val="20"/>
              </w:rPr>
              <w:t>Son Test</w:t>
            </w:r>
          </w:p>
        </w:tc>
        <w:tc>
          <w:tcPr>
            <w:tcW w:w="7076" w:type="dxa"/>
            <w:vAlign w:val="center"/>
            <w:hideMark/>
          </w:tcPr>
          <w:p>
            <w:pPr>
              <w:spacing w:line="252" w:lineRule="auto" w:after="60"/>
            </w:pPr>
            <w:r>
              <w:rPr>
                <w:rFonts w:ascii="Times New Roman" w:hAnsi="Times New Roman"/>
                <w:sz w:val="20"/>
              </w:rPr>
              <w:t>40</w:t>
            </w:r>
          </w:p>
        </w:tc>
      </w:tr>
      <w:tr w:rsidR="00F92D23" w:rsidRPr="00F92D23" w14:paraId="78829107" w14:textId="77777777" w:rsidTr="00F92D23">
        <w:trPr>
          <w:tblCellSpacing w:w="15" w:type="dxa"/>
          <w:cantSplit/>
        </w:trPr>
        <w:tc>
          <w:tcPr>
            <w:tcW w:w="1938" w:type="dxa"/>
            <w:vAlign w:val="center"/>
            <w:hideMark/>
          </w:tcPr>
          <w:p>
            <w:pPr>
              <w:spacing w:line="252" w:lineRule="auto" w:after="60"/>
            </w:pPr>
            <w:r>
              <w:rPr>
                <w:rFonts w:ascii="Times New Roman" w:hAnsi="Times New Roman"/>
                <w:sz w:val="20"/>
              </w:rPr>
              <w:t>Eşleşen ortak katılımcı</w:t>
            </w:r>
          </w:p>
        </w:tc>
        <w:tc>
          <w:tcPr>
            <w:tcW w:w="7076" w:type="dxa"/>
            <w:vAlign w:val="center"/>
            <w:hideMark/>
          </w:tcPr>
          <w:p>
            <w:pPr>
              <w:spacing w:line="252" w:lineRule="auto" w:after="60"/>
            </w:pPr>
            <w:r>
              <w:rPr>
                <w:rFonts w:ascii="Times New Roman" w:hAnsi="Times New Roman"/>
                <w:sz w:val="20"/>
              </w:rPr>
              <w:t>40</w:t>
            </w:r>
          </w:p>
        </w:tc>
      </w:tr>
    </w:tbl>
    <w:p w14:paraId="356EB1DC" w14:textId="036B6F76" w:rsidR="00F92D23" w:rsidRDefault="00F92D23" w:rsidP="00F92D23">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4.1’de PÇBÖ ön test, son test ve eşleşen ortak katılımcı sayısı 40 olarak verilmiştir. Karşılaştırmalar dört ölçümün tamamında kullanılabilir verisi bulunan aynı katılımcılar üzerinden yürütülmüştür.</w:t>
      </w:r>
    </w:p>
    <w:p w14:paraId="38E91B4D" w14:textId="55288823" w:rsidR="00847E49" w:rsidRDefault="00847E49" w:rsidP="00F92D23">
      <w:pPr>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PÇBÖ’nün </w:t>
      </w:r>
      <w:r>
        <w:rPr>
          <w:rFonts w:ascii="Times New Roman" w:hAnsi="Times New Roman" w:cs="Times New Roman"/>
          <w:b/>
          <w:bCs/>
          <w:sz w:val="24"/>
          <w:szCs w:val="24"/>
        </w:rPr>
        <w:t>G</w:t>
      </w:r>
      <w:r w:rsidRPr="00847E49">
        <w:rPr>
          <w:rFonts w:ascii="Times New Roman" w:hAnsi="Times New Roman" w:cs="Times New Roman"/>
          <w:b/>
          <w:bCs/>
          <w:sz w:val="24"/>
          <w:szCs w:val="24"/>
        </w:rPr>
        <w:t xml:space="preserve">üvenirlik </w:t>
      </w:r>
      <w:r>
        <w:rPr>
          <w:rFonts w:ascii="Times New Roman" w:hAnsi="Times New Roman" w:cs="Times New Roman"/>
          <w:b/>
          <w:bCs/>
          <w:sz w:val="24"/>
          <w:szCs w:val="24"/>
        </w:rPr>
        <w:t>B</w:t>
      </w:r>
      <w:r w:rsidRPr="00847E49">
        <w:rPr>
          <w:rFonts w:ascii="Times New Roman" w:hAnsi="Times New Roman" w:cs="Times New Roman"/>
          <w:b/>
          <w:bCs/>
          <w:sz w:val="24"/>
          <w:szCs w:val="24"/>
        </w:rPr>
        <w:t>ulguları</w:t>
      </w:r>
    </w:p>
    <w:p w14:paraId="20FA2498" w14:textId="3511413C" w:rsidR="00847E49" w:rsidRDefault="00847E49" w:rsidP="00F92D23">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boyutlarının bu araştırmadaki iç tutarlılık düzeyini belirlemek amacıyla Cronbach alfa katsayıları hesaplanmıştır. Ön test ve son test verileri birlikte değerlendirilerek elde edilen güvenirlik katsayıları Tablo 4.2’de sunulmuştur.</w:t>
      </w:r>
    </w:p>
    <w:p w14:paraId="6E0D5573" w14:textId="542CAA92" w:rsidR="00847E49" w:rsidRPr="00847E49" w:rsidRDefault="00847E49" w:rsidP="00F92D23">
      <w:bookmarkStart w:id="8039" w:name="Ortak40_8039"/>
      <w:bookmarkStart w:id="5039" w:name="Birlesik_5039"/>
      <w:pPr>
        <w:keepNext/>
        <w:keepLines/>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Tablo 4.2 PÇBÖ ve Alt Boyutlarına İlişkin Cronbach Alfa Katsayıları</w:t>
      </w:r>
      <w:bookmarkEnd w:id="5039"/>
      <w:bookmarkEnd w:id="8039"/>
      <w:fldSimple w:instr="TC &quot;Tablo 4.2 PÇB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47"/>
        <w:gridCol w:w="2859"/>
        <w:gridCol w:w="3009"/>
      </w:tblGrid>
      <w:tr w:rsidR="00847E49" w14:paraId="2ED94ABF" w14:textId="77777777" w:rsidTr="00847E49">
        <w:trPr>
          <w:trHeight w:val="408"/>
          <w:jc w:val="center"/>
          <w:cantSplit/>
          <w:tblHeader/>
        </w:trPr>
        <w:tc>
          <w:tcPr>
            <w:tcW w:w="3147" w:type="dxa"/>
          </w:tcPr>
          <w:p w14:paraId="166A0E5F" w14:textId="77777777" w:rsidR="00847E49" w:rsidRDefault="00847E49" w:rsidP="00847E49">
            <w:pPr>
              <w:spacing w:line="252" w:lineRule="auto" w:after="60" w:before="40"/>
              <w:jc w:val="center"/>
            </w:pPr>
            <w:r>
              <w:rPr>
                <w:rFonts w:ascii="Times New Roman" w:eastAsia="Times New Roman" w:hAnsi="Times New Roman"/>
                <w:b/>
                <w:sz w:val="20"/>
              </w:rPr>
              <w:t>Alt Boyut</w:t>
            </w:r>
          </w:p>
        </w:tc>
        <w:tc>
          <w:tcPr>
            <w:tcW w:w="2859" w:type="dxa"/>
          </w:tcPr>
          <w:p w14:paraId="7DB620A9" w14:textId="77777777" w:rsidR="00847E49" w:rsidRDefault="00847E49" w:rsidP="00847E49">
            <w:pPr>
              <w:spacing w:line="252" w:lineRule="auto" w:after="60" w:before="40"/>
              <w:jc w:val="center"/>
            </w:pPr>
            <w:r>
              <w:rPr>
                <w:rFonts w:ascii="Times New Roman" w:eastAsia="Times New Roman" w:hAnsi="Times New Roman"/>
                <w:b/>
                <w:sz w:val="20"/>
              </w:rPr>
              <w:t>Madde Sayısı</w:t>
            </w:r>
          </w:p>
        </w:tc>
        <w:tc>
          <w:tcPr>
            <w:tcW w:w="3009" w:type="dxa"/>
          </w:tcPr>
          <w:p w14:paraId="4F0FDE8B" w14:textId="77777777" w:rsidR="00847E49" w:rsidRDefault="00847E49" w:rsidP="00847E49">
            <w:pPr>
              <w:spacing w:line="252" w:lineRule="auto" w:after="60" w:before="40"/>
              <w:jc w:val="center"/>
            </w:pPr>
            <w:r>
              <w:rPr>
                <w:rFonts w:ascii="Times New Roman" w:eastAsia="Times New Roman" w:hAnsi="Times New Roman"/>
                <w:b/>
                <w:sz w:val="20"/>
              </w:rPr>
              <w:t>Cronbach α</w:t>
            </w:r>
          </w:p>
        </w:tc>
      </w:tr>
      <w:tr w:rsidR="00847E49" w14:paraId="460513AD" w14:textId="77777777" w:rsidTr="00847E49">
        <w:trPr>
          <w:trHeight w:val="399"/>
          <w:jc w:val="center"/>
          <w:cantSplit/>
        </w:trPr>
        <w:tc>
          <w:tcPr>
            <w:tcW w:w="3147" w:type="dxa"/>
          </w:tcPr>
          <w:p w14:paraId="61154977" w14:textId="77777777" w:rsidR="00847E49" w:rsidRDefault="00847E49" w:rsidP="00847E49">
            <w:pPr>
              <w:spacing w:line="252" w:lineRule="auto" w:after="60" w:before="40"/>
              <w:jc w:val="center"/>
            </w:pPr>
            <w:r>
              <w:rPr>
                <w:rFonts w:ascii="Times New Roman" w:eastAsia="Times New Roman" w:hAnsi="Times New Roman"/>
                <w:sz w:val="20"/>
              </w:rPr>
              <w:t>Problem Çözmeye Güvenme</w:t>
            </w:r>
          </w:p>
        </w:tc>
        <w:tc>
          <w:tcPr>
            <w:tcW w:w="2859" w:type="dxa"/>
          </w:tcPr>
          <w:p w14:paraId="08B05065" w14:textId="77777777" w:rsidR="00847E49" w:rsidRDefault="00847E49" w:rsidP="00847E49">
            <w:pPr>
              <w:spacing w:line="252" w:lineRule="auto" w:after="60" w:before="40"/>
              <w:jc w:val="center"/>
            </w:pPr>
            <w:r>
              <w:rPr>
                <w:rFonts w:ascii="Times New Roman" w:eastAsia="Times New Roman" w:hAnsi="Times New Roman"/>
                <w:sz w:val="20"/>
              </w:rPr>
              <w:t>11</w:t>
            </w:r>
          </w:p>
        </w:tc>
        <w:tc>
          <w:tcPr>
            <w:tcW w:w="3009" w:type="dxa"/>
          </w:tcPr>
          <w:p w14:paraId="6F08F753" w14:textId="77777777" w:rsidR="00847E49" w:rsidRDefault="00847E49" w:rsidP="00847E49">
            <w:pPr>
              <w:spacing w:line="252" w:lineRule="auto" w:after="60" w:before="40"/>
              <w:jc w:val="center"/>
            </w:pPr>
            <w:r>
              <w:rPr>
                <w:rFonts w:ascii="Times New Roman" w:eastAsia="Times New Roman" w:hAnsi="Times New Roman"/>
                <w:sz w:val="20"/>
              </w:rPr>
              <w:t>0.840</w:t>
            </w:r>
          </w:p>
        </w:tc>
      </w:tr>
      <w:tr w:rsidR="00847E49" w14:paraId="54A0C897" w14:textId="77777777" w:rsidTr="00847E49">
        <w:trPr>
          <w:trHeight w:val="406"/>
          <w:jc w:val="center"/>
          <w:cantSplit/>
        </w:trPr>
        <w:tc>
          <w:tcPr>
            <w:tcW w:w="3147" w:type="dxa"/>
          </w:tcPr>
          <w:p w14:paraId="4BD0BCAC" w14:textId="77777777" w:rsidR="00847E49" w:rsidRDefault="00847E49" w:rsidP="00847E49">
            <w:pPr>
              <w:spacing w:line="252" w:lineRule="auto" w:after="60" w:before="40"/>
              <w:jc w:val="center"/>
            </w:pPr>
            <w:r>
              <w:rPr>
                <w:rFonts w:ascii="Times New Roman" w:eastAsia="Times New Roman" w:hAnsi="Times New Roman"/>
                <w:sz w:val="20"/>
              </w:rPr>
              <w:t>Yaklaşma-Kaçınma Stili</w:t>
            </w:r>
          </w:p>
        </w:tc>
        <w:tc>
          <w:tcPr>
            <w:tcW w:w="2859" w:type="dxa"/>
          </w:tcPr>
          <w:p w14:paraId="21E2F0BF" w14:textId="77777777" w:rsidR="00847E49" w:rsidRDefault="00847E49" w:rsidP="00847E49">
            <w:pPr>
              <w:spacing w:line="252" w:lineRule="auto" w:after="60" w:before="40"/>
              <w:jc w:val="center"/>
            </w:pPr>
            <w:r>
              <w:rPr>
                <w:rFonts w:ascii="Times New Roman" w:eastAsia="Times New Roman" w:hAnsi="Times New Roman"/>
                <w:sz w:val="20"/>
              </w:rPr>
              <w:t>16</w:t>
            </w:r>
          </w:p>
        </w:tc>
        <w:tc>
          <w:tcPr>
            <w:tcW w:w="3009" w:type="dxa"/>
          </w:tcPr>
          <w:p w14:paraId="1A3A9632" w14:textId="77777777" w:rsidR="00847E49" w:rsidRDefault="00847E49" w:rsidP="00847E49">
            <w:pPr>
              <w:spacing w:line="252" w:lineRule="auto" w:after="60" w:before="40"/>
              <w:jc w:val="center"/>
            </w:pPr>
            <w:r>
              <w:rPr>
                <w:rFonts w:ascii="Times New Roman" w:eastAsia="Times New Roman" w:hAnsi="Times New Roman"/>
                <w:sz w:val="20"/>
              </w:rPr>
              <w:t>0.833</w:t>
            </w:r>
          </w:p>
        </w:tc>
      </w:tr>
      <w:tr w:rsidR="00847E49" w14:paraId="23E6D577" w14:textId="77777777" w:rsidTr="00847E49">
        <w:trPr>
          <w:trHeight w:val="412"/>
          <w:jc w:val="center"/>
          <w:cantSplit/>
        </w:trPr>
        <w:tc>
          <w:tcPr>
            <w:tcW w:w="3147" w:type="dxa"/>
          </w:tcPr>
          <w:p w14:paraId="373C2D2F" w14:textId="77777777" w:rsidR="00847E49" w:rsidRDefault="00847E49" w:rsidP="00847E49">
            <w:pPr>
              <w:spacing w:line="252" w:lineRule="auto" w:after="60" w:before="40"/>
              <w:jc w:val="center"/>
            </w:pPr>
            <w:r>
              <w:rPr>
                <w:rFonts w:ascii="Times New Roman" w:eastAsia="Times New Roman" w:hAnsi="Times New Roman"/>
                <w:sz w:val="20"/>
              </w:rPr>
              <w:t>Kişisel Kontrol</w:t>
            </w:r>
          </w:p>
        </w:tc>
        <w:tc>
          <w:tcPr>
            <w:tcW w:w="2859" w:type="dxa"/>
          </w:tcPr>
          <w:p w14:paraId="1A9E463C" w14:textId="77777777" w:rsidR="00847E49" w:rsidRDefault="00847E49" w:rsidP="00847E49">
            <w:pPr>
              <w:spacing w:line="252" w:lineRule="auto" w:after="60" w:before="40"/>
              <w:jc w:val="center"/>
            </w:pPr>
            <w:r>
              <w:rPr>
                <w:rFonts w:ascii="Times New Roman" w:eastAsia="Times New Roman" w:hAnsi="Times New Roman"/>
                <w:sz w:val="20"/>
              </w:rPr>
              <w:t>5</w:t>
            </w:r>
          </w:p>
        </w:tc>
        <w:tc>
          <w:tcPr>
            <w:tcW w:w="3009" w:type="dxa"/>
          </w:tcPr>
          <w:p w14:paraId="44F91D53" w14:textId="77777777" w:rsidR="00847E49" w:rsidRDefault="00847E49" w:rsidP="00847E49">
            <w:pPr>
              <w:spacing w:line="252" w:lineRule="auto" w:after="60" w:before="40"/>
              <w:jc w:val="center"/>
            </w:pPr>
            <w:r>
              <w:rPr>
                <w:rFonts w:ascii="Times New Roman" w:eastAsia="Times New Roman" w:hAnsi="Times New Roman"/>
                <w:sz w:val="20"/>
              </w:rPr>
              <w:t>0.634</w:t>
            </w:r>
          </w:p>
        </w:tc>
      </w:tr>
      <w:tr w:rsidR="00847E49" w14:paraId="5826853E" w14:textId="77777777" w:rsidTr="00847E49">
        <w:trPr>
          <w:trHeight w:val="404"/>
          <w:jc w:val="center"/>
          <w:cantSplit/>
        </w:trPr>
        <w:tc>
          <w:tcPr>
            <w:tcW w:w="3147" w:type="dxa"/>
          </w:tcPr>
          <w:p w14:paraId="699807AD" w14:textId="77777777" w:rsidR="00847E49" w:rsidRDefault="00847E49" w:rsidP="00847E49">
            <w:pPr>
              <w:spacing w:line="252" w:lineRule="auto" w:after="60" w:before="40"/>
              <w:jc w:val="center"/>
            </w:pPr>
            <w:r>
              <w:rPr>
                <w:rFonts w:ascii="Times New Roman" w:eastAsia="Times New Roman" w:hAnsi="Times New Roman"/>
                <w:sz w:val="20"/>
              </w:rPr>
              <w:t>PÇBÖ Toplam</w:t>
            </w:r>
          </w:p>
        </w:tc>
        <w:tc>
          <w:tcPr>
            <w:tcW w:w="2859" w:type="dxa"/>
          </w:tcPr>
          <w:p w14:paraId="086B62B3" w14:textId="77777777" w:rsidR="00847E49" w:rsidRDefault="00847E49" w:rsidP="00847E49">
            <w:pPr>
              <w:spacing w:line="252" w:lineRule="auto" w:after="60" w:before="40"/>
              <w:jc w:val="center"/>
            </w:pPr>
            <w:r>
              <w:rPr>
                <w:rFonts w:ascii="Times New Roman" w:eastAsia="Times New Roman" w:hAnsi="Times New Roman"/>
                <w:sz w:val="20"/>
              </w:rPr>
              <w:t>35</w:t>
            </w:r>
          </w:p>
        </w:tc>
        <w:tc>
          <w:tcPr>
            <w:tcW w:w="3009" w:type="dxa"/>
          </w:tcPr>
          <w:p w14:paraId="1AB62141" w14:textId="77777777" w:rsidR="00847E49" w:rsidRDefault="00847E49" w:rsidP="00847E49">
            <w:pPr>
              <w:spacing w:line="252" w:lineRule="auto" w:after="60" w:before="40"/>
              <w:jc w:val="center"/>
            </w:pPr>
            <w:r>
              <w:rPr>
                <w:rFonts w:ascii="Times New Roman" w:eastAsia="Times New Roman" w:hAnsi="Times New Roman"/>
                <w:sz w:val="20"/>
              </w:rPr>
              <w:t>0.912</w:t>
            </w:r>
          </w:p>
        </w:tc>
      </w:tr>
    </w:tbl>
    <w:p w14:paraId="16900280" w14:textId="204FB68D" w:rsidR="00847E49" w:rsidRPr="00847E49" w:rsidRDefault="00847E49" w:rsidP="00F92D23">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4.2’de mevcut analizde ön test ve son test kayıtları birleştirilerek hesaplanan alfa katsayıları gösterilmektedir. Toplam katsayı ,912; Problem Çözmeye Güvenme ,840; Yaklaşma–Kaçınma Stili ,833 ve Kişisel Kontrol ,634’tür. Kişisel Kontrol katsayısının diğerlerinden düşük olması, bu boyuta ilişkin yorumlarda dikkate alınmıştır. Bu değerler her ölçüm zamanı için ayrı hesaplanmış katsayılar değildir.</w:t>
      </w:r>
    </w:p>
    <w:p w14:paraId="58D76309" w14:textId="77777777" w:rsidR="00B7594F" w:rsidRPr="00B7594F" w:rsidRDefault="00B7594F" w:rsidP="00B7594F">
      <w:pPr>
        <w:widowControl/>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Tanımlayıcı İstatistikler</w:t>
      </w:r>
    </w:p>
    <w:p w14:paraId="15FB1559" w14:textId="77777777" w:rsidR="00847E49" w:rsidRDefault="00847E49" w:rsidP="00B7594F">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bookmarkStart w:id="8040" w:name="Ortak40_8040"/>
      <w:bookmarkStart w:id="5040" w:name="Birlesik_5040"/>
      <w:pPr>
        <w:keepNext/>
        <w:keepLines/>
        <w:widowControl/>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Tablo 4.</w:t>
      </w:r>
      <w:r w:rsidR="00847E49">
        <w:rPr>
          <w:rFonts w:ascii="Times New Roman" w:hAnsi="Times New Roman" w:cs="Times New Roman"/>
          <w:b/>
          <w:bCs/>
          <w:sz w:val="24"/>
          <w:szCs w:val="24"/>
        </w:rPr>
        <w:t>3</w:t>
      </w:r>
      <w:r w:rsidRPr="00B7594F">
        <w:rPr>
          <w:rFonts w:ascii="Times New Roman" w:hAnsi="Times New Roman" w:cs="Times New Roman"/>
          <w:b/>
          <w:bCs/>
          <w:sz w:val="24"/>
          <w:szCs w:val="24"/>
        </w:rPr>
        <w:t xml:space="preserve"> Problem Çözme Becerisi Ölçeği ve Alt Boyutlarına İlişkin Tanımlayıcı İstatistikler</w:t>
      </w:r>
      <w:bookmarkEnd w:id="5040"/>
      <w:bookmarkEnd w:id="8040"/>
      <w:fldSimple w:instr="TC &quot;Tablo 4.3 Problem Çözme Becerisi Ölçeği ve Alt Boyut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36"/>
        <w:gridCol w:w="1504"/>
        <w:gridCol w:w="683"/>
        <w:gridCol w:w="1229"/>
        <w:gridCol w:w="821"/>
        <w:gridCol w:w="820"/>
        <w:gridCol w:w="821"/>
      </w:tblGrid>
      <w:tr w:rsidR="00847E49" w14:paraId="204B1DCD" w14:textId="77777777" w:rsidTr="003C76BB">
        <w:trPr>
          <w:trHeight w:val="362"/>
          <w:jc w:val="center"/>
          <w:cantSplit/>
          <w:tblHeader/>
        </w:trPr>
        <w:tc>
          <w:tcPr>
            <w:tcW w:w="3136" w:type="dxa"/>
          </w:tcPr>
          <w:p w14:paraId="2D5FF780" w14:textId="77777777" w:rsidR="00847E49" w:rsidRDefault="00847E49" w:rsidP="008E6BB3">
            <w:pPr>
              <w:spacing w:line="252" w:lineRule="auto" w:after="60" w:before="40"/>
              <w:jc w:val="center"/>
            </w:pPr>
            <w:r>
              <w:rPr>
                <w:rFonts w:ascii="Times New Roman" w:eastAsia="Times New Roman" w:hAnsi="Times New Roman"/>
                <w:b/>
                <w:sz w:val="18"/>
              </w:rPr>
              <w:t>Alt Boyut</w:t>
            </w:r>
          </w:p>
        </w:tc>
        <w:tc>
          <w:tcPr>
            <w:tcW w:w="1504" w:type="dxa"/>
          </w:tcPr>
          <w:p w14:paraId="55A6C43D" w14:textId="77777777" w:rsidR="00847E49" w:rsidRDefault="00847E49" w:rsidP="008E6BB3">
            <w:pPr>
              <w:spacing w:line="252" w:lineRule="auto" w:after="60" w:before="40"/>
              <w:jc w:val="center"/>
            </w:pPr>
            <w:r>
              <w:rPr>
                <w:rFonts w:ascii="Times New Roman" w:eastAsia="Times New Roman" w:hAnsi="Times New Roman"/>
                <w:b/>
                <w:sz w:val="18"/>
              </w:rPr>
              <w:t>Ölçüm</w:t>
            </w:r>
          </w:p>
        </w:tc>
        <w:tc>
          <w:tcPr>
            <w:tcW w:w="683" w:type="dxa"/>
          </w:tcPr>
          <w:p w14:paraId="79C330B9" w14:textId="77777777" w:rsidR="00847E49" w:rsidRDefault="00847E49" w:rsidP="008E6BB3">
            <w:pPr>
              <w:spacing w:line="252" w:lineRule="auto" w:after="60" w:before="40"/>
              <w:jc w:val="center"/>
            </w:pPr>
            <w:r>
              <w:rPr>
                <w:rFonts w:ascii="Times New Roman" w:eastAsia="Times New Roman" w:hAnsi="Times New Roman"/>
                <w:b/>
                <w:sz w:val="18"/>
              </w:rPr>
              <w:t>N</w:t>
            </w:r>
          </w:p>
        </w:tc>
        <w:tc>
          <w:tcPr>
            <w:tcW w:w="1229" w:type="dxa"/>
          </w:tcPr>
          <w:p w14:paraId="50311DDF" w14:textId="77777777" w:rsidR="00847E49" w:rsidRDefault="00847E49" w:rsidP="008E6BB3">
            <w:pPr>
              <w:spacing w:line="252" w:lineRule="auto" w:after="60" w:before="40"/>
              <w:jc w:val="center"/>
            </w:pPr>
            <w:r>
              <w:rPr>
                <w:rFonts w:ascii="Times New Roman" w:eastAsia="Times New Roman" w:hAnsi="Times New Roman"/>
                <w:b/>
                <w:sz w:val="18"/>
              </w:rPr>
              <w:t>Ortalama</w:t>
            </w:r>
          </w:p>
        </w:tc>
        <w:tc>
          <w:tcPr>
            <w:tcW w:w="821" w:type="dxa"/>
          </w:tcPr>
          <w:p w14:paraId="0753C6D0" w14:textId="77777777" w:rsidR="00847E49" w:rsidRDefault="00847E49" w:rsidP="008E6BB3">
            <w:pPr>
              <w:spacing w:line="252" w:lineRule="auto" w:after="60" w:before="40"/>
              <w:jc w:val="center"/>
            </w:pPr>
            <w:r>
              <w:rPr>
                <w:rFonts w:ascii="Times New Roman" w:eastAsia="Times New Roman" w:hAnsi="Times New Roman"/>
                <w:b/>
                <w:sz w:val="18"/>
              </w:rPr>
              <w:t>SS</w:t>
            </w:r>
          </w:p>
        </w:tc>
        <w:tc>
          <w:tcPr>
            <w:tcW w:w="820" w:type="dxa"/>
          </w:tcPr>
          <w:p w14:paraId="33FEC206" w14:textId="77777777" w:rsidR="00847E49" w:rsidRDefault="00847E49" w:rsidP="008E6BB3">
            <w:pPr>
              <w:spacing w:line="252" w:lineRule="auto" w:after="60" w:before="40"/>
              <w:jc w:val="center"/>
            </w:pPr>
            <w:r>
              <w:rPr>
                <w:rFonts w:ascii="Times New Roman" w:eastAsia="Times New Roman" w:hAnsi="Times New Roman"/>
                <w:b/>
                <w:sz w:val="18"/>
              </w:rPr>
              <w:t>Min</w:t>
            </w:r>
          </w:p>
        </w:tc>
        <w:tc>
          <w:tcPr>
            <w:tcW w:w="821" w:type="dxa"/>
          </w:tcPr>
          <w:p w14:paraId="4F663D51" w14:textId="77777777" w:rsidR="00847E49" w:rsidRDefault="00847E49" w:rsidP="008E6BB3">
            <w:pPr>
              <w:spacing w:line="252" w:lineRule="auto" w:after="60" w:before="40"/>
              <w:jc w:val="center"/>
            </w:pPr>
            <w:r>
              <w:rPr>
                <w:rFonts w:ascii="Times New Roman" w:eastAsia="Times New Roman" w:hAnsi="Times New Roman"/>
                <w:b/>
                <w:sz w:val="18"/>
              </w:rPr>
              <w:t>Max</w:t>
            </w:r>
          </w:p>
        </w:tc>
      </w:tr>
      <w:tr w:rsidR="00847E49" w14:paraId="74D26670" w14:textId="77777777" w:rsidTr="003C76BB">
        <w:trPr>
          <w:trHeight w:val="345"/>
          <w:jc w:val="center"/>
          <w:cantSplit/>
        </w:trPr>
        <w:tc>
          <w:tcPr>
            <w:tcW w:w="3136" w:type="dxa"/>
          </w:tcPr>
          <w:p w14:paraId="7CC2FEFC" w14:textId="77777777" w:rsidR="00847E49" w:rsidRDefault="00847E49" w:rsidP="008E6BB3">
            <w:pPr>
              <w:spacing w:line="252" w:lineRule="auto" w:after="60" w:before="40"/>
            </w:pPr>
            <w:r>
              <w:rPr>
                <w:rFonts w:ascii="Times New Roman" w:eastAsia="Times New Roman" w:hAnsi="Times New Roman"/>
                <w:sz w:val="18"/>
              </w:rPr>
              <w:t>Problem Çözmeye Güvenme</w:t>
            </w:r>
          </w:p>
        </w:tc>
        <w:tc>
          <w:tcPr>
            <w:tcW w:w="1504" w:type="dxa"/>
          </w:tcPr>
          <w:p w14:paraId="5FBD0E9E"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72E6B403"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1794D785" w14:textId="77777777" w:rsidR="00847E49" w:rsidRDefault="00847E49" w:rsidP="008E6BB3">
            <w:pPr>
              <w:spacing w:line="252" w:lineRule="auto" w:after="60" w:before="40"/>
              <w:jc w:val="center"/>
            </w:pPr>
            <w:r>
              <w:rPr>
                <w:rFonts w:ascii="Times New Roman" w:eastAsia="Times New Roman" w:hAnsi="Times New Roman"/>
                <w:sz w:val="18"/>
              </w:rPr>
              <w:t>2.659</w:t>
            </w:r>
          </w:p>
        </w:tc>
        <w:tc>
          <w:tcPr>
            <w:tcW w:w="821" w:type="dxa"/>
          </w:tcPr>
          <w:p w14:paraId="441CC9AE" w14:textId="77777777" w:rsidR="00847E49" w:rsidRDefault="00847E49" w:rsidP="008E6BB3">
            <w:pPr>
              <w:spacing w:line="252" w:lineRule="auto" w:after="60" w:before="40"/>
              <w:jc w:val="center"/>
            </w:pPr>
            <w:r>
              <w:rPr>
                <w:rFonts w:ascii="Times New Roman" w:eastAsia="Times New Roman" w:hAnsi="Times New Roman"/>
                <w:sz w:val="18"/>
              </w:rPr>
              <w:t>0.637</w:t>
            </w:r>
          </w:p>
        </w:tc>
        <w:tc>
          <w:tcPr>
            <w:tcW w:w="820" w:type="dxa"/>
          </w:tcPr>
          <w:p w14:paraId="1F71F32D" w14:textId="77777777" w:rsidR="00847E49" w:rsidRDefault="00847E49" w:rsidP="008E6BB3">
            <w:pPr>
              <w:spacing w:line="252" w:lineRule="auto" w:after="60" w:before="40"/>
              <w:jc w:val="center"/>
            </w:pPr>
            <w:r>
              <w:rPr>
                <w:rFonts w:ascii="Times New Roman" w:eastAsia="Times New Roman" w:hAnsi="Times New Roman"/>
                <w:sz w:val="18"/>
              </w:rPr>
              <w:t>1.45</w:t>
            </w:r>
          </w:p>
        </w:tc>
        <w:tc>
          <w:tcPr>
            <w:tcW w:w="821" w:type="dxa"/>
          </w:tcPr>
          <w:p w14:paraId="718ACC74" w14:textId="77777777" w:rsidR="00847E49" w:rsidRDefault="00847E49" w:rsidP="008E6BB3">
            <w:pPr>
              <w:spacing w:line="252" w:lineRule="auto" w:after="60" w:before="40"/>
              <w:jc w:val="center"/>
            </w:pPr>
            <w:r>
              <w:rPr>
                <w:rFonts w:ascii="Times New Roman" w:eastAsia="Times New Roman" w:hAnsi="Times New Roman"/>
                <w:sz w:val="18"/>
              </w:rPr>
              <w:t>4.45</w:t>
            </w:r>
          </w:p>
        </w:tc>
      </w:tr>
      <w:tr w:rsidR="00847E49" w14:paraId="34F0E06B" w14:textId="77777777" w:rsidTr="003C76BB">
        <w:trPr>
          <w:trHeight w:val="362"/>
          <w:jc w:val="center"/>
          <w:cantSplit/>
        </w:trPr>
        <w:tc>
          <w:tcPr>
            <w:tcW w:w="3136" w:type="dxa"/>
          </w:tcPr>
          <w:p w14:paraId="46B0D0E5" w14:textId="77777777" w:rsidR="00847E49" w:rsidRDefault="00847E49" w:rsidP="008E6BB3">
            <w:pPr>
              <w:spacing w:line="252" w:lineRule="auto" w:after="60" w:before="40"/>
            </w:pPr>
            <w:r>
              <w:rPr>
                <w:rFonts w:ascii="Times New Roman" w:eastAsia="Times New Roman" w:hAnsi="Times New Roman"/>
                <w:sz w:val="18"/>
              </w:rPr>
              <w:t>Problem Çözmeye Güvenme</w:t>
            </w:r>
          </w:p>
        </w:tc>
        <w:tc>
          <w:tcPr>
            <w:tcW w:w="1504" w:type="dxa"/>
          </w:tcPr>
          <w:p w14:paraId="084AC4ED"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37716282"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13DCE7BA" w14:textId="77777777" w:rsidR="00847E49" w:rsidRDefault="00847E49" w:rsidP="008E6BB3">
            <w:pPr>
              <w:spacing w:line="252" w:lineRule="auto" w:after="60" w:before="40"/>
              <w:jc w:val="center"/>
            </w:pPr>
            <w:r>
              <w:rPr>
                <w:rFonts w:ascii="Times New Roman" w:eastAsia="Times New Roman" w:hAnsi="Times New Roman"/>
                <w:sz w:val="18"/>
              </w:rPr>
              <w:t>2.386</w:t>
            </w:r>
          </w:p>
        </w:tc>
        <w:tc>
          <w:tcPr>
            <w:tcW w:w="821" w:type="dxa"/>
          </w:tcPr>
          <w:p w14:paraId="1CB27D86" w14:textId="77777777" w:rsidR="00847E49" w:rsidRDefault="00847E49" w:rsidP="008E6BB3">
            <w:pPr>
              <w:spacing w:line="252" w:lineRule="auto" w:after="60" w:before="40"/>
              <w:jc w:val="center"/>
            </w:pPr>
            <w:r>
              <w:rPr>
                <w:rFonts w:ascii="Times New Roman" w:eastAsia="Times New Roman" w:hAnsi="Times New Roman"/>
                <w:sz w:val="18"/>
              </w:rPr>
              <w:t>0.608</w:t>
            </w:r>
          </w:p>
        </w:tc>
        <w:tc>
          <w:tcPr>
            <w:tcW w:w="820" w:type="dxa"/>
          </w:tcPr>
          <w:p w14:paraId="068644F1" w14:textId="77777777" w:rsidR="00847E49" w:rsidRDefault="00847E49" w:rsidP="008E6BB3">
            <w:pPr>
              <w:spacing w:line="252" w:lineRule="auto" w:after="60" w:before="40"/>
              <w:jc w:val="center"/>
            </w:pPr>
            <w:r>
              <w:rPr>
                <w:rFonts w:ascii="Times New Roman" w:eastAsia="Times New Roman" w:hAnsi="Times New Roman"/>
                <w:sz w:val="18"/>
              </w:rPr>
              <w:t>1.55</w:t>
            </w:r>
          </w:p>
        </w:tc>
        <w:tc>
          <w:tcPr>
            <w:tcW w:w="821" w:type="dxa"/>
          </w:tcPr>
          <w:p w14:paraId="680F7B0F" w14:textId="77777777" w:rsidR="00847E49" w:rsidRDefault="00847E49" w:rsidP="008E6BB3">
            <w:pPr>
              <w:spacing w:line="252" w:lineRule="auto" w:after="60" w:before="40"/>
              <w:jc w:val="center"/>
            </w:pPr>
            <w:r>
              <w:rPr>
                <w:rFonts w:ascii="Times New Roman" w:eastAsia="Times New Roman" w:hAnsi="Times New Roman"/>
                <w:sz w:val="18"/>
              </w:rPr>
              <w:t>4.45</w:t>
            </w:r>
          </w:p>
        </w:tc>
      </w:tr>
      <w:tr w:rsidR="00847E49" w14:paraId="1F0A35DE" w14:textId="77777777" w:rsidTr="003C76BB">
        <w:trPr>
          <w:trHeight w:val="362"/>
          <w:jc w:val="center"/>
          <w:cantSplit/>
        </w:trPr>
        <w:tc>
          <w:tcPr>
            <w:tcW w:w="3136" w:type="dxa"/>
          </w:tcPr>
          <w:p w14:paraId="17DE26EA" w14:textId="77777777" w:rsidR="00847E49" w:rsidRDefault="00847E49" w:rsidP="008E6BB3">
            <w:pPr>
              <w:spacing w:line="252" w:lineRule="auto" w:after="60" w:before="40"/>
            </w:pPr>
            <w:r>
              <w:rPr>
                <w:rFonts w:ascii="Times New Roman" w:eastAsia="Times New Roman" w:hAnsi="Times New Roman"/>
                <w:sz w:val="18"/>
              </w:rPr>
              <w:t>Yaklaşma-Kaçınma Stili</w:t>
            </w:r>
          </w:p>
        </w:tc>
        <w:tc>
          <w:tcPr>
            <w:tcW w:w="1504" w:type="dxa"/>
          </w:tcPr>
          <w:p w14:paraId="4087A1C5"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2E55D65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E0C7DEE" w14:textId="77777777" w:rsidR="00847E49" w:rsidRDefault="00847E49" w:rsidP="008E6BB3">
            <w:pPr>
              <w:spacing w:line="252" w:lineRule="auto" w:after="60" w:before="40"/>
              <w:jc w:val="center"/>
            </w:pPr>
            <w:r>
              <w:rPr>
                <w:rFonts w:ascii="Times New Roman" w:eastAsia="Times New Roman" w:hAnsi="Times New Roman"/>
                <w:sz w:val="18"/>
              </w:rPr>
              <w:t>3.033</w:t>
            </w:r>
          </w:p>
        </w:tc>
        <w:tc>
          <w:tcPr>
            <w:tcW w:w="821" w:type="dxa"/>
          </w:tcPr>
          <w:p w14:paraId="3047E163" w14:textId="77777777" w:rsidR="00847E49" w:rsidRDefault="00847E49" w:rsidP="008E6BB3">
            <w:pPr>
              <w:spacing w:line="252" w:lineRule="auto" w:after="60" w:before="40"/>
              <w:jc w:val="center"/>
            </w:pPr>
            <w:r>
              <w:rPr>
                <w:rFonts w:ascii="Times New Roman" w:eastAsia="Times New Roman" w:hAnsi="Times New Roman"/>
                <w:sz w:val="18"/>
              </w:rPr>
              <w:t>0.629</w:t>
            </w:r>
          </w:p>
        </w:tc>
        <w:tc>
          <w:tcPr>
            <w:tcW w:w="820" w:type="dxa"/>
          </w:tcPr>
          <w:p w14:paraId="509E6935" w14:textId="77777777" w:rsidR="00847E49" w:rsidRDefault="00847E49" w:rsidP="008E6BB3">
            <w:pPr>
              <w:spacing w:line="252" w:lineRule="auto" w:after="60" w:before="40"/>
              <w:jc w:val="center"/>
            </w:pPr>
            <w:r>
              <w:rPr>
                <w:rFonts w:ascii="Times New Roman" w:eastAsia="Times New Roman" w:hAnsi="Times New Roman"/>
                <w:sz w:val="18"/>
              </w:rPr>
              <w:t>1.75</w:t>
            </w:r>
          </w:p>
        </w:tc>
        <w:tc>
          <w:tcPr>
            <w:tcW w:w="821" w:type="dxa"/>
          </w:tcPr>
          <w:p w14:paraId="6836F2B7" w14:textId="77777777" w:rsidR="00847E49" w:rsidRDefault="00847E49" w:rsidP="008E6BB3">
            <w:pPr>
              <w:spacing w:line="252" w:lineRule="auto" w:after="60" w:before="40"/>
              <w:jc w:val="center"/>
            </w:pPr>
            <w:r>
              <w:rPr>
                <w:rFonts w:ascii="Times New Roman" w:eastAsia="Times New Roman" w:hAnsi="Times New Roman"/>
                <w:sz w:val="18"/>
              </w:rPr>
              <w:t>4.25</w:t>
            </w:r>
          </w:p>
        </w:tc>
      </w:tr>
      <w:tr w:rsidR="00847E49" w14:paraId="5194C509" w14:textId="77777777" w:rsidTr="003C76BB">
        <w:trPr>
          <w:trHeight w:val="345"/>
          <w:jc w:val="center"/>
          <w:cantSplit/>
        </w:trPr>
        <w:tc>
          <w:tcPr>
            <w:tcW w:w="3136" w:type="dxa"/>
          </w:tcPr>
          <w:p w14:paraId="65C141E4" w14:textId="77777777" w:rsidR="00847E49" w:rsidRDefault="00847E49" w:rsidP="008E6BB3">
            <w:pPr>
              <w:spacing w:line="252" w:lineRule="auto" w:after="60" w:before="40"/>
            </w:pPr>
            <w:r>
              <w:rPr>
                <w:rFonts w:ascii="Times New Roman" w:eastAsia="Times New Roman" w:hAnsi="Times New Roman"/>
                <w:sz w:val="18"/>
              </w:rPr>
              <w:t>Yaklaşma-Kaçınma Stili</w:t>
            </w:r>
          </w:p>
        </w:tc>
        <w:tc>
          <w:tcPr>
            <w:tcW w:w="1504" w:type="dxa"/>
          </w:tcPr>
          <w:p w14:paraId="4209A32A"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06C56C3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5ED500F2" w14:textId="77777777" w:rsidR="00847E49" w:rsidRDefault="00847E49" w:rsidP="008E6BB3">
            <w:pPr>
              <w:spacing w:line="252" w:lineRule="auto" w:after="60" w:before="40"/>
              <w:jc w:val="center"/>
            </w:pPr>
            <w:r>
              <w:rPr>
                <w:rFonts w:ascii="Times New Roman" w:eastAsia="Times New Roman" w:hAnsi="Times New Roman"/>
                <w:sz w:val="18"/>
              </w:rPr>
              <w:t>2.986</w:t>
            </w:r>
          </w:p>
        </w:tc>
        <w:tc>
          <w:tcPr>
            <w:tcW w:w="821" w:type="dxa"/>
          </w:tcPr>
          <w:p w14:paraId="2C923FFF" w14:textId="77777777" w:rsidR="00847E49" w:rsidRDefault="00847E49" w:rsidP="008E6BB3">
            <w:pPr>
              <w:spacing w:line="252" w:lineRule="auto" w:after="60" w:before="40"/>
              <w:jc w:val="center"/>
            </w:pPr>
            <w:r>
              <w:rPr>
                <w:rFonts w:ascii="Times New Roman" w:eastAsia="Times New Roman" w:hAnsi="Times New Roman"/>
                <w:sz w:val="18"/>
              </w:rPr>
              <w:t>0.613</w:t>
            </w:r>
          </w:p>
        </w:tc>
        <w:tc>
          <w:tcPr>
            <w:tcW w:w="820" w:type="dxa"/>
          </w:tcPr>
          <w:p w14:paraId="01ADEBB0" w14:textId="77777777" w:rsidR="00847E49" w:rsidRDefault="00847E49" w:rsidP="008E6BB3">
            <w:pPr>
              <w:spacing w:line="252" w:lineRule="auto" w:after="60" w:before="40"/>
              <w:jc w:val="center"/>
            </w:pPr>
            <w:r>
              <w:rPr>
                <w:rFonts w:ascii="Times New Roman" w:eastAsia="Times New Roman" w:hAnsi="Times New Roman"/>
                <w:sz w:val="18"/>
              </w:rPr>
              <w:t>1.62</w:t>
            </w:r>
          </w:p>
        </w:tc>
        <w:tc>
          <w:tcPr>
            <w:tcW w:w="821" w:type="dxa"/>
          </w:tcPr>
          <w:p w14:paraId="08376E72" w14:textId="77777777" w:rsidR="00847E49" w:rsidRDefault="00847E49" w:rsidP="008E6BB3">
            <w:pPr>
              <w:spacing w:line="252" w:lineRule="auto" w:after="60" w:before="40"/>
              <w:jc w:val="center"/>
            </w:pPr>
            <w:r>
              <w:rPr>
                <w:rFonts w:ascii="Times New Roman" w:eastAsia="Times New Roman" w:hAnsi="Times New Roman"/>
                <w:sz w:val="18"/>
              </w:rPr>
              <w:t>4.06</w:t>
            </w:r>
          </w:p>
        </w:tc>
      </w:tr>
      <w:tr w:rsidR="00847E49" w14:paraId="20EF6EF5" w14:textId="77777777" w:rsidTr="003C76BB">
        <w:trPr>
          <w:trHeight w:val="362"/>
          <w:jc w:val="center"/>
          <w:cantSplit/>
        </w:trPr>
        <w:tc>
          <w:tcPr>
            <w:tcW w:w="3136" w:type="dxa"/>
          </w:tcPr>
          <w:p w14:paraId="5357CEE3" w14:textId="77777777" w:rsidR="00847E49" w:rsidRDefault="00847E49" w:rsidP="008E6BB3">
            <w:pPr>
              <w:spacing w:line="252" w:lineRule="auto" w:after="60" w:before="40"/>
            </w:pPr>
            <w:r>
              <w:rPr>
                <w:rFonts w:ascii="Times New Roman" w:eastAsia="Times New Roman" w:hAnsi="Times New Roman"/>
                <w:sz w:val="18"/>
              </w:rPr>
              <w:t>Kişisel Kontrol</w:t>
            </w:r>
          </w:p>
        </w:tc>
        <w:tc>
          <w:tcPr>
            <w:tcW w:w="1504" w:type="dxa"/>
          </w:tcPr>
          <w:p w14:paraId="6AA8C935"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683BE1EC"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5C571B9C" w14:textId="77777777" w:rsidR="00847E49" w:rsidRDefault="00847E49" w:rsidP="008E6BB3">
            <w:pPr>
              <w:spacing w:line="252" w:lineRule="auto" w:after="60" w:before="40"/>
              <w:jc w:val="center"/>
            </w:pPr>
            <w:r>
              <w:rPr>
                <w:rFonts w:ascii="Times New Roman" w:eastAsia="Times New Roman" w:hAnsi="Times New Roman"/>
                <w:sz w:val="18"/>
              </w:rPr>
              <w:t>2.815</w:t>
            </w:r>
          </w:p>
        </w:tc>
        <w:tc>
          <w:tcPr>
            <w:tcW w:w="821" w:type="dxa"/>
          </w:tcPr>
          <w:p w14:paraId="14CB19B3" w14:textId="77777777" w:rsidR="00847E49" w:rsidRDefault="00847E49" w:rsidP="008E6BB3">
            <w:pPr>
              <w:spacing w:line="252" w:lineRule="auto" w:after="60" w:before="40"/>
              <w:jc w:val="center"/>
            </w:pPr>
            <w:r>
              <w:rPr>
                <w:rFonts w:ascii="Times New Roman" w:eastAsia="Times New Roman" w:hAnsi="Times New Roman"/>
                <w:sz w:val="18"/>
              </w:rPr>
              <w:t>0.668</w:t>
            </w:r>
          </w:p>
        </w:tc>
        <w:tc>
          <w:tcPr>
            <w:tcW w:w="820" w:type="dxa"/>
          </w:tcPr>
          <w:p w14:paraId="4EA59C54" w14:textId="77777777" w:rsidR="00847E49" w:rsidRDefault="00847E49" w:rsidP="008E6BB3">
            <w:pPr>
              <w:spacing w:line="252" w:lineRule="auto" w:after="60" w:before="40"/>
              <w:jc w:val="center"/>
            </w:pPr>
            <w:r>
              <w:rPr>
                <w:rFonts w:ascii="Times New Roman" w:eastAsia="Times New Roman" w:hAnsi="Times New Roman"/>
                <w:sz w:val="18"/>
              </w:rPr>
              <w:t>1.40</w:t>
            </w:r>
          </w:p>
        </w:tc>
        <w:tc>
          <w:tcPr>
            <w:tcW w:w="821" w:type="dxa"/>
          </w:tcPr>
          <w:p w14:paraId="426B141D" w14:textId="77777777" w:rsidR="00847E49" w:rsidRDefault="00847E49" w:rsidP="008E6BB3">
            <w:pPr>
              <w:spacing w:line="252" w:lineRule="auto" w:after="60" w:before="40"/>
              <w:jc w:val="center"/>
            </w:pPr>
            <w:r>
              <w:rPr>
                <w:rFonts w:ascii="Times New Roman" w:eastAsia="Times New Roman" w:hAnsi="Times New Roman"/>
                <w:sz w:val="18"/>
              </w:rPr>
              <w:t>4.40</w:t>
            </w:r>
          </w:p>
        </w:tc>
      </w:tr>
      <w:tr w:rsidR="00847E49" w14:paraId="0BF858D1" w14:textId="77777777" w:rsidTr="003C76BB">
        <w:trPr>
          <w:trHeight w:val="362"/>
          <w:jc w:val="center"/>
          <w:cantSplit/>
        </w:trPr>
        <w:tc>
          <w:tcPr>
            <w:tcW w:w="3136" w:type="dxa"/>
          </w:tcPr>
          <w:p w14:paraId="1C807F5A" w14:textId="77777777" w:rsidR="00847E49" w:rsidRDefault="00847E49" w:rsidP="008E6BB3">
            <w:pPr>
              <w:spacing w:line="252" w:lineRule="auto" w:after="60" w:before="40"/>
            </w:pPr>
            <w:r>
              <w:rPr>
                <w:rFonts w:ascii="Times New Roman" w:eastAsia="Times New Roman" w:hAnsi="Times New Roman"/>
                <w:sz w:val="18"/>
              </w:rPr>
              <w:t>Kişisel Kontrol</w:t>
            </w:r>
          </w:p>
        </w:tc>
        <w:tc>
          <w:tcPr>
            <w:tcW w:w="1504" w:type="dxa"/>
          </w:tcPr>
          <w:p w14:paraId="08A26B14"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59F2876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4841498B" w14:textId="77777777" w:rsidR="00847E49" w:rsidRDefault="00847E49" w:rsidP="008E6BB3">
            <w:pPr>
              <w:spacing w:line="252" w:lineRule="auto" w:after="60" w:before="40"/>
              <w:jc w:val="center"/>
            </w:pPr>
            <w:r>
              <w:rPr>
                <w:rFonts w:ascii="Times New Roman" w:eastAsia="Times New Roman" w:hAnsi="Times New Roman"/>
                <w:sz w:val="18"/>
              </w:rPr>
              <w:t>2.525</w:t>
            </w:r>
          </w:p>
        </w:tc>
        <w:tc>
          <w:tcPr>
            <w:tcW w:w="821" w:type="dxa"/>
          </w:tcPr>
          <w:p w14:paraId="0BAF2C25" w14:textId="77777777" w:rsidR="00847E49" w:rsidRDefault="00847E49" w:rsidP="008E6BB3">
            <w:pPr>
              <w:spacing w:line="252" w:lineRule="auto" w:after="60" w:before="40"/>
              <w:jc w:val="center"/>
            </w:pPr>
            <w:r>
              <w:rPr>
                <w:rFonts w:ascii="Times New Roman" w:eastAsia="Times New Roman" w:hAnsi="Times New Roman"/>
                <w:sz w:val="18"/>
              </w:rPr>
              <w:t>0.683</w:t>
            </w:r>
          </w:p>
        </w:tc>
        <w:tc>
          <w:tcPr>
            <w:tcW w:w="820" w:type="dxa"/>
          </w:tcPr>
          <w:p w14:paraId="5A3D4854" w14:textId="77777777" w:rsidR="00847E49" w:rsidRDefault="00847E49" w:rsidP="008E6BB3">
            <w:pPr>
              <w:spacing w:line="252" w:lineRule="auto" w:after="60" w:before="40"/>
              <w:jc w:val="center"/>
            </w:pPr>
            <w:r>
              <w:rPr>
                <w:rFonts w:ascii="Times New Roman" w:eastAsia="Times New Roman" w:hAnsi="Times New Roman"/>
                <w:sz w:val="18"/>
              </w:rPr>
              <w:t>1.20</w:t>
            </w:r>
          </w:p>
        </w:tc>
        <w:tc>
          <w:tcPr>
            <w:tcW w:w="821" w:type="dxa"/>
          </w:tcPr>
          <w:p w14:paraId="7C0CA3E4" w14:textId="77777777" w:rsidR="00847E49" w:rsidRDefault="00847E49" w:rsidP="008E6BB3">
            <w:pPr>
              <w:spacing w:line="252" w:lineRule="auto" w:after="60" w:before="40"/>
              <w:jc w:val="center"/>
            </w:pPr>
            <w:r>
              <w:rPr>
                <w:rFonts w:ascii="Times New Roman" w:eastAsia="Times New Roman" w:hAnsi="Times New Roman"/>
                <w:sz w:val="18"/>
              </w:rPr>
              <w:t>4.40</w:t>
            </w:r>
          </w:p>
        </w:tc>
      </w:tr>
      <w:tr w:rsidR="00847E49" w14:paraId="66BD99B1" w14:textId="77777777" w:rsidTr="003C76BB">
        <w:trPr>
          <w:trHeight w:val="345"/>
          <w:jc w:val="center"/>
          <w:cantSplit/>
        </w:trPr>
        <w:tc>
          <w:tcPr>
            <w:tcW w:w="3136" w:type="dxa"/>
          </w:tcPr>
          <w:p w14:paraId="51740E7C" w14:textId="77777777" w:rsidR="00847E49" w:rsidRDefault="00847E49" w:rsidP="008E6BB3">
            <w:pPr>
              <w:spacing w:line="252" w:lineRule="auto" w:after="60" w:before="40"/>
            </w:pPr>
            <w:r>
              <w:rPr>
                <w:rFonts w:ascii="Times New Roman" w:eastAsia="Times New Roman" w:hAnsi="Times New Roman"/>
                <w:sz w:val="18"/>
              </w:rPr>
              <w:t>PÇBÖ Toplam</w:t>
            </w:r>
          </w:p>
        </w:tc>
        <w:tc>
          <w:tcPr>
            <w:tcW w:w="1504" w:type="dxa"/>
          </w:tcPr>
          <w:p w14:paraId="6C5C8C9A"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358ADCD1"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B4614EB" w14:textId="77777777" w:rsidR="00847E49" w:rsidRDefault="00847E49" w:rsidP="008E6BB3">
            <w:pPr>
              <w:spacing w:line="252" w:lineRule="auto" w:after="60" w:before="40"/>
              <w:jc w:val="center"/>
            </w:pPr>
            <w:r>
              <w:rPr>
                <w:rFonts w:ascii="Times New Roman" w:eastAsia="Times New Roman" w:hAnsi="Times New Roman"/>
                <w:sz w:val="18"/>
              </w:rPr>
              <w:t>2.904</w:t>
            </w:r>
          </w:p>
        </w:tc>
        <w:tc>
          <w:tcPr>
            <w:tcW w:w="821" w:type="dxa"/>
          </w:tcPr>
          <w:p w14:paraId="3A9D50CA" w14:textId="77777777" w:rsidR="00847E49" w:rsidRDefault="00847E49" w:rsidP="008E6BB3">
            <w:pPr>
              <w:spacing w:line="252" w:lineRule="auto" w:after="60" w:before="40"/>
              <w:jc w:val="center"/>
            </w:pPr>
            <w:r>
              <w:rPr>
                <w:rFonts w:ascii="Times New Roman" w:eastAsia="Times New Roman" w:hAnsi="Times New Roman"/>
                <w:sz w:val="18"/>
              </w:rPr>
              <w:t>0.577</w:t>
            </w:r>
          </w:p>
        </w:tc>
        <w:tc>
          <w:tcPr>
            <w:tcW w:w="820" w:type="dxa"/>
          </w:tcPr>
          <w:p w14:paraId="403131EB" w14:textId="77777777" w:rsidR="00847E49" w:rsidRDefault="00847E49" w:rsidP="008E6BB3">
            <w:pPr>
              <w:spacing w:line="252" w:lineRule="auto" w:after="60" w:before="40"/>
              <w:jc w:val="center"/>
            </w:pPr>
            <w:r>
              <w:rPr>
                <w:rFonts w:ascii="Times New Roman" w:eastAsia="Times New Roman" w:hAnsi="Times New Roman"/>
                <w:sz w:val="18"/>
              </w:rPr>
              <w:t>1.83</w:t>
            </w:r>
          </w:p>
        </w:tc>
        <w:tc>
          <w:tcPr>
            <w:tcW w:w="821" w:type="dxa"/>
          </w:tcPr>
          <w:p w14:paraId="3A54EAB9" w14:textId="77777777" w:rsidR="00847E49" w:rsidRDefault="00847E49" w:rsidP="008E6BB3">
            <w:pPr>
              <w:spacing w:line="252" w:lineRule="auto" w:after="60" w:before="40"/>
              <w:jc w:val="center"/>
            </w:pPr>
            <w:r>
              <w:rPr>
                <w:rFonts w:ascii="Times New Roman" w:eastAsia="Times New Roman" w:hAnsi="Times New Roman"/>
                <w:sz w:val="18"/>
              </w:rPr>
              <w:t>4.17</w:t>
            </w:r>
          </w:p>
        </w:tc>
      </w:tr>
      <w:tr w:rsidR="00847E49" w14:paraId="2CB34870" w14:textId="77777777" w:rsidTr="003C76BB">
        <w:trPr>
          <w:trHeight w:val="362"/>
          <w:jc w:val="center"/>
          <w:cantSplit/>
        </w:trPr>
        <w:tc>
          <w:tcPr>
            <w:tcW w:w="3136" w:type="dxa"/>
          </w:tcPr>
          <w:p w14:paraId="12BDF704" w14:textId="77777777" w:rsidR="00847E49" w:rsidRDefault="00847E49" w:rsidP="008E6BB3">
            <w:pPr>
              <w:spacing w:line="252" w:lineRule="auto" w:after="60" w:before="40"/>
            </w:pPr>
            <w:r>
              <w:rPr>
                <w:rFonts w:ascii="Times New Roman" w:eastAsia="Times New Roman" w:hAnsi="Times New Roman"/>
                <w:sz w:val="18"/>
              </w:rPr>
              <w:t>PÇBÖ Toplam</w:t>
            </w:r>
          </w:p>
        </w:tc>
        <w:tc>
          <w:tcPr>
            <w:tcW w:w="1504" w:type="dxa"/>
          </w:tcPr>
          <w:p w14:paraId="1CBA1485"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29B1F168"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A86FA60" w14:textId="77777777" w:rsidR="00847E49" w:rsidRDefault="00847E49" w:rsidP="008E6BB3">
            <w:pPr>
              <w:spacing w:line="252" w:lineRule="auto" w:after="60" w:before="40"/>
              <w:jc w:val="center"/>
            </w:pPr>
            <w:r>
              <w:rPr>
                <w:rFonts w:ascii="Times New Roman" w:eastAsia="Times New Roman" w:hAnsi="Times New Roman"/>
                <w:sz w:val="18"/>
              </w:rPr>
              <w:t>2.741</w:t>
            </w:r>
          </w:p>
        </w:tc>
        <w:tc>
          <w:tcPr>
            <w:tcW w:w="821" w:type="dxa"/>
          </w:tcPr>
          <w:p w14:paraId="173FF551" w14:textId="77777777" w:rsidR="00847E49" w:rsidRDefault="00847E49" w:rsidP="008E6BB3">
            <w:pPr>
              <w:spacing w:line="252" w:lineRule="auto" w:after="60" w:before="40"/>
              <w:jc w:val="center"/>
            </w:pPr>
            <w:r>
              <w:rPr>
                <w:rFonts w:ascii="Times New Roman" w:eastAsia="Times New Roman" w:hAnsi="Times New Roman"/>
                <w:sz w:val="18"/>
              </w:rPr>
              <w:t>0.520</w:t>
            </w:r>
          </w:p>
        </w:tc>
        <w:tc>
          <w:tcPr>
            <w:tcW w:w="820" w:type="dxa"/>
          </w:tcPr>
          <w:p w14:paraId="0BB2DFFF" w14:textId="77777777" w:rsidR="00847E49" w:rsidRDefault="00847E49" w:rsidP="008E6BB3">
            <w:pPr>
              <w:spacing w:line="252" w:lineRule="auto" w:after="60" w:before="40"/>
              <w:jc w:val="center"/>
            </w:pPr>
            <w:r>
              <w:rPr>
                <w:rFonts w:ascii="Times New Roman" w:eastAsia="Times New Roman" w:hAnsi="Times New Roman"/>
                <w:sz w:val="18"/>
              </w:rPr>
              <w:t>1.71</w:t>
            </w:r>
          </w:p>
        </w:tc>
        <w:tc>
          <w:tcPr>
            <w:tcW w:w="821" w:type="dxa"/>
          </w:tcPr>
          <w:p w14:paraId="6847FC9F" w14:textId="77777777" w:rsidR="00847E49" w:rsidRDefault="00847E49" w:rsidP="008E6BB3">
            <w:pPr>
              <w:spacing w:line="252" w:lineRule="auto" w:after="60" w:before="40"/>
              <w:jc w:val="center"/>
            </w:pPr>
            <w:r>
              <w:rPr>
                <w:rFonts w:ascii="Times New Roman" w:eastAsia="Times New Roman" w:hAnsi="Times New Roman"/>
                <w:sz w:val="18"/>
              </w:rPr>
              <w:t>3.94</w:t>
            </w:r>
          </w:p>
        </w:tc>
      </w:tr>
    </w:tbl>
    <w:p w14:paraId="458ED3BC" w14:textId="77777777" w:rsidR="00B7594F" w:rsidRPr="0067107A" w:rsidRDefault="00B7594F" w:rsidP="00B7594F">
      <w:pPr>
        <w:spacing w:line="360" w:lineRule="auto"/>
        <w:jc w:val="both"/>
        <w:rPr>
          <w:rFonts w:ascii="Times New Roman" w:hAnsi="Times New Roman" w:cs="Times New Roman"/>
          <w:sz w:val="24"/>
          <w:szCs w:val="24"/>
        </w:rPr>
      </w:pPr>
    </w:p>
    <w:p w14:paraId="30E2948B" w14:textId="5DEC486F" w:rsidR="0067107A" w:rsidRPr="0067107A" w:rsidRDefault="0067107A" w:rsidP="0067107A">
      <w:pPr>
        <w:keepNext/>
        <w:keepLines/>
        <w:widowControl/>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Tablo 4.</w:t>
      </w:r>
      <w:r w:rsidR="00847E49">
        <w:rPr>
          <w:rFonts w:ascii="Times New Roman" w:hAnsi="Times New Roman" w:cs="Times New Roman"/>
          <w:sz w:val="24"/>
          <w:szCs w:val="24"/>
        </w:rPr>
        <w:t>3</w:t>
      </w:r>
      <w:r w:rsidRPr="0067107A">
        <w:rPr>
          <w:rFonts w:ascii="Times New Roman" w:hAnsi="Times New Roman" w:cs="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pPr>
        <w:keepNext/>
        <w:keepLines/>
        <w:widowControl/>
        <w:spacing w:before="0" w:after="120" w:line="360" w:lineRule="auto"/>
        <w:ind w:firstLine="0"/>
        <w:jc w:val="both"/>
      </w:pPr>
      <w:r>
        <w:rPr>
          <w:rFonts w:ascii="Times New Roman" w:hAnsi="Times New Roman"/>
          <w:sz w:val="24"/>
        </w:rPr>
        <w:t>PÇBÖ ve alt boyutlarının ön test–son test madde puan ortalamaları Şekil 4.1’de karşılaştırılmıştır.</w:t>
      </w:r>
    </w:p>
    <w:p>
      <w:pPr>
        <w:keepNext/>
        <w:keepLines/>
        <w:spacing w:line="240" w:lineRule="auto" w:before="100" w:after="100"/>
        <w:ind w:firstLine="0" w:left="0" w:right="0"/>
        <w:jc w:val="center"/>
      </w:pPr>
      <w:r>
        <w:drawing>
          <wp:inline xmlns:a="http://schemas.openxmlformats.org/drawingml/2006/main" xmlns:pic="http://schemas.openxmlformats.org/drawingml/2006/picture">
            <wp:extent cx="5616000" cy="3109399"/>
            <wp:docPr id="4" name="TezGorsel4"/>
            <wp:cNvGraphicFramePr>
              <a:graphicFrameLocks noChangeAspect="1"/>
            </wp:cNvGraphicFramePr>
            <a:graphic>
              <a:graphicData uri="http://schemas.openxmlformats.org/drawingml/2006/picture">
                <pic:pic>
                  <pic:nvPicPr>
                    <pic:cNvPr id="4" name="sekil-4-1-pcbo-ortalamalari.png"/>
                    <pic:cNvPicPr/>
                  </pic:nvPicPr>
                  <pic:blipFill>
                    <a:blip r:embed="rId21"/>
                    <a:stretch>
                      <a:fillRect/>
                    </a:stretch>
                  </pic:blipFill>
                  <pic:spPr>
                    <a:xfrm>
                      <a:off x="0" y="0"/>
                      <a:ext cx="5616000" cy="3109399"/>
                    </a:xfrm>
                    <a:prstGeom prst="rect"/>
                  </pic:spPr>
                </pic:pic>
              </a:graphicData>
            </a:graphic>
          </wp:inline>
        </w:drawing>
      </w:r>
    </w:p>
    <w:p>
      <w:bookmarkStart w:id="8041" w:name="Ortak40_8041"/>
      <w:bookmarkStart w:id="5041" w:name="Birlesik_5041"/>
      <w:pPr>
        <w:keepNext/>
        <w:keepLines/>
        <w:widowControl/>
        <w:spacing w:before="0" w:after="120" w:line="240" w:lineRule="auto"/>
        <w:ind w:firstLine="0"/>
        <w:jc w:val="left"/>
      </w:pPr>
      <w:r>
        <w:rPr>
          <w:rFonts w:ascii="Times New Roman" w:hAnsi="Times New Roman"/>
          <w:sz w:val="22"/>
        </w:rPr>
        <w:t>Şekil 4.1. PÇBÖ ve alt boyutlarının ön test–son test madde puan ortalamaları</w:t>
      </w:r>
      <w:bookmarkEnd w:id="5041"/>
      <w:bookmarkEnd w:id="8041"/>
      <w:fldSimple w:instr="TC &quot;Şekil 4.1. PÇBÖ ve alt boyutlarının ön test–son test madde puan ortalamaları&quot; \f F \l 1"/>
    </w:p>
    <w:p>
      <w:pPr>
        <w:keepNext w:val="0"/>
        <w:keepLines/>
        <w:widowControl/>
        <w:spacing w:before="0" w:after="120" w:line="240" w:lineRule="auto"/>
        <w:ind w:firstLine="0"/>
        <w:jc w:val="both"/>
      </w:pPr>
      <w:r>
        <w:rPr>
          <w:rFonts w:ascii="Times New Roman" w:hAnsi="Times New Roman"/>
          <w:sz w:val="20"/>
        </w:rPr>
        <w:t>Not. N=40. Noktalar ön test ve son test verileri eşleşen katılımcıların madde puan ortalamalarını göstermektedir. Ölçek ekseni 1–6 arasındadır. Grafik, Tablo 4.3’teki mevcut puanlama ve alt boyut yapısı esas alınarak hazırlanmıştır. Bu analizde düşük puanlar daha olumlu problem çözme algısını ifade etmektedir. Bağlantılar grup ortalamalarını karşılaştırmaktadır; bireysel değişimleri göstermemektedir.</w:t>
      </w:r>
    </w:p>
    <w:p>
      <w:pPr>
        <w:keepNext/>
        <w:keepLines/>
        <w:widowControl/>
        <w:spacing w:before="0" w:after="120" w:line="360" w:lineRule="auto"/>
        <w:ind w:firstLine="0"/>
        <w:jc w:val="both"/>
      </w:pPr>
      <w:r>
        <w:rPr>
          <w:rFonts w:ascii="Times New Roman" w:hAnsi="Times New Roman"/>
          <w:sz w:val="24"/>
        </w:rPr>
        <w:t>Şekil 4.1’de tüm alt boyutlarda son test ortalamalarının ön test ortalamalarından daha düşük olduğu görülmektedir. Toplam puan ortalaması 2.904’ten 2.741’e düşmüştür. En büyük ortalama azalma Kişisel Kontrol alt boyutunda, en küçük azalma ise Yaklaşma-Kaçınma Stili alt boyutunda gözlenmiştir. Bu betimsel görünümün istatistiksel değerlendirmesi Tablo 4.5’teki karşılaştırma sonuçlarıyla birlikte ele alınmalıdır.</w:t>
      </w:r>
    </w:p>
    <w:p w14:paraId="7F696AB0" w14:textId="77777777" w:rsidR="0067107A" w:rsidRDefault="0067107A" w:rsidP="0067107A">
      <w:pPr>
        <w:widowControl/>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keepNext/>
        <w:keepLines/>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Normallik </w:t>
      </w:r>
      <w:r>
        <w:rPr>
          <w:rFonts w:ascii="Times New Roman" w:hAnsi="Times New Roman" w:cs="Times New Roman"/>
          <w:b/>
          <w:bCs/>
          <w:sz w:val="24"/>
          <w:szCs w:val="24"/>
        </w:rPr>
        <w:t>V</w:t>
      </w:r>
      <w:r w:rsidRPr="00847E49">
        <w:rPr>
          <w:rFonts w:ascii="Times New Roman" w:hAnsi="Times New Roman" w:cs="Times New Roman"/>
          <w:b/>
          <w:bCs/>
          <w:sz w:val="24"/>
          <w:szCs w:val="24"/>
        </w:rPr>
        <w:t xml:space="preserve">arsayımına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3C8CA7E3" w14:textId="77777777" w:rsidR="00847E49" w:rsidRPr="00847E49" w:rsidRDefault="00847E49" w:rsidP="00847E49">
      <w:pPr>
        <w:widowControl/>
        <w:jc w:val="both"/>
        <w:rPr>
          <w:rFonts w:ascii="Times New Roman" w:hAnsi="Times New Roman" w:cs="Times New Roman"/>
          <w:sz w:val="24"/>
          <w:szCs w:val="24"/>
        </w:rPr>
      </w:pPr>
      <w:r>
        <w:rPr>
          <w:rFonts w:ascii="Times New Roman" w:hAnsi="Times New Roman"/>
          <w:sz w:val="24"/>
        </w:rPr>
        <w:t>PÇBÖ toplam ve alt boyutlarının son test − ön test fark puanları Shapiro–Wilk testiyle incelenmiştir. Bulgular Tablo 4.4’te sunulmuştur.</w:t>
      </w:r>
    </w:p>
    <w:p w14:paraId="7B1171C6" w14:textId="648AB07E" w:rsidR="00847E49" w:rsidRDefault="00847E49" w:rsidP="00847E49">
      <w:bookmarkStart w:id="8042" w:name="Ortak40_8042"/>
      <w:pPr>
        <w:keepNext/>
        <w:keepLines/>
        <w:widowControl/>
        <w:spacing w:before="240" w:after="120" w:line="240" w:lineRule="auto"/>
        <w:jc w:val="both"/>
        <w:rPr>
          <w:rFonts w:ascii="Times New Roman" w:eastAsia="Times New Roman" w:hAnsi="Times New Roman" w:cs="Times New Roman"/>
          <w:b/>
          <w:sz w:val="24"/>
          <w:szCs w:val="24"/>
        </w:rPr>
      </w:pPr>
      <w:r>
        <w:rPr>
          <w:rFonts w:ascii="Times New Roman" w:hAnsi="Times New Roman"/>
          <w:sz w:val="24"/>
        </w:rPr>
        <w:t>Tablo 4.4 PÇBÖ Ön Test–Son Test Fark Puanlarına İlişkin Shapiro–Wilk Testi Sonuçları</w:t>
      </w:r>
      <w:bookmarkEnd w:id="8042"/>
      <w:fldSimple w:instr="TC &quot;Tablo 4.4 PÇBÖ Ön Test–Son Test Fark Puanlarına İlişkin Shapiro–Wilk Testi Sonuçları&quot; \f T \l 1"/>
    </w:p>
    <w:tbl>
      <w:tblPr>
        <w:tblStyle w:val="TabloKlavuzu"/>
        <w:tblW w:type="auto" w:w="0"/>
        <w:tblLayout w:type="fixed"/>
        <w:tblLook w:firstColumn="1" w:firstRow="1" w:lastColumn="0" w:lastRow="0" w:noHBand="0" w:noVBand="1" w:val="04A0"/>
      </w:tblPr>
      <w:tblGrid>
        <w:gridCol w:w="3005"/>
        <w:gridCol w:w="454"/>
        <w:gridCol w:w="1191"/>
        <w:gridCol w:w="1191"/>
        <w:gridCol w:w="1871"/>
        <w:gridCol w:w="1304"/>
      </w:tblGrid>
      <w:tr>
        <w:trPr>
          <w:cantSplit/>
          <w:tblHeader/>
        </w:trPr>
        <w:tc>
          <w:tcPr>
            <w:tcW w:type="dxa" w:w="3005"/>
          </w:tcPr>
          <w:p>
            <w:pPr>
              <w:spacing w:line="252" w:lineRule="auto" w:after="60"/>
            </w:pPr>
            <w:r>
              <w:rPr>
                <w:rFonts w:ascii="Times New Roman" w:hAnsi="Times New Roman"/>
                <w:sz w:val="20"/>
              </w:rPr>
              <w:t>Alt Boyut</w:t>
            </w:r>
          </w:p>
        </w:tc>
        <w:tc>
          <w:tcPr>
            <w:tcW w:type="dxa" w:w="454"/>
          </w:tcPr>
          <w:p>
            <w:pPr>
              <w:spacing w:line="252" w:lineRule="auto" w:after="60"/>
            </w:pPr>
            <w:r>
              <w:rPr>
                <w:rFonts w:ascii="Times New Roman" w:hAnsi="Times New Roman"/>
                <w:sz w:val="20"/>
              </w:rPr>
              <w:t>N</w:t>
            </w:r>
          </w:p>
        </w:tc>
        <w:tc>
          <w:tcPr>
            <w:tcW w:type="dxa" w:w="1191"/>
          </w:tcPr>
          <w:p>
            <w:r>
              <w:t>Ort. fark</w:t>
            </w:r>
          </w:p>
        </w:tc>
        <w:tc>
          <w:tcPr>
            <w:tcW w:type="dxa" w:w="1191"/>
          </w:tcPr>
          <w:p>
            <w:pPr>
              <w:spacing w:line="252" w:lineRule="auto" w:after="60"/>
            </w:pPr>
            <w:r>
              <w:rPr>
                <w:rFonts w:ascii="Times New Roman" w:hAnsi="Times New Roman"/>
                <w:sz w:val="20"/>
              </w:rPr>
              <w:t>Fark SS</w:t>
            </w:r>
          </w:p>
        </w:tc>
        <w:tc>
          <w:tcPr>
            <w:tcW w:type="dxa" w:w="1871"/>
          </w:tcPr>
          <w:p>
            <w:pPr>
              <w:spacing w:line="252" w:lineRule="auto" w:after="60"/>
            </w:pPr>
            <w:r>
              <w:rPr>
                <w:rFonts w:ascii="Times New Roman" w:hAnsi="Times New Roman"/>
                <w:sz w:val="20"/>
              </w:rPr>
              <w:t>Shapiro–Wilk W</w:t>
            </w:r>
          </w:p>
        </w:tc>
        <w:tc>
          <w:tcPr>
            <w:tcW w:type="dxa" w:w="1304"/>
          </w:tcPr>
          <w:p>
            <w:pPr>
              <w:spacing w:line="252" w:lineRule="auto" w:after="60"/>
            </w:pPr>
            <w:r>
              <w:rPr>
                <w:rFonts w:ascii="Times New Roman" w:hAnsi="Times New Roman"/>
                <w:sz w:val="20"/>
              </w:rPr>
              <w:t>p</w:t>
            </w:r>
          </w:p>
        </w:tc>
      </w:tr>
      <w:tr>
        <w:trPr>
          <w:cantSplit/>
        </w:trPr>
        <w:tc>
          <w:tcPr>
            <w:tcW w:type="dxa" w:w="3005"/>
          </w:tcPr>
          <w:p>
            <w:pPr>
              <w:spacing w:line="252" w:lineRule="auto" w:after="60"/>
            </w:pPr>
            <w:r>
              <w:rPr>
                <w:rFonts w:ascii="Times New Roman" w:hAnsi="Times New Roman"/>
                <w:sz w:val="20"/>
              </w:rPr>
              <w:t>Problem Çözmeye Güvenme</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-0.273</w:t>
            </w:r>
          </w:p>
        </w:tc>
        <w:tc>
          <w:tcPr>
            <w:tcW w:type="dxa" w:w="1191"/>
          </w:tcPr>
          <w:p>
            <w:pPr>
              <w:spacing w:line="252" w:lineRule="auto" w:after="60"/>
            </w:pPr>
            <w:r>
              <w:rPr>
                <w:rFonts w:ascii="Times New Roman" w:hAnsi="Times New Roman"/>
                <w:sz w:val="20"/>
              </w:rPr>
              <w:t>0.444</w:t>
            </w:r>
          </w:p>
        </w:tc>
        <w:tc>
          <w:tcPr>
            <w:tcW w:type="dxa" w:w="1871"/>
          </w:tcPr>
          <w:p>
            <w:pPr>
              <w:spacing w:line="252" w:lineRule="auto" w:after="60"/>
            </w:pPr>
            <w:r>
              <w:rPr>
                <w:rFonts w:ascii="Times New Roman" w:hAnsi="Times New Roman"/>
                <w:sz w:val="20"/>
              </w:rPr>
              <w:t>0.962</w:t>
            </w:r>
          </w:p>
        </w:tc>
        <w:tc>
          <w:tcPr>
            <w:tcW w:type="dxa" w:w="1304"/>
          </w:tcPr>
          <w:p>
            <w:pPr>
              <w:spacing w:line="252" w:lineRule="auto" w:after="60"/>
            </w:pPr>
            <w:r>
              <w:rPr>
                <w:rFonts w:ascii="Times New Roman" w:hAnsi="Times New Roman"/>
                <w:sz w:val="20"/>
              </w:rPr>
              <w:t>= .194</w:t>
            </w:r>
          </w:p>
        </w:tc>
      </w:tr>
      <w:tr>
        <w:trPr>
          <w:cantSplit/>
        </w:trPr>
        <w:tc>
          <w:tcPr>
            <w:tcW w:type="dxa" w:w="3005"/>
          </w:tcPr>
          <w:p>
            <w:pPr>
              <w:spacing w:line="252" w:lineRule="auto" w:after="60"/>
            </w:pPr>
            <w:r>
              <w:rPr>
                <w:rFonts w:ascii="Times New Roman" w:hAnsi="Times New Roman"/>
                <w:sz w:val="20"/>
              </w:rPr>
              <w:t>Yaklaşma-Kaçınma Stili</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-0.047</w:t>
            </w:r>
          </w:p>
        </w:tc>
        <w:tc>
          <w:tcPr>
            <w:tcW w:type="dxa" w:w="1191"/>
          </w:tcPr>
          <w:p>
            <w:pPr>
              <w:spacing w:line="252" w:lineRule="auto" w:after="60"/>
            </w:pPr>
            <w:r>
              <w:rPr>
                <w:rFonts w:ascii="Times New Roman" w:hAnsi="Times New Roman"/>
                <w:sz w:val="20"/>
              </w:rPr>
              <w:t>0.536</w:t>
            </w:r>
          </w:p>
        </w:tc>
        <w:tc>
          <w:tcPr>
            <w:tcW w:type="dxa" w:w="1871"/>
          </w:tcPr>
          <w:p>
            <w:pPr>
              <w:spacing w:line="252" w:lineRule="auto" w:after="60"/>
            </w:pPr>
            <w:r>
              <w:rPr>
                <w:rFonts w:ascii="Times New Roman" w:hAnsi="Times New Roman"/>
                <w:sz w:val="20"/>
              </w:rPr>
              <w:t>0.977</w:t>
            </w:r>
          </w:p>
        </w:tc>
        <w:tc>
          <w:tcPr>
            <w:tcW w:type="dxa" w:w="1304"/>
          </w:tcPr>
          <w:p>
            <w:pPr>
              <w:spacing w:line="252" w:lineRule="auto" w:after="60"/>
            </w:pPr>
            <w:r>
              <w:rPr>
                <w:rFonts w:ascii="Times New Roman" w:hAnsi="Times New Roman"/>
                <w:sz w:val="20"/>
              </w:rPr>
              <w:t>= .574</w:t>
            </w:r>
          </w:p>
        </w:tc>
      </w:tr>
      <w:tr>
        <w:trPr>
          <w:cantSplit/>
        </w:trPr>
        <w:tc>
          <w:tcPr>
            <w:tcW w:type="dxa" w:w="3005"/>
          </w:tcPr>
          <w:p>
            <w:pPr>
              <w:spacing w:line="252" w:lineRule="auto" w:after="60"/>
            </w:pPr>
            <w:r>
              <w:rPr>
                <w:rFonts w:ascii="Times New Roman" w:hAnsi="Times New Roman"/>
                <w:sz w:val="20"/>
              </w:rPr>
              <w:t>Kişisel Kontrol</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-0.290</w:t>
            </w:r>
          </w:p>
        </w:tc>
        <w:tc>
          <w:tcPr>
            <w:tcW w:type="dxa" w:w="1191"/>
          </w:tcPr>
          <w:p>
            <w:pPr>
              <w:spacing w:line="252" w:lineRule="auto" w:after="60"/>
            </w:pPr>
            <w:r>
              <w:rPr>
                <w:rFonts w:ascii="Times New Roman" w:hAnsi="Times New Roman"/>
                <w:sz w:val="20"/>
              </w:rPr>
              <w:t>0.703</w:t>
            </w:r>
          </w:p>
        </w:tc>
        <w:tc>
          <w:tcPr>
            <w:tcW w:type="dxa" w:w="1871"/>
          </w:tcPr>
          <w:p>
            <w:pPr>
              <w:spacing w:line="252" w:lineRule="auto" w:after="60"/>
            </w:pPr>
            <w:r>
              <w:rPr>
                <w:rFonts w:ascii="Times New Roman" w:hAnsi="Times New Roman"/>
                <w:sz w:val="20"/>
              </w:rPr>
              <w:t>0.981</w:t>
            </w:r>
          </w:p>
        </w:tc>
        <w:tc>
          <w:tcPr>
            <w:tcW w:type="dxa" w:w="1304"/>
          </w:tcPr>
          <w:p>
            <w:pPr>
              <w:spacing w:line="252" w:lineRule="auto" w:after="60"/>
            </w:pPr>
            <w:r>
              <w:rPr>
                <w:rFonts w:ascii="Times New Roman" w:hAnsi="Times New Roman"/>
                <w:sz w:val="20"/>
              </w:rPr>
              <w:t>= .733</w:t>
            </w:r>
          </w:p>
        </w:tc>
      </w:tr>
      <w:tr>
        <w:trPr>
          <w:cantSplit/>
        </w:trPr>
        <w:tc>
          <w:tcPr>
            <w:tcW w:type="dxa" w:w="3005"/>
          </w:tcPr>
          <w:p>
            <w:pPr>
              <w:spacing w:line="252" w:lineRule="auto" w:after="60"/>
            </w:pPr>
            <w:r>
              <w:rPr>
                <w:rFonts w:ascii="Times New Roman" w:hAnsi="Times New Roman"/>
                <w:sz w:val="20"/>
              </w:rPr>
              <w:t>PÇBÖ Toplam</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-0.162</w:t>
            </w:r>
          </w:p>
        </w:tc>
        <w:tc>
          <w:tcPr>
            <w:tcW w:type="dxa" w:w="1191"/>
          </w:tcPr>
          <w:p>
            <w:pPr>
              <w:spacing w:line="252" w:lineRule="auto" w:after="60"/>
            </w:pPr>
            <w:r>
              <w:rPr>
                <w:rFonts w:ascii="Times New Roman" w:hAnsi="Times New Roman"/>
                <w:sz w:val="20"/>
              </w:rPr>
              <w:t>0.432</w:t>
            </w:r>
          </w:p>
        </w:tc>
        <w:tc>
          <w:tcPr>
            <w:tcW w:type="dxa" w:w="1871"/>
          </w:tcPr>
          <w:p>
            <w:pPr>
              <w:spacing w:line="252" w:lineRule="auto" w:after="60"/>
            </w:pPr>
            <w:r>
              <w:rPr>
                <w:rFonts w:ascii="Times New Roman" w:hAnsi="Times New Roman"/>
                <w:sz w:val="20"/>
              </w:rPr>
              <w:t>0.902</w:t>
            </w:r>
          </w:p>
        </w:tc>
        <w:tc>
          <w:tcPr>
            <w:tcW w:type="dxa" w:w="1304"/>
          </w:tcPr>
          <w:p>
            <w:pPr>
              <w:spacing w:line="252" w:lineRule="auto" w:after="60"/>
            </w:pPr>
            <w:r>
              <w:rPr>
                <w:rFonts w:ascii="Times New Roman" w:hAnsi="Times New Roman"/>
                <w:sz w:val="20"/>
              </w:rPr>
              <w:t>= .002</w:t>
            </w:r>
          </w:p>
        </w:tc>
      </w:tr>
    </w:tbl>
    <w:p w14:paraId="37ED46A1" w14:textId="2078EE3C" w:rsidR="0067107A" w:rsidRDefault="00847E49" w:rsidP="0067107A">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4.4’te fark puanlarının dağılımı verilmiştir. Problem Çözmeye Güvenme, Yaklaşma–Kaçınma Stili ve Kişisel Kontrol boyutlarında test anlamlı değildir. Toplam puan farklarında normal dağılımdan anlamlı sapma bulunmuştur (W=,902; p=,002). Ana t testiyle birlikte yapılan Wilcoxon duyarlılık incelemesinde toplam puan farkı anlamlı kalmıştır (yaklaşık p=,003). Bu ek sonuç, t testinin yerine geçirilmeden yorumlanmıştır.</w:t>
      </w:r>
      <w:r>
        <w:t xml:space="preserve"> Tablodaki farklar son test − ön test yönünde hesaplanmıştır.</w:t>
      </w:r>
    </w:p>
    <w:p w14:paraId="0A443434" w14:textId="77777777" w:rsidR="00847E49" w:rsidRDefault="00847E49" w:rsidP="0067107A">
      <w:pPr>
        <w:spacing w:line="360" w:lineRule="auto"/>
        <w:jc w:val="both"/>
        <w:rPr>
          <w:rFonts w:ascii="Times New Roman" w:hAnsi="Times New Roman" w:cs="Times New Roman"/>
          <w:b/>
          <w:bCs/>
          <w:sz w:val="24"/>
          <w:szCs w:val="24"/>
        </w:rPr>
      </w:pPr>
    </w:p>
    <w:p w14:paraId="2FF85B6E" w14:textId="77777777" w:rsidR="00847E49" w:rsidRDefault="00847E49" w:rsidP="0067107A">
      <w:pPr>
        <w:spacing w:line="360" w:lineRule="auto"/>
        <w:jc w:val="both"/>
        <w:rPr>
          <w:rFonts w:ascii="Times New Roman" w:hAnsi="Times New Roman" w:cs="Times New Roman"/>
          <w:b/>
          <w:bCs/>
          <w:sz w:val="24"/>
          <w:szCs w:val="24"/>
        </w:rPr>
      </w:pPr>
    </w:p>
    <w:p w14:paraId="07038AC6" w14:textId="75935387" w:rsidR="00847E49" w:rsidRDefault="00847E49" w:rsidP="0067107A">
      <w:pPr>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Ön test-</w:t>
      </w:r>
      <w:r>
        <w:rPr>
          <w:rFonts w:ascii="Times New Roman" w:hAnsi="Times New Roman" w:cs="Times New Roman"/>
          <w:b/>
          <w:bCs/>
          <w:sz w:val="24"/>
          <w:szCs w:val="24"/>
        </w:rPr>
        <w:t>S</w:t>
      </w:r>
      <w:r w:rsidRPr="00847E49">
        <w:rPr>
          <w:rFonts w:ascii="Times New Roman" w:hAnsi="Times New Roman" w:cs="Times New Roman"/>
          <w:b/>
          <w:bCs/>
          <w:sz w:val="24"/>
          <w:szCs w:val="24"/>
        </w:rPr>
        <w:t xml:space="preserve">on test </w:t>
      </w:r>
      <w:r>
        <w:rPr>
          <w:rFonts w:ascii="Times New Roman" w:hAnsi="Times New Roman" w:cs="Times New Roman"/>
          <w:b/>
          <w:bCs/>
          <w:sz w:val="24"/>
          <w:szCs w:val="24"/>
        </w:rPr>
        <w:t>K</w:t>
      </w:r>
      <w:r w:rsidRPr="00847E49">
        <w:rPr>
          <w:rFonts w:ascii="Times New Roman" w:hAnsi="Times New Roman" w:cs="Times New Roman"/>
          <w:b/>
          <w:bCs/>
          <w:sz w:val="24"/>
          <w:szCs w:val="24"/>
        </w:rPr>
        <w:t xml:space="preserve">arşılaştırmalarına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69F1DF07" w14:textId="21BBD75F" w:rsidR="00847E49" w:rsidRDefault="00847E49" w:rsidP="0067107A">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bookmarkStart w:id="8043" w:name="Ortak40_8043"/>
      <w:bookmarkStart w:id="5043" w:name="Birlesik_5043"/>
      <w:pPr>
        <w:keepNext/>
        <w:keepLines/>
        <w:widowControl/>
        <w:spacing w:before="240" w:after="120" w:line="240" w:lineRule="auto"/>
        <w:jc w:val="both"/>
        <w:rPr>
          <w:rFonts w:ascii="Times New Roman" w:eastAsia="Times New Roman" w:hAnsi="Times New Roman"/>
          <w:b/>
          <w:sz w:val="24"/>
        </w:rPr>
      </w:pPr>
      <w:r>
        <w:rPr>
          <w:rFonts w:ascii="Times New Roman" w:eastAsia="Times New Roman" w:hAnsi="Times New Roman"/>
          <w:b/>
          <w:sz w:val="24"/>
        </w:rPr>
        <w:t>Tablo 4.5. PÇBÖ Ön Test ve Son Test Puanlarının Bağımlı Örneklemler t Testi Sonuçları</w:t>
      </w:r>
      <w:bookmarkEnd w:id="5043"/>
      <w:bookmarkEnd w:id="8043"/>
      <w:fldSimple w:instr="TC &quot;Tablo 4.5. PÇB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29"/>
        <w:gridCol w:w="753"/>
        <w:gridCol w:w="828"/>
        <w:gridCol w:w="787"/>
        <w:gridCol w:w="758"/>
        <w:gridCol w:w="657"/>
        <w:gridCol w:w="658"/>
        <w:gridCol w:w="828"/>
        <w:gridCol w:w="879"/>
        <w:gridCol w:w="1037"/>
      </w:tblGrid>
      <w:tr w:rsidR="00847E49" w:rsidRPr="003C76BB" w14:paraId="095C1D7F" w14:textId="77777777" w:rsidTr="003C76BB">
        <w:trPr>
          <w:trHeight w:val="798"/>
          <w:jc w:val="center"/>
          <w:cantSplit/>
          <w:tblHeader/>
        </w:trPr>
        <w:tc>
          <w:tcPr>
            <w:tcW w:w="1829" w:type="dxa"/>
          </w:tcPr>
          <w:p w14:paraId="5FFFB587"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Alt Boyut</w:t>
            </w:r>
          </w:p>
        </w:tc>
        <w:tc>
          <w:tcPr>
            <w:tcW w:w="753" w:type="dxa"/>
          </w:tcPr>
          <w:p w14:paraId="6FE3F43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Ön x̄</w:t>
            </w:r>
          </w:p>
        </w:tc>
        <w:tc>
          <w:tcPr>
            <w:tcW w:w="828" w:type="dxa"/>
          </w:tcPr>
          <w:p w14:paraId="171D3C6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Ön SS</w:t>
            </w:r>
          </w:p>
        </w:tc>
        <w:tc>
          <w:tcPr>
            <w:tcW w:w="787" w:type="dxa"/>
          </w:tcPr>
          <w:p w14:paraId="57A2DB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Son x̄</w:t>
            </w:r>
          </w:p>
        </w:tc>
        <w:tc>
          <w:tcPr>
            <w:tcW w:w="758" w:type="dxa"/>
          </w:tcPr>
          <w:p w14:paraId="1DBCBB02"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Son SS</w:t>
            </w:r>
          </w:p>
        </w:tc>
        <w:tc>
          <w:tcPr>
            <w:tcW w:w="657" w:type="dxa"/>
          </w:tcPr>
          <w:p w14:paraId="6C5EFC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N</w:t>
            </w:r>
          </w:p>
        </w:tc>
        <w:tc>
          <w:tcPr>
            <w:tcW w:w="658" w:type="dxa"/>
          </w:tcPr>
          <w:p w14:paraId="130B188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sd</w:t>
            </w:r>
          </w:p>
        </w:tc>
        <w:tc>
          <w:tcPr>
            <w:tcW w:w="828" w:type="dxa"/>
          </w:tcPr>
          <w:p w14:paraId="2BB9613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t</w:t>
            </w:r>
          </w:p>
        </w:tc>
        <w:tc>
          <w:tcPr>
            <w:tcW w:w="879" w:type="dxa"/>
          </w:tcPr>
          <w:p w14:paraId="01D44BB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p</w:t>
            </w:r>
          </w:p>
        </w:tc>
        <w:tc>
          <w:tcPr>
            <w:tcW w:w="1037" w:type="dxa"/>
          </w:tcPr>
          <w:p w14:paraId="486943D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Cohen's d</w:t>
            </w:r>
          </w:p>
        </w:tc>
      </w:tr>
      <w:tr w:rsidR="00847E49" w:rsidRPr="003C76BB" w14:paraId="0A59F2BA" w14:textId="77777777" w:rsidTr="003C76BB">
        <w:trPr>
          <w:trHeight w:val="1180"/>
          <w:jc w:val="center"/>
          <w:cantSplit/>
        </w:trPr>
        <w:tc>
          <w:tcPr>
            <w:tcW w:w="1829" w:type="dxa"/>
          </w:tcPr>
          <w:p w14:paraId="2DE456D2"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Problem Çözmeye Güvenme</w:t>
            </w:r>
          </w:p>
        </w:tc>
        <w:tc>
          <w:tcPr>
            <w:tcW w:w="753" w:type="dxa"/>
          </w:tcPr>
          <w:p w14:paraId="2BE38D48"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2.659</w:t>
            </w:r>
          </w:p>
        </w:tc>
        <w:tc>
          <w:tcPr>
            <w:tcW w:w="828" w:type="dxa"/>
          </w:tcPr>
          <w:p w14:paraId="53AFD89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0.637</w:t>
            </w:r>
          </w:p>
        </w:tc>
        <w:tc>
          <w:tcPr>
            <w:tcW w:w="787" w:type="dxa"/>
          </w:tcPr>
          <w:p w14:paraId="1C145BF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2.386</w:t>
            </w:r>
          </w:p>
        </w:tc>
        <w:tc>
          <w:tcPr>
            <w:tcW w:w="758" w:type="dxa"/>
          </w:tcPr>
          <w:p w14:paraId="5417EC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0.608</w:t>
            </w:r>
          </w:p>
        </w:tc>
        <w:tc>
          <w:tcPr>
            <w:tcW w:w="657" w:type="dxa"/>
          </w:tcPr>
          <w:p w14:paraId="34DA489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3520B1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4237659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3.885</w:t>
            </w:r>
          </w:p>
        </w:tc>
        <w:tc>
          <w:tcPr>
            <w:tcW w:w="879" w:type="dxa"/>
          </w:tcPr>
          <w:p w14:paraId="62418408"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&lt; .001</w:t>
            </w:r>
          </w:p>
        </w:tc>
        <w:tc>
          <w:tcPr>
            <w:tcW w:w="1037" w:type="dxa"/>
          </w:tcPr>
          <w:p w14:paraId="067324D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0.614</w:t>
            </w:r>
          </w:p>
        </w:tc>
      </w:tr>
      <w:tr w:rsidR="00847E49" w:rsidRPr="003C76BB" w14:paraId="417B8592" w14:textId="77777777" w:rsidTr="003C76BB">
        <w:trPr>
          <w:trHeight w:val="798"/>
          <w:jc w:val="center"/>
          <w:cantSplit/>
        </w:trPr>
        <w:tc>
          <w:tcPr>
            <w:tcW w:w="1829" w:type="dxa"/>
          </w:tcPr>
          <w:p w14:paraId="37C18524"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Yaklaşma-Kaçınma Stili</w:t>
            </w:r>
          </w:p>
        </w:tc>
        <w:tc>
          <w:tcPr>
            <w:tcW w:w="753" w:type="dxa"/>
          </w:tcPr>
          <w:p w14:paraId="161D791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3.033</w:t>
            </w:r>
          </w:p>
        </w:tc>
        <w:tc>
          <w:tcPr>
            <w:tcW w:w="828" w:type="dxa"/>
          </w:tcPr>
          <w:p w14:paraId="03BA437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0.629</w:t>
            </w:r>
          </w:p>
        </w:tc>
        <w:tc>
          <w:tcPr>
            <w:tcW w:w="787" w:type="dxa"/>
          </w:tcPr>
          <w:p w14:paraId="1BBBE2B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2.986</w:t>
            </w:r>
          </w:p>
        </w:tc>
        <w:tc>
          <w:tcPr>
            <w:tcW w:w="758" w:type="dxa"/>
          </w:tcPr>
          <w:p w14:paraId="11F6155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0.613</w:t>
            </w:r>
          </w:p>
        </w:tc>
        <w:tc>
          <w:tcPr>
            <w:tcW w:w="657" w:type="dxa"/>
          </w:tcPr>
          <w:p w14:paraId="289DC30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474F0F1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3F03171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0.553</w:t>
            </w:r>
          </w:p>
        </w:tc>
        <w:tc>
          <w:tcPr>
            <w:tcW w:w="879" w:type="dxa"/>
          </w:tcPr>
          <w:p w14:paraId="74997B22"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.584</w:t>
            </w:r>
          </w:p>
        </w:tc>
        <w:tc>
          <w:tcPr>
            <w:tcW w:w="1037" w:type="dxa"/>
          </w:tcPr>
          <w:p w14:paraId="3F15C6E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0.087</w:t>
            </w:r>
          </w:p>
        </w:tc>
      </w:tr>
      <w:tr w:rsidR="00847E49" w:rsidRPr="003C76BB" w14:paraId="2BC4EEF0" w14:textId="77777777" w:rsidTr="003C76BB">
        <w:trPr>
          <w:trHeight w:val="399"/>
          <w:jc w:val="center"/>
          <w:cantSplit/>
        </w:trPr>
        <w:tc>
          <w:tcPr>
            <w:tcW w:w="1829" w:type="dxa"/>
          </w:tcPr>
          <w:p w14:paraId="3AC01818"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Kişisel Kontrol</w:t>
            </w:r>
          </w:p>
        </w:tc>
        <w:tc>
          <w:tcPr>
            <w:tcW w:w="753" w:type="dxa"/>
          </w:tcPr>
          <w:p w14:paraId="7669135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2.815</w:t>
            </w:r>
          </w:p>
        </w:tc>
        <w:tc>
          <w:tcPr>
            <w:tcW w:w="828" w:type="dxa"/>
          </w:tcPr>
          <w:p w14:paraId="381769B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0.668</w:t>
            </w:r>
          </w:p>
        </w:tc>
        <w:tc>
          <w:tcPr>
            <w:tcW w:w="787" w:type="dxa"/>
          </w:tcPr>
          <w:p w14:paraId="753F500B"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2.525</w:t>
            </w:r>
          </w:p>
        </w:tc>
        <w:tc>
          <w:tcPr>
            <w:tcW w:w="758" w:type="dxa"/>
          </w:tcPr>
          <w:p w14:paraId="18EEA9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0.683</w:t>
            </w:r>
          </w:p>
        </w:tc>
        <w:tc>
          <w:tcPr>
            <w:tcW w:w="657" w:type="dxa"/>
          </w:tcPr>
          <w:p w14:paraId="16EACA3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485C1A2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106384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2.609</w:t>
            </w:r>
          </w:p>
        </w:tc>
        <w:tc>
          <w:tcPr>
            <w:tcW w:w="879" w:type="dxa"/>
          </w:tcPr>
          <w:p w14:paraId="54D0066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.013</w:t>
            </w:r>
          </w:p>
        </w:tc>
        <w:tc>
          <w:tcPr>
            <w:tcW w:w="1037" w:type="dxa"/>
          </w:tcPr>
          <w:p w14:paraId="4B9199C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0.412</w:t>
            </w:r>
          </w:p>
        </w:tc>
      </w:tr>
      <w:tr w:rsidR="00847E49" w:rsidRPr="003C76BB" w14:paraId="7D1A6E87" w14:textId="77777777" w:rsidTr="003C76BB">
        <w:trPr>
          <w:trHeight w:val="381"/>
          <w:jc w:val="center"/>
          <w:cantSplit/>
        </w:trPr>
        <w:tc>
          <w:tcPr>
            <w:tcW w:w="1829" w:type="dxa"/>
          </w:tcPr>
          <w:p w14:paraId="3D0F34E5"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PÇBÖ Toplam</w:t>
            </w:r>
          </w:p>
        </w:tc>
        <w:tc>
          <w:tcPr>
            <w:tcW w:w="753" w:type="dxa"/>
          </w:tcPr>
          <w:p w14:paraId="0B6D088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2.904</w:t>
            </w:r>
          </w:p>
        </w:tc>
        <w:tc>
          <w:tcPr>
            <w:tcW w:w="828" w:type="dxa"/>
          </w:tcPr>
          <w:p w14:paraId="70EC62D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0.577</w:t>
            </w:r>
          </w:p>
        </w:tc>
        <w:tc>
          <w:tcPr>
            <w:tcW w:w="787" w:type="dxa"/>
          </w:tcPr>
          <w:p w14:paraId="379845AB"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2.741</w:t>
            </w:r>
          </w:p>
        </w:tc>
        <w:tc>
          <w:tcPr>
            <w:tcW w:w="758" w:type="dxa"/>
          </w:tcPr>
          <w:p w14:paraId="67B5854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0.520</w:t>
            </w:r>
          </w:p>
        </w:tc>
        <w:tc>
          <w:tcPr>
            <w:tcW w:w="657" w:type="dxa"/>
          </w:tcPr>
          <w:p w14:paraId="39C65AD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0998D65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476352FF"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2.372</w:t>
            </w:r>
          </w:p>
        </w:tc>
        <w:tc>
          <w:tcPr>
            <w:tcW w:w="879" w:type="dxa"/>
          </w:tcPr>
          <w:p w14:paraId="4873CB7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.023</w:t>
            </w:r>
          </w:p>
        </w:tc>
        <w:tc>
          <w:tcPr>
            <w:tcW w:w="1037" w:type="dxa"/>
          </w:tcPr>
          <w:p w14:paraId="1D5265D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0.375</w:t>
            </w:r>
          </w:p>
        </w:tc>
      </w:tr>
    </w:tbl>
    <w:p w14:paraId="06C5864B" w14:textId="77777777" w:rsidR="003C76BB" w:rsidRPr="003C76BB" w:rsidRDefault="003C76BB" w:rsidP="003C76BB">
      <w:pPr>
        <w:keepNext/>
        <w:keepLines/>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widowControl/>
        <w:spacing w:line="360" w:lineRule="auto"/>
        <w:jc w:val="both"/>
        <w:rPr>
          <w:rFonts w:ascii="Times New Roman" w:hAnsi="Times New Roman" w:cs="Times New Roman"/>
          <w:sz w:val="24"/>
          <w:szCs w:val="24"/>
        </w:rPr>
      </w:pPr>
      <w:r>
        <w:rPr>
          <w:rFonts w:ascii="Times New Roman" w:hAnsi="Times New Roman"/>
          <w:sz w:val="24"/>
        </w:rPr>
        <w:t>Ölçeğin toplam puanında ön test ile son test arasında anlamlı fark bulunmuştur [t(39)=2.372, p=.023, d=0.375]. Mevcut puanlama düzeninde düşük puan daha olumlu problem çözme algısını gösterdiğinden, ortalamanın 2.904’ten 2.741’e düşmesi olumlu yönde bir öz değerlendirme değişimine işaret etmektedir. Kontrol grubu bulunmadığından bu değişim yalnızca uygulamaya bağlanmamıştır.</w:t>
      </w:r>
    </w:p>
    <w:p w14:paraId="460FEB69" w14:textId="69859873" w:rsidR="003C76BB" w:rsidRPr="003C76BB" w:rsidRDefault="003C76BB" w:rsidP="003C76BB">
      <w:pPr>
        <w:keepNext/>
        <w:keepLines/>
        <w:widowControl/>
        <w:spacing w:line="360" w:lineRule="auto"/>
        <w:jc w:val="both"/>
        <w:rPr>
          <w:rFonts w:ascii="Times New Roman" w:hAnsi="Times New Roman" w:cs="Times New Roman"/>
          <w:b/>
          <w:bCs/>
          <w:sz w:val="24"/>
          <w:szCs w:val="24"/>
        </w:rPr>
      </w:pPr>
      <w:r w:rsidRPr="003C76BB">
        <w:rPr>
          <w:b/>
          <w:bCs/>
          <w:sz w:val="24"/>
          <w:szCs w:val="24"/>
        </w:rPr>
        <w:t>Bulguların Genel Değerlendirilmesi</w:t>
      </w:r>
    </w:p>
    <w:p w14:paraId="4F6CA05E"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2731F3FF" w14:textId="77777777" w:rsidR="00623E78" w:rsidRPr="00623E78" w:rsidRDefault="00623E78" w:rsidP="00EE3619">
      <w:bookmarkStart w:id="8044" w:name="Ortak40_8044"/>
      <w:bookmarkStart w:id="5044" w:name="Birlesik_5044"/>
      <w:pPr>
        <w:pStyle w:val="Balk3"/>
        <w:keepNext/>
        <w:widowControl/>
      </w:pPr>
      <w:bookmarkStart w:id="33" w:name="_Toc236354039"/>
      <w:r w:rsidRPr="00623E78">
        <w:t>4.1.2. İletişim Becerileri Ölçeğine İlişkin Bulgular</w:t>
      </w:r>
      <w:bookmarkEnd w:id="33"/>
      <w:bookmarkEnd w:id="5044"/>
      <w:bookmarkEnd w:id="8044"/>
    </w:p>
    <w:p w14:paraId="426A34DC" w14:textId="77777777"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Bu bölümde İletişim Becerileri Ölçeği’nden elde edilen nicel bulgular sunulmuştur. Analizler, ön test ve son test verileri eşleşen katılımcılar üzerinden yürütülmüştür. Katılım ve eşleştirme bilgilerini güvenirlik katsayıları, tanımlayıcı istatistikler, normallik testleri ve ön test–son test karşılaştırmaları izlemektedir.</w:t>
      </w:r>
    </w:p>
    <w:p w14:paraId="7F7AB0BD" w14:textId="77777777" w:rsidR="00623E78" w:rsidRPr="00623E78" w:rsidRDefault="00623E78" w:rsidP="00623E78">
      <w:pPr>
        <w:keepNext/>
        <w:keepLines/>
        <w:widowControl/>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Katılımcı Sayıları ve Veri Eşleştirme Süreci</w:t>
      </w:r>
    </w:p>
    <w:p w14:paraId="20DB342E" w14:textId="77777777"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İBDÖ karşılaştırmalarında PÇBÖ ile aynı 40 öğretmen adayının ön test ve son test verileri kullanılmıştır. Öğrenci numaraları dört ölçümde ortak olan kişiler esas alınmış; iletişim ölçeğinde kendi içinde eşleşmesine karşın PÇBÖ ölçümlerinden birinde kullanılabilir kaydı bulunmayan kişiler bu ortak gruba alınmamıştır. Böylece iki ölçekte de aynı kişiler ve aynı ön test–son test sayıları korunmuştur.</w:t>
      </w:r>
    </w:p>
    <w:p w14:paraId="3F762E36" w14:textId="595E6161" w:rsidR="007C40BE" w:rsidRPr="00623E78" w:rsidRDefault="00623E78" w:rsidP="00C16765">
      <w:bookmarkStart w:id="8045" w:name="Ortak40_8045"/>
      <w:pPr>
        <w:keepNext/>
        <w:keepLines/>
        <w:widowControl/>
        <w:spacing w:line="360" w:lineRule="auto"/>
        <w:jc w:val="both"/>
        <w:rPr>
          <w:rFonts w:ascii="Times New Roman" w:hAnsi="Times New Roman" w:cs="Times New Roman"/>
          <w:b/>
          <w:bCs/>
          <w:sz w:val="24"/>
          <w:szCs w:val="24"/>
        </w:rPr>
      </w:pPr>
      <w:r>
        <w:rPr>
          <w:rFonts w:ascii="Times New Roman" w:hAnsi="Times New Roman"/>
          <w:sz w:val="24"/>
        </w:rPr>
        <w:t>Tablo 4.6. İBDÖ Ortak Analiz Grubunun Ön Test ve Son Test Katılımcı Sayıları</w:t>
      </w:r>
      <w:bookmarkEnd w:id="8045"/>
      <w:fldSimple w:instr="TC &quot;Tablo 4.6. İBDÖ Ortak Analiz Grubunun Ön Test ve Son Test Katılımcı 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04"/>
        <w:gridCol w:w="4510"/>
      </w:tblGrid>
      <w:tr w:rsidR="00623E78" w14:paraId="52B558EE" w14:textId="77777777" w:rsidTr="00623E78">
        <w:trPr>
          <w:trHeight w:val="340"/>
          <w:jc w:val="center"/>
          <w:cantSplit/>
          <w:tblHeader/>
        </w:trPr>
        <w:tc>
          <w:tcPr>
            <w:tcW w:w="4504" w:type="dxa"/>
          </w:tcPr>
          <w:p>
            <w:pPr>
              <w:spacing w:line="252" w:lineRule="auto" w:after="60"/>
            </w:pPr>
            <w:r>
              <w:rPr>
                <w:rFonts w:ascii="Times New Roman" w:hAnsi="Times New Roman"/>
                <w:sz w:val="20"/>
              </w:rPr>
              <w:t>Ölçüm</w:t>
            </w:r>
          </w:p>
        </w:tc>
        <w:tc>
          <w:tcPr>
            <w:tcW w:w="4510" w:type="dxa"/>
          </w:tcPr>
          <w:p>
            <w:pPr>
              <w:spacing w:line="252" w:lineRule="auto" w:after="60"/>
            </w:pPr>
            <w:r>
              <w:rPr>
                <w:rFonts w:ascii="Times New Roman" w:hAnsi="Times New Roman"/>
                <w:sz w:val="20"/>
              </w:rPr>
              <w:t>Ortak gruptaki katılımcı sayısı</w:t>
            </w:r>
          </w:p>
        </w:tc>
      </w:tr>
      <w:tr w:rsidR="00623E78" w14:paraId="20E45DBE" w14:textId="77777777" w:rsidTr="00623E78">
        <w:trPr>
          <w:trHeight w:val="325"/>
          <w:jc w:val="center"/>
          <w:cantSplit/>
        </w:trPr>
        <w:tc>
          <w:tcPr>
            <w:tcW w:w="4504" w:type="dxa"/>
          </w:tcPr>
          <w:p>
            <w:pPr>
              <w:spacing w:line="252" w:lineRule="auto" w:after="60"/>
            </w:pPr>
            <w:r>
              <w:rPr>
                <w:rFonts w:ascii="Times New Roman" w:hAnsi="Times New Roman"/>
                <w:sz w:val="20"/>
              </w:rPr>
              <w:t>Ön Test</w:t>
            </w:r>
          </w:p>
        </w:tc>
        <w:tc>
          <w:tcPr>
            <w:tcW w:w="4510" w:type="dxa"/>
          </w:tcPr>
          <w:p>
            <w:pPr>
              <w:spacing w:line="252" w:lineRule="auto" w:after="60"/>
            </w:pPr>
            <w:r>
              <w:rPr>
                <w:rFonts w:ascii="Times New Roman" w:hAnsi="Times New Roman"/>
                <w:sz w:val="20"/>
              </w:rPr>
              <w:t>40</w:t>
            </w:r>
          </w:p>
        </w:tc>
      </w:tr>
      <w:tr w:rsidR="00623E78" w14:paraId="27C18E70" w14:textId="77777777" w:rsidTr="00623E78">
        <w:trPr>
          <w:trHeight w:val="340"/>
          <w:jc w:val="center"/>
          <w:cantSplit/>
        </w:trPr>
        <w:tc>
          <w:tcPr>
            <w:tcW w:w="4504" w:type="dxa"/>
          </w:tcPr>
          <w:p>
            <w:pPr>
              <w:spacing w:line="252" w:lineRule="auto" w:after="60"/>
            </w:pPr>
            <w:r>
              <w:rPr>
                <w:rFonts w:ascii="Times New Roman" w:hAnsi="Times New Roman"/>
                <w:sz w:val="20"/>
              </w:rPr>
              <w:t>Son Test</w:t>
            </w:r>
          </w:p>
        </w:tc>
        <w:tc>
          <w:tcPr>
            <w:tcW w:w="4510" w:type="dxa"/>
          </w:tcPr>
          <w:p>
            <w:pPr>
              <w:spacing w:line="252" w:lineRule="auto" w:after="60"/>
            </w:pPr>
            <w:r>
              <w:rPr>
                <w:rFonts w:ascii="Times New Roman" w:hAnsi="Times New Roman"/>
                <w:sz w:val="20"/>
              </w:rPr>
              <w:t>40</w:t>
            </w:r>
          </w:p>
        </w:tc>
      </w:tr>
      <w:tr w:rsidR="00623E78" w14:paraId="2249EC90" w14:textId="77777777" w:rsidTr="00623E78">
        <w:trPr>
          <w:trHeight w:val="325"/>
          <w:jc w:val="center"/>
          <w:cantSplit/>
        </w:trPr>
        <w:tc>
          <w:tcPr>
            <w:tcW w:w="4504" w:type="dxa"/>
          </w:tcPr>
          <w:p>
            <w:pPr>
              <w:spacing w:line="252" w:lineRule="auto" w:after="60"/>
            </w:pPr>
            <w:r>
              <w:rPr>
                <w:rFonts w:ascii="Times New Roman" w:hAnsi="Times New Roman"/>
                <w:sz w:val="20"/>
              </w:rPr>
              <w:t>Eşleşen ortak katılımcı</w:t>
            </w:r>
          </w:p>
        </w:tc>
        <w:tc>
          <w:tcPr>
            <w:tcW w:w="4510" w:type="dxa"/>
          </w:tcPr>
          <w:p>
            <w:pPr>
              <w:spacing w:line="252" w:lineRule="auto" w:after="60"/>
            </w:pPr>
            <w:r>
              <w:rPr>
                <w:rFonts w:ascii="Times New Roman" w:hAnsi="Times New Roman"/>
                <w:sz w:val="20"/>
              </w:rPr>
              <w:t>40</w:t>
            </w:r>
          </w:p>
        </w:tc>
      </w:tr>
    </w:tbl>
    <w:p w14:paraId="12F7FC51" w14:textId="37A029FD" w:rsidR="00A63292" w:rsidRDefault="00623E78" w:rsidP="00C16765">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4.6’da ortak analiz grubuna ilişkin ön test, son test ve eşleşen katılımcı sayıları gösterilmiştir. Üç sayı da 40’tır; iki ölçekte karşılaştırılan katılımcılar aynı kişilerdir.</w:t>
      </w:r>
    </w:p>
    <w:p w14:paraId="7A99A657" w14:textId="77777777" w:rsidR="00623E78" w:rsidRPr="00623E78" w:rsidRDefault="00623E78" w:rsidP="00623E78">
      <w:pPr>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Güvenirlik Bulguları</w:t>
      </w:r>
    </w:p>
    <w:p w14:paraId="738F5D93"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 (İBDÖ) ve alt boyutlarının bu araştırmadaki iç tutarlılık düzeyini belirlemek amacıyla Cronbach alfa katsayıları hesaplanmıştır. Ön test ve son test verileri birlikte değerlendirilerek elde edilen güvenirlik katsayıları Tablo 4.7'de sunulmuştur.</w:t>
      </w:r>
    </w:p>
    <w:p w14:paraId="5E05C7E9" w14:textId="77777777" w:rsidR="00623E78" w:rsidRPr="00623E78" w:rsidRDefault="00623E78" w:rsidP="00623E78">
      <w:bookmarkStart w:id="8046" w:name="Ortak40_8046"/>
      <w:bookmarkStart w:id="5046" w:name="Birlesik_5046"/>
      <w:pPr>
        <w:keepNext/>
        <w:keepLines/>
        <w:widowControl/>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Tablo 4.7. İBDÖ ve Alt Boyutlarına İlişkin Cronbach Alfa Katsayıları</w:t>
      </w:r>
      <w:bookmarkEnd w:id="5046"/>
      <w:bookmarkEnd w:id="8046"/>
      <w:fldSimple w:instr="TC &quot;Tablo 4.7. İBD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67"/>
        <w:gridCol w:w="2258"/>
        <w:gridCol w:w="2389"/>
      </w:tblGrid>
      <w:tr w:rsidR="00623E78" w14:paraId="16EAD046" w14:textId="77777777" w:rsidTr="00623E78">
        <w:trPr>
          <w:trHeight w:val="340"/>
          <w:jc w:val="center"/>
          <w:cantSplit/>
          <w:tblHeader/>
        </w:trPr>
        <w:tc>
          <w:tcPr>
            <w:tcW w:w="4367" w:type="dxa"/>
          </w:tcPr>
          <w:p>
            <w:pPr>
              <w:spacing w:line="252" w:lineRule="auto" w:after="60"/>
            </w:pPr>
            <w:r>
              <w:rPr>
                <w:rFonts w:ascii="Times New Roman" w:hAnsi="Times New Roman"/>
                <w:sz w:val="20"/>
              </w:rPr>
              <w:t>Alt Boyut</w:t>
            </w:r>
          </w:p>
        </w:tc>
        <w:tc>
          <w:tcPr>
            <w:tcW w:w="2258" w:type="dxa"/>
          </w:tcPr>
          <w:p>
            <w:pPr>
              <w:spacing w:line="252" w:lineRule="auto" w:after="60"/>
            </w:pPr>
            <w:r>
              <w:rPr>
                <w:rFonts w:ascii="Times New Roman" w:hAnsi="Times New Roman"/>
                <w:sz w:val="20"/>
              </w:rPr>
              <w:t>Madde Sayısı</w:t>
            </w:r>
          </w:p>
        </w:tc>
        <w:tc>
          <w:tcPr>
            <w:tcW w:w="2389" w:type="dxa"/>
          </w:tcPr>
          <w:p>
            <w:pPr>
              <w:spacing w:line="252" w:lineRule="auto" w:after="60"/>
            </w:pPr>
            <w:r>
              <w:rPr>
                <w:rFonts w:ascii="Times New Roman" w:hAnsi="Times New Roman"/>
                <w:sz w:val="20"/>
              </w:rPr>
              <w:t>Cronbach α</w:t>
            </w:r>
          </w:p>
        </w:tc>
      </w:tr>
      <w:tr w:rsidR="00623E78" w14:paraId="020602A5" w14:textId="77777777" w:rsidTr="00623E78">
        <w:trPr>
          <w:trHeight w:val="325"/>
          <w:jc w:val="center"/>
          <w:cantSplit/>
        </w:trPr>
        <w:tc>
          <w:tcPr>
            <w:tcW w:w="4367" w:type="dxa"/>
          </w:tcPr>
          <w:p>
            <w:pPr>
              <w:spacing w:line="252" w:lineRule="auto" w:after="60"/>
            </w:pPr>
            <w:r>
              <w:rPr>
                <w:rFonts w:ascii="Times New Roman" w:hAnsi="Times New Roman"/>
                <w:sz w:val="20"/>
              </w:rPr>
              <w:t>İletişim İlkeleri ve Temel Beceriler</w:t>
            </w:r>
          </w:p>
        </w:tc>
        <w:tc>
          <w:tcPr>
            <w:tcW w:w="2258" w:type="dxa"/>
          </w:tcPr>
          <w:p>
            <w:pPr>
              <w:spacing w:line="252" w:lineRule="auto" w:after="60"/>
            </w:pPr>
            <w:r>
              <w:rPr>
                <w:rFonts w:ascii="Times New Roman" w:hAnsi="Times New Roman"/>
                <w:sz w:val="20"/>
              </w:rPr>
              <w:t>10</w:t>
            </w:r>
          </w:p>
        </w:tc>
        <w:tc>
          <w:tcPr>
            <w:tcW w:w="2389" w:type="dxa"/>
          </w:tcPr>
          <w:p>
            <w:pPr>
              <w:spacing w:line="252" w:lineRule="auto" w:after="60"/>
            </w:pPr>
            <w:r>
              <w:rPr>
                <w:rFonts w:ascii="Times New Roman" w:hAnsi="Times New Roman"/>
                <w:sz w:val="20"/>
              </w:rPr>
              <w:t>0.673</w:t>
            </w:r>
          </w:p>
        </w:tc>
      </w:tr>
      <w:tr w:rsidR="00623E78" w14:paraId="3EEB032E" w14:textId="77777777" w:rsidTr="00623E78">
        <w:trPr>
          <w:trHeight w:val="340"/>
          <w:jc w:val="center"/>
          <w:cantSplit/>
        </w:trPr>
        <w:tc>
          <w:tcPr>
            <w:tcW w:w="4367" w:type="dxa"/>
          </w:tcPr>
          <w:p>
            <w:pPr>
              <w:spacing w:line="252" w:lineRule="auto" w:after="60"/>
            </w:pPr>
            <w:r>
              <w:rPr>
                <w:rFonts w:ascii="Times New Roman" w:hAnsi="Times New Roman"/>
                <w:sz w:val="20"/>
              </w:rPr>
              <w:t>Kendini İfade Etme</w:t>
            </w:r>
          </w:p>
        </w:tc>
        <w:tc>
          <w:tcPr>
            <w:tcW w:w="2258" w:type="dxa"/>
          </w:tcPr>
          <w:p>
            <w:pPr>
              <w:spacing w:line="252" w:lineRule="auto" w:after="60"/>
            </w:pPr>
            <w:r>
              <w:rPr>
                <w:rFonts w:ascii="Times New Roman" w:hAnsi="Times New Roman"/>
                <w:sz w:val="20"/>
              </w:rPr>
              <w:t>4</w:t>
            </w:r>
          </w:p>
        </w:tc>
        <w:tc>
          <w:tcPr>
            <w:tcW w:w="2389" w:type="dxa"/>
          </w:tcPr>
          <w:p>
            <w:pPr>
              <w:spacing w:line="252" w:lineRule="auto" w:after="60"/>
            </w:pPr>
            <w:r>
              <w:rPr>
                <w:rFonts w:ascii="Times New Roman" w:hAnsi="Times New Roman"/>
                <w:sz w:val="20"/>
              </w:rPr>
              <w:t>0.737</w:t>
            </w:r>
          </w:p>
        </w:tc>
      </w:tr>
      <w:tr w:rsidR="00623E78" w14:paraId="3B5F5EC4" w14:textId="77777777" w:rsidTr="00623E78">
        <w:trPr>
          <w:trHeight w:val="340"/>
          <w:jc w:val="center"/>
          <w:cantSplit/>
        </w:trPr>
        <w:tc>
          <w:tcPr>
            <w:tcW w:w="4367" w:type="dxa"/>
          </w:tcPr>
          <w:p>
            <w:pPr>
              <w:spacing w:line="252" w:lineRule="auto" w:after="60"/>
            </w:pPr>
            <w:r>
              <w:rPr>
                <w:rFonts w:ascii="Times New Roman" w:hAnsi="Times New Roman"/>
                <w:sz w:val="20"/>
              </w:rPr>
              <w:t>Etkin Dinleme ve Sözel Olmayan İletişim</w:t>
            </w:r>
          </w:p>
        </w:tc>
        <w:tc>
          <w:tcPr>
            <w:tcW w:w="2258" w:type="dxa"/>
          </w:tcPr>
          <w:p>
            <w:pPr>
              <w:spacing w:line="252" w:lineRule="auto" w:after="60"/>
            </w:pPr>
            <w:r>
              <w:rPr>
                <w:rFonts w:ascii="Times New Roman" w:hAnsi="Times New Roman"/>
                <w:sz w:val="20"/>
              </w:rPr>
              <w:t>6</w:t>
            </w:r>
          </w:p>
        </w:tc>
        <w:tc>
          <w:tcPr>
            <w:tcW w:w="2389" w:type="dxa"/>
          </w:tcPr>
          <w:p>
            <w:pPr>
              <w:spacing w:line="252" w:lineRule="auto" w:after="60"/>
            </w:pPr>
            <w:r>
              <w:rPr>
                <w:rFonts w:ascii="Times New Roman" w:hAnsi="Times New Roman"/>
                <w:sz w:val="20"/>
              </w:rPr>
              <w:t>0.644</w:t>
            </w:r>
          </w:p>
        </w:tc>
      </w:tr>
      <w:tr w:rsidR="00623E78" w14:paraId="35D88B21" w14:textId="77777777" w:rsidTr="00623E78">
        <w:trPr>
          <w:trHeight w:val="325"/>
          <w:jc w:val="center"/>
          <w:cantSplit/>
        </w:trPr>
        <w:tc>
          <w:tcPr>
            <w:tcW w:w="4367" w:type="dxa"/>
          </w:tcPr>
          <w:p>
            <w:pPr>
              <w:spacing w:line="252" w:lineRule="auto" w:after="60"/>
            </w:pPr>
            <w:r>
              <w:rPr>
                <w:rFonts w:ascii="Times New Roman" w:hAnsi="Times New Roman"/>
                <w:sz w:val="20"/>
              </w:rPr>
              <w:t>İletişim Kurmaya İsteklilik</w:t>
            </w:r>
          </w:p>
        </w:tc>
        <w:tc>
          <w:tcPr>
            <w:tcW w:w="2258" w:type="dxa"/>
          </w:tcPr>
          <w:p>
            <w:pPr>
              <w:spacing w:line="252" w:lineRule="auto" w:after="60"/>
            </w:pPr>
            <w:r>
              <w:rPr>
                <w:rFonts w:ascii="Times New Roman" w:hAnsi="Times New Roman"/>
                <w:sz w:val="20"/>
              </w:rPr>
              <w:t>5</w:t>
            </w:r>
          </w:p>
        </w:tc>
        <w:tc>
          <w:tcPr>
            <w:tcW w:w="2389" w:type="dxa"/>
          </w:tcPr>
          <w:p>
            <w:pPr>
              <w:spacing w:line="252" w:lineRule="auto" w:after="60"/>
            </w:pPr>
            <w:r>
              <w:rPr>
                <w:rFonts w:ascii="Times New Roman" w:hAnsi="Times New Roman"/>
                <w:sz w:val="20"/>
              </w:rPr>
              <w:t>0.574</w:t>
            </w:r>
          </w:p>
        </w:tc>
      </w:tr>
      <w:tr w:rsidR="00623E78" w14:paraId="46047BEB" w14:textId="77777777" w:rsidTr="00623E78">
        <w:trPr>
          <w:trHeight w:val="340"/>
          <w:jc w:val="center"/>
          <w:cantSplit/>
        </w:trPr>
        <w:tc>
          <w:tcPr>
            <w:tcW w:w="4367" w:type="dxa"/>
          </w:tcPr>
          <w:p>
            <w:pPr>
              <w:spacing w:line="252" w:lineRule="auto" w:after="60"/>
            </w:pPr>
            <w:r>
              <w:rPr>
                <w:rFonts w:ascii="Times New Roman" w:hAnsi="Times New Roman"/>
                <w:sz w:val="20"/>
              </w:rPr>
              <w:t>İBDÖ Toplam</w:t>
            </w:r>
          </w:p>
        </w:tc>
        <w:tc>
          <w:tcPr>
            <w:tcW w:w="2258" w:type="dxa"/>
          </w:tcPr>
          <w:p>
            <w:pPr>
              <w:spacing w:line="252" w:lineRule="auto" w:after="60"/>
            </w:pPr>
            <w:r>
              <w:rPr>
                <w:rFonts w:ascii="Times New Roman" w:hAnsi="Times New Roman"/>
                <w:sz w:val="20"/>
              </w:rPr>
              <w:t>25</w:t>
            </w:r>
          </w:p>
        </w:tc>
        <w:tc>
          <w:tcPr>
            <w:tcW w:w="2389" w:type="dxa"/>
          </w:tcPr>
          <w:p>
            <w:pPr>
              <w:spacing w:line="252" w:lineRule="auto" w:after="60"/>
            </w:pPr>
            <w:r>
              <w:rPr>
                <w:rFonts w:ascii="Times New Roman" w:hAnsi="Times New Roman"/>
                <w:sz w:val="20"/>
              </w:rPr>
              <w:t>0.865</w:t>
            </w:r>
          </w:p>
        </w:tc>
      </w:tr>
    </w:tbl>
    <w:p w14:paraId="44CA14F1" w14:textId="4E0F3C16" w:rsidR="00623E78" w:rsidRDefault="00623E78" w:rsidP="00623E78">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4.7’de ortak 40 kişinin ön ve son test kayıtları birlikte ele alınarak hesaplanan alfa katsayıları verilmiştir. Toplam katsayı ,865’tir. Alt boyutlarda İletişim İlkeleri ve Temel Beceriler ,673; Kendini İfade Etme ,737; Etkin Dinleme ve Sözel Olmayan İletişim ,644; İletişim Kurmaya İsteklilik ,574 olarak hesaplanmıştır. Özellikle son boyuttaki düşük iç tutarlılık alt boyut yorumlarını sınırlandırmaktadır. Bu katsayılar ayrı ön test ve son test güvenirliği olarak değerlendirilmemiştir.</w:t>
      </w:r>
    </w:p>
    <w:p w14:paraId="4B7C444C" w14:textId="77777777" w:rsidR="00623E78" w:rsidRPr="00623E78" w:rsidRDefault="00623E78" w:rsidP="00623E78">
      <w:pPr>
        <w:keepNext/>
        <w:keepLines/>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Tanımlayıcı İstatistiklere İlişkin Bulgular</w:t>
      </w:r>
    </w:p>
    <w:p w14:paraId="795501EE"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bookmarkStart w:id="8047" w:name="Ortak40_8047"/>
      <w:bookmarkStart w:id="5047" w:name="Birlesik_5047"/>
      <w:pPr>
        <w:keepNext/>
        <w:keepLines/>
        <w:widowControl/>
        <w:jc w:val="both"/>
        <w:rPr>
          <w:rFonts w:ascii="Times New Roman" w:hAnsi="Times New Roman" w:cs="Times New Roman"/>
          <w:b/>
          <w:bCs/>
          <w:sz w:val="24"/>
          <w:szCs w:val="24"/>
        </w:rPr>
      </w:pPr>
      <w:r w:rsidRPr="00623E78">
        <w:rPr>
          <w:rFonts w:ascii="Times New Roman" w:hAnsi="Times New Roman" w:cs="Times New Roman"/>
          <w:b/>
          <w:bCs/>
          <w:sz w:val="24"/>
          <w:szCs w:val="24"/>
        </w:rPr>
        <w:t>Tablo 4.8. İBDÖ Ön Test ve Son Test Puanlarına İlişkin Tanımlayıcı İstatistikler</w:t>
      </w:r>
      <w:bookmarkEnd w:id="5047"/>
      <w:bookmarkEnd w:id="8047"/>
      <w:fldSimple w:instr="TC &quot;Tablo 4.8. İBDÖ Ön Test ve Son Test Puan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77"/>
        <w:gridCol w:w="1430"/>
        <w:gridCol w:w="715"/>
        <w:gridCol w:w="1430"/>
        <w:gridCol w:w="859"/>
        <w:gridCol w:w="858"/>
        <w:gridCol w:w="1144"/>
      </w:tblGrid>
      <w:tr w:rsidR="00623E78" w14:paraId="4B67CA11" w14:textId="77777777" w:rsidTr="00623E78">
        <w:trPr>
          <w:trHeight w:val="317"/>
          <w:jc w:val="center"/>
          <w:cantSplit/>
          <w:tblHeader/>
        </w:trPr>
        <w:tc>
          <w:tcPr>
            <w:tcW w:w="2577" w:type="dxa"/>
          </w:tcPr>
          <w:p>
            <w:pPr>
              <w:spacing w:line="252" w:lineRule="auto" w:after="60"/>
            </w:pPr>
            <w:r>
              <w:rPr>
                <w:rFonts w:ascii="Times New Roman" w:hAnsi="Times New Roman"/>
                <w:sz w:val="18"/>
              </w:rPr>
              <w:t>Alt Boyut</w:t>
            </w:r>
          </w:p>
        </w:tc>
        <w:tc>
          <w:tcPr>
            <w:tcW w:w="1430" w:type="dxa"/>
          </w:tcPr>
          <w:p>
            <w:pPr>
              <w:spacing w:line="252" w:lineRule="auto" w:after="60"/>
            </w:pPr>
            <w:r>
              <w:rPr>
                <w:rFonts w:ascii="Times New Roman" w:hAnsi="Times New Roman"/>
                <w:sz w:val="18"/>
              </w:rPr>
              <w:t>Ölçüm</w:t>
            </w:r>
          </w:p>
        </w:tc>
        <w:tc>
          <w:tcPr>
            <w:tcW w:w="715" w:type="dxa"/>
          </w:tcPr>
          <w:p>
            <w:pPr>
              <w:spacing w:line="252" w:lineRule="auto" w:after="60"/>
            </w:pPr>
            <w:r>
              <w:rPr>
                <w:rFonts w:ascii="Times New Roman" w:hAnsi="Times New Roman"/>
                <w:sz w:val="18"/>
              </w:rPr>
              <w:t>N</w:t>
            </w:r>
          </w:p>
        </w:tc>
        <w:tc>
          <w:tcPr>
            <w:tcW w:w="1430" w:type="dxa"/>
          </w:tcPr>
          <w:p>
            <w:pPr>
              <w:spacing w:line="252" w:lineRule="auto" w:after="60"/>
            </w:pPr>
            <w:r>
              <w:rPr>
                <w:rFonts w:ascii="Times New Roman" w:hAnsi="Times New Roman"/>
                <w:sz w:val="18"/>
              </w:rPr>
              <w:t>Ortalama</w:t>
            </w:r>
          </w:p>
        </w:tc>
        <w:tc>
          <w:tcPr>
            <w:tcW w:w="859" w:type="dxa"/>
          </w:tcPr>
          <w:p>
            <w:pPr>
              <w:spacing w:line="252" w:lineRule="auto" w:after="60"/>
            </w:pPr>
            <w:r>
              <w:rPr>
                <w:rFonts w:ascii="Times New Roman" w:hAnsi="Times New Roman"/>
                <w:sz w:val="18"/>
              </w:rPr>
              <w:t>SS</w:t>
            </w:r>
          </w:p>
        </w:tc>
        <w:tc>
          <w:tcPr>
            <w:tcW w:w="858" w:type="dxa"/>
          </w:tcPr>
          <w:p>
            <w:pPr>
              <w:spacing w:line="252" w:lineRule="auto" w:after="60"/>
            </w:pPr>
            <w:r>
              <w:rPr>
                <w:rFonts w:ascii="Times New Roman" w:hAnsi="Times New Roman"/>
                <w:sz w:val="18"/>
              </w:rPr>
              <w:t>Min</w:t>
            </w:r>
          </w:p>
        </w:tc>
        <w:tc>
          <w:tcPr>
            <w:tcW w:w="1144" w:type="dxa"/>
          </w:tcPr>
          <w:p>
            <w:pPr>
              <w:spacing w:line="252" w:lineRule="auto" w:after="60"/>
            </w:pPr>
            <w:r>
              <w:rPr>
                <w:rFonts w:ascii="Times New Roman" w:hAnsi="Times New Roman"/>
                <w:sz w:val="18"/>
              </w:rPr>
              <w:t>Max</w:t>
            </w:r>
          </w:p>
        </w:tc>
      </w:tr>
      <w:tr w:rsidR="00623E78" w14:paraId="60293EDC" w14:textId="77777777" w:rsidTr="00623E78">
        <w:trPr>
          <w:trHeight w:val="622"/>
          <w:jc w:val="center"/>
          <w:cantSplit/>
        </w:trPr>
        <w:tc>
          <w:tcPr>
            <w:tcW w:w="2577" w:type="dxa"/>
          </w:tcPr>
          <w:p>
            <w:pPr>
              <w:spacing w:line="252" w:lineRule="auto" w:after="60"/>
            </w:pPr>
            <w:r>
              <w:rPr>
                <w:rFonts w:ascii="Times New Roman" w:hAnsi="Times New Roman"/>
                <w:sz w:val="18"/>
              </w:rPr>
              <w:t>İletişim İlkeleri ve Temel Beceriler</w:t>
            </w:r>
          </w:p>
        </w:tc>
        <w:tc>
          <w:tcPr>
            <w:tcW w:w="1430" w:type="dxa"/>
          </w:tcPr>
          <w:p>
            <w:pPr>
              <w:spacing w:line="252" w:lineRule="auto" w:after="60"/>
            </w:pPr>
            <w:r>
              <w:rPr>
                <w:rFonts w:ascii="Times New Roman" w:hAnsi="Times New Roman"/>
                <w:sz w:val="18"/>
              </w:rPr>
              <w:t>Ön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3.908</w:t>
            </w:r>
          </w:p>
        </w:tc>
        <w:tc>
          <w:tcPr>
            <w:tcW w:w="859" w:type="dxa"/>
          </w:tcPr>
          <w:p>
            <w:pPr>
              <w:spacing w:line="252" w:lineRule="auto" w:after="60"/>
            </w:pPr>
            <w:r>
              <w:rPr>
                <w:rFonts w:ascii="Times New Roman" w:hAnsi="Times New Roman"/>
                <w:sz w:val="18"/>
              </w:rPr>
              <w:t>0.405</w:t>
            </w:r>
          </w:p>
        </w:tc>
        <w:tc>
          <w:tcPr>
            <w:tcW w:w="858" w:type="dxa"/>
          </w:tcPr>
          <w:p>
            <w:pPr>
              <w:spacing w:line="252" w:lineRule="auto" w:after="60"/>
            </w:pPr>
            <w:r>
              <w:rPr>
                <w:rFonts w:ascii="Times New Roman" w:hAnsi="Times New Roman"/>
                <w:sz w:val="18"/>
              </w:rPr>
              <w:t>3.20</w:t>
            </w:r>
          </w:p>
        </w:tc>
        <w:tc>
          <w:tcPr>
            <w:tcW w:w="1144" w:type="dxa"/>
          </w:tcPr>
          <w:p>
            <w:pPr>
              <w:spacing w:line="252" w:lineRule="auto" w:after="60"/>
            </w:pPr>
            <w:r>
              <w:rPr>
                <w:rFonts w:ascii="Times New Roman" w:hAnsi="Times New Roman"/>
                <w:sz w:val="18"/>
              </w:rPr>
              <w:t>4.60</w:t>
            </w:r>
          </w:p>
        </w:tc>
      </w:tr>
      <w:tr w:rsidR="00623E78" w14:paraId="4DD8C73B" w14:textId="77777777" w:rsidTr="00623E78">
        <w:trPr>
          <w:trHeight w:val="636"/>
          <w:jc w:val="center"/>
          <w:cantSplit/>
        </w:trPr>
        <w:tc>
          <w:tcPr>
            <w:tcW w:w="2577" w:type="dxa"/>
          </w:tcPr>
          <w:p>
            <w:pPr>
              <w:spacing w:line="252" w:lineRule="auto" w:after="60"/>
            </w:pPr>
            <w:r>
              <w:rPr>
                <w:rFonts w:ascii="Times New Roman" w:hAnsi="Times New Roman"/>
                <w:sz w:val="18"/>
              </w:rPr>
              <w:t>İletişim İlkeleri ve Temel Beceriler</w:t>
            </w:r>
          </w:p>
        </w:tc>
        <w:tc>
          <w:tcPr>
            <w:tcW w:w="1430" w:type="dxa"/>
          </w:tcPr>
          <w:p>
            <w:pPr>
              <w:spacing w:line="252" w:lineRule="auto" w:after="60"/>
            </w:pPr>
            <w:r>
              <w:rPr>
                <w:rFonts w:ascii="Times New Roman" w:hAnsi="Times New Roman"/>
                <w:sz w:val="18"/>
              </w:rPr>
              <w:t>Son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4.012</w:t>
            </w:r>
          </w:p>
        </w:tc>
        <w:tc>
          <w:tcPr>
            <w:tcW w:w="859" w:type="dxa"/>
          </w:tcPr>
          <w:p>
            <w:pPr>
              <w:spacing w:line="252" w:lineRule="auto" w:after="60"/>
            </w:pPr>
            <w:r>
              <w:rPr>
                <w:rFonts w:ascii="Times New Roman" w:hAnsi="Times New Roman"/>
                <w:sz w:val="18"/>
              </w:rPr>
              <w:t>0.341</w:t>
            </w:r>
          </w:p>
        </w:tc>
        <w:tc>
          <w:tcPr>
            <w:tcW w:w="858" w:type="dxa"/>
          </w:tcPr>
          <w:p>
            <w:pPr>
              <w:spacing w:line="252" w:lineRule="auto" w:after="60"/>
            </w:pPr>
            <w:r>
              <w:rPr>
                <w:rFonts w:ascii="Times New Roman" w:hAnsi="Times New Roman"/>
                <w:sz w:val="18"/>
              </w:rPr>
              <w:t>3.00</w:t>
            </w:r>
          </w:p>
        </w:tc>
        <w:tc>
          <w:tcPr>
            <w:tcW w:w="1144" w:type="dxa"/>
          </w:tcPr>
          <w:p>
            <w:pPr>
              <w:spacing w:line="252" w:lineRule="auto" w:after="60"/>
            </w:pPr>
            <w:r>
              <w:rPr>
                <w:rFonts w:ascii="Times New Roman" w:hAnsi="Times New Roman"/>
                <w:sz w:val="18"/>
              </w:rPr>
              <w:t>4.70</w:t>
            </w:r>
          </w:p>
        </w:tc>
      </w:tr>
      <w:tr w:rsidR="00623E78" w14:paraId="59C91EB0" w14:textId="77777777" w:rsidTr="00623E78">
        <w:trPr>
          <w:trHeight w:val="317"/>
          <w:jc w:val="center"/>
          <w:cantSplit/>
        </w:trPr>
        <w:tc>
          <w:tcPr>
            <w:tcW w:w="2577" w:type="dxa"/>
          </w:tcPr>
          <w:p>
            <w:pPr>
              <w:spacing w:line="252" w:lineRule="auto" w:after="60"/>
            </w:pPr>
            <w:r>
              <w:rPr>
                <w:rFonts w:ascii="Times New Roman" w:hAnsi="Times New Roman"/>
                <w:sz w:val="18"/>
              </w:rPr>
              <w:t>Kendini İfade Etme</w:t>
            </w:r>
          </w:p>
        </w:tc>
        <w:tc>
          <w:tcPr>
            <w:tcW w:w="1430" w:type="dxa"/>
          </w:tcPr>
          <w:p>
            <w:pPr>
              <w:spacing w:line="252" w:lineRule="auto" w:after="60"/>
            </w:pPr>
            <w:r>
              <w:rPr>
                <w:rFonts w:ascii="Times New Roman" w:hAnsi="Times New Roman"/>
                <w:sz w:val="18"/>
              </w:rPr>
              <w:t>Ön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3.675</w:t>
            </w:r>
          </w:p>
        </w:tc>
        <w:tc>
          <w:tcPr>
            <w:tcW w:w="859" w:type="dxa"/>
          </w:tcPr>
          <w:p>
            <w:pPr>
              <w:spacing w:line="252" w:lineRule="auto" w:after="60"/>
            </w:pPr>
            <w:r>
              <w:rPr>
                <w:rFonts w:ascii="Times New Roman" w:hAnsi="Times New Roman"/>
                <w:sz w:val="18"/>
              </w:rPr>
              <w:t>0.631</w:t>
            </w:r>
          </w:p>
        </w:tc>
        <w:tc>
          <w:tcPr>
            <w:tcW w:w="858" w:type="dxa"/>
          </w:tcPr>
          <w:p>
            <w:pPr>
              <w:spacing w:line="252" w:lineRule="auto" w:after="60"/>
            </w:pPr>
            <w:r>
              <w:rPr>
                <w:rFonts w:ascii="Times New Roman" w:hAnsi="Times New Roman"/>
                <w:sz w:val="18"/>
              </w:rPr>
              <w:t>2.00</w:t>
            </w:r>
          </w:p>
        </w:tc>
        <w:tc>
          <w:tcPr>
            <w:tcW w:w="1144" w:type="dxa"/>
          </w:tcPr>
          <w:p>
            <w:pPr>
              <w:spacing w:line="252" w:lineRule="auto" w:after="60"/>
            </w:pPr>
            <w:r>
              <w:rPr>
                <w:rFonts w:ascii="Times New Roman" w:hAnsi="Times New Roman"/>
                <w:sz w:val="18"/>
              </w:rPr>
              <w:t>5.00</w:t>
            </w:r>
          </w:p>
        </w:tc>
      </w:tr>
      <w:tr w:rsidR="00623E78" w14:paraId="3E9C8D6F" w14:textId="77777777" w:rsidTr="00623E78">
        <w:trPr>
          <w:trHeight w:val="303"/>
          <w:jc w:val="center"/>
          <w:cantSplit/>
        </w:trPr>
        <w:tc>
          <w:tcPr>
            <w:tcW w:w="2577" w:type="dxa"/>
          </w:tcPr>
          <w:p>
            <w:pPr>
              <w:spacing w:line="252" w:lineRule="auto" w:after="60"/>
            </w:pPr>
            <w:r>
              <w:rPr>
                <w:rFonts w:ascii="Times New Roman" w:hAnsi="Times New Roman"/>
                <w:sz w:val="18"/>
              </w:rPr>
              <w:t>Kendini İfade Etme</w:t>
            </w:r>
          </w:p>
        </w:tc>
        <w:tc>
          <w:tcPr>
            <w:tcW w:w="1430" w:type="dxa"/>
          </w:tcPr>
          <w:p>
            <w:pPr>
              <w:spacing w:line="252" w:lineRule="auto" w:after="60"/>
            </w:pPr>
            <w:r>
              <w:rPr>
                <w:rFonts w:ascii="Times New Roman" w:hAnsi="Times New Roman"/>
                <w:sz w:val="18"/>
              </w:rPr>
              <w:t>Son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3.800</w:t>
            </w:r>
          </w:p>
        </w:tc>
        <w:tc>
          <w:tcPr>
            <w:tcW w:w="859" w:type="dxa"/>
          </w:tcPr>
          <w:p>
            <w:pPr>
              <w:spacing w:line="252" w:lineRule="auto" w:after="60"/>
            </w:pPr>
            <w:r>
              <w:rPr>
                <w:rFonts w:ascii="Times New Roman" w:hAnsi="Times New Roman"/>
                <w:sz w:val="18"/>
              </w:rPr>
              <w:t>0.641</w:t>
            </w:r>
          </w:p>
        </w:tc>
        <w:tc>
          <w:tcPr>
            <w:tcW w:w="858" w:type="dxa"/>
          </w:tcPr>
          <w:p>
            <w:pPr>
              <w:spacing w:line="252" w:lineRule="auto" w:after="60"/>
            </w:pPr>
            <w:r>
              <w:rPr>
                <w:rFonts w:ascii="Times New Roman" w:hAnsi="Times New Roman"/>
                <w:sz w:val="18"/>
              </w:rPr>
              <w:t>2.25</w:t>
            </w:r>
          </w:p>
        </w:tc>
        <w:tc>
          <w:tcPr>
            <w:tcW w:w="1144" w:type="dxa"/>
          </w:tcPr>
          <w:p>
            <w:pPr>
              <w:spacing w:line="252" w:lineRule="auto" w:after="60"/>
            </w:pPr>
            <w:r>
              <w:rPr>
                <w:rFonts w:ascii="Times New Roman" w:hAnsi="Times New Roman"/>
                <w:sz w:val="18"/>
              </w:rPr>
              <w:t>5.00</w:t>
            </w:r>
          </w:p>
        </w:tc>
      </w:tr>
      <w:tr w:rsidR="00623E78" w14:paraId="059E2CA5" w14:textId="77777777" w:rsidTr="00623E78">
        <w:trPr>
          <w:trHeight w:val="636"/>
          <w:jc w:val="center"/>
          <w:cantSplit/>
        </w:trPr>
        <w:tc>
          <w:tcPr>
            <w:tcW w:w="2577" w:type="dxa"/>
          </w:tcPr>
          <w:p>
            <w:pPr>
              <w:spacing w:line="252" w:lineRule="auto" w:after="60"/>
            </w:pPr>
            <w:r>
              <w:rPr>
                <w:rFonts w:ascii="Times New Roman" w:hAnsi="Times New Roman"/>
                <w:sz w:val="18"/>
              </w:rPr>
              <w:t>Etkin Dinleme ve Sözel Olmayan İletişim</w:t>
            </w:r>
          </w:p>
        </w:tc>
        <w:tc>
          <w:tcPr>
            <w:tcW w:w="1430" w:type="dxa"/>
          </w:tcPr>
          <w:p>
            <w:pPr>
              <w:spacing w:line="252" w:lineRule="auto" w:after="60"/>
            </w:pPr>
            <w:r>
              <w:rPr>
                <w:rFonts w:ascii="Times New Roman" w:hAnsi="Times New Roman"/>
                <w:sz w:val="18"/>
              </w:rPr>
              <w:t>Ön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3.912</w:t>
            </w:r>
          </w:p>
        </w:tc>
        <w:tc>
          <w:tcPr>
            <w:tcW w:w="859" w:type="dxa"/>
          </w:tcPr>
          <w:p>
            <w:pPr>
              <w:spacing w:line="252" w:lineRule="auto" w:after="60"/>
            </w:pPr>
            <w:r>
              <w:rPr>
                <w:rFonts w:ascii="Times New Roman" w:hAnsi="Times New Roman"/>
                <w:sz w:val="18"/>
              </w:rPr>
              <w:t>0.451</w:t>
            </w:r>
          </w:p>
        </w:tc>
        <w:tc>
          <w:tcPr>
            <w:tcW w:w="858" w:type="dxa"/>
          </w:tcPr>
          <w:p>
            <w:pPr>
              <w:spacing w:line="252" w:lineRule="auto" w:after="60"/>
            </w:pPr>
            <w:r>
              <w:rPr>
                <w:rFonts w:ascii="Times New Roman" w:hAnsi="Times New Roman"/>
                <w:sz w:val="18"/>
              </w:rPr>
              <w:t>2.83</w:t>
            </w:r>
          </w:p>
        </w:tc>
        <w:tc>
          <w:tcPr>
            <w:tcW w:w="1144" w:type="dxa"/>
          </w:tcPr>
          <w:p>
            <w:pPr>
              <w:spacing w:line="252" w:lineRule="auto" w:after="60"/>
            </w:pPr>
            <w:r>
              <w:rPr>
                <w:rFonts w:ascii="Times New Roman" w:hAnsi="Times New Roman"/>
                <w:sz w:val="18"/>
              </w:rPr>
              <w:t>4.83</w:t>
            </w:r>
          </w:p>
        </w:tc>
      </w:tr>
      <w:tr w:rsidR="00623E78" w14:paraId="3CD154E6" w14:textId="77777777" w:rsidTr="00623E78">
        <w:trPr>
          <w:trHeight w:val="636"/>
          <w:jc w:val="center"/>
          <w:cantSplit/>
        </w:trPr>
        <w:tc>
          <w:tcPr>
            <w:tcW w:w="2577" w:type="dxa"/>
          </w:tcPr>
          <w:p>
            <w:pPr>
              <w:spacing w:line="252" w:lineRule="auto" w:after="60"/>
            </w:pPr>
            <w:r>
              <w:rPr>
                <w:rFonts w:ascii="Times New Roman" w:hAnsi="Times New Roman"/>
                <w:sz w:val="18"/>
              </w:rPr>
              <w:t>Etkin Dinleme ve Sözel Olmayan İletişim</w:t>
            </w:r>
          </w:p>
        </w:tc>
        <w:tc>
          <w:tcPr>
            <w:tcW w:w="1430" w:type="dxa"/>
          </w:tcPr>
          <w:p>
            <w:pPr>
              <w:spacing w:line="252" w:lineRule="auto" w:after="60"/>
            </w:pPr>
            <w:r>
              <w:rPr>
                <w:rFonts w:ascii="Times New Roman" w:hAnsi="Times New Roman"/>
                <w:sz w:val="18"/>
              </w:rPr>
              <w:t>Son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4.017</w:t>
            </w:r>
          </w:p>
        </w:tc>
        <w:tc>
          <w:tcPr>
            <w:tcW w:w="859" w:type="dxa"/>
          </w:tcPr>
          <w:p>
            <w:pPr>
              <w:spacing w:line="252" w:lineRule="auto" w:after="60"/>
            </w:pPr>
            <w:r>
              <w:rPr>
                <w:rFonts w:ascii="Times New Roman" w:hAnsi="Times New Roman"/>
                <w:sz w:val="18"/>
              </w:rPr>
              <w:t>0.404</w:t>
            </w:r>
          </w:p>
        </w:tc>
        <w:tc>
          <w:tcPr>
            <w:tcW w:w="858" w:type="dxa"/>
          </w:tcPr>
          <w:p>
            <w:pPr>
              <w:spacing w:line="252" w:lineRule="auto" w:after="60"/>
            </w:pPr>
            <w:r>
              <w:rPr>
                <w:rFonts w:ascii="Times New Roman" w:hAnsi="Times New Roman"/>
                <w:sz w:val="18"/>
              </w:rPr>
              <w:t>2.83</w:t>
            </w:r>
          </w:p>
        </w:tc>
        <w:tc>
          <w:tcPr>
            <w:tcW w:w="1144" w:type="dxa"/>
          </w:tcPr>
          <w:p>
            <w:pPr>
              <w:spacing w:line="252" w:lineRule="auto" w:after="60"/>
            </w:pPr>
            <w:r>
              <w:rPr>
                <w:rFonts w:ascii="Times New Roman" w:hAnsi="Times New Roman"/>
                <w:sz w:val="18"/>
              </w:rPr>
              <w:t>4.83</w:t>
            </w:r>
          </w:p>
        </w:tc>
      </w:tr>
      <w:tr w:rsidR="00623E78" w14:paraId="5BD4FFD3" w14:textId="77777777" w:rsidTr="00623E78">
        <w:trPr>
          <w:trHeight w:val="622"/>
          <w:jc w:val="center"/>
          <w:cantSplit/>
        </w:trPr>
        <w:tc>
          <w:tcPr>
            <w:tcW w:w="2577" w:type="dxa"/>
          </w:tcPr>
          <w:p>
            <w:pPr>
              <w:spacing w:line="252" w:lineRule="auto" w:after="60"/>
            </w:pPr>
            <w:r>
              <w:rPr>
                <w:rFonts w:ascii="Times New Roman" w:hAnsi="Times New Roman"/>
                <w:sz w:val="18"/>
              </w:rPr>
              <w:t>İletişim Kurmaya İsteklilik</w:t>
            </w:r>
          </w:p>
        </w:tc>
        <w:tc>
          <w:tcPr>
            <w:tcW w:w="1430" w:type="dxa"/>
          </w:tcPr>
          <w:p>
            <w:pPr>
              <w:spacing w:line="252" w:lineRule="auto" w:after="60"/>
            </w:pPr>
            <w:r>
              <w:rPr>
                <w:rFonts w:ascii="Times New Roman" w:hAnsi="Times New Roman"/>
                <w:sz w:val="18"/>
              </w:rPr>
              <w:t>Ön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3.690</w:t>
            </w:r>
          </w:p>
        </w:tc>
        <w:tc>
          <w:tcPr>
            <w:tcW w:w="859" w:type="dxa"/>
          </w:tcPr>
          <w:p>
            <w:pPr>
              <w:spacing w:line="252" w:lineRule="auto" w:after="60"/>
            </w:pPr>
            <w:r>
              <w:rPr>
                <w:rFonts w:ascii="Times New Roman" w:hAnsi="Times New Roman"/>
                <w:sz w:val="18"/>
              </w:rPr>
              <w:t>0.522</w:t>
            </w:r>
          </w:p>
        </w:tc>
        <w:tc>
          <w:tcPr>
            <w:tcW w:w="858" w:type="dxa"/>
          </w:tcPr>
          <w:p>
            <w:pPr>
              <w:spacing w:line="252" w:lineRule="auto" w:after="60"/>
            </w:pPr>
            <w:r>
              <w:rPr>
                <w:rFonts w:ascii="Times New Roman" w:hAnsi="Times New Roman"/>
                <w:sz w:val="18"/>
              </w:rPr>
              <w:t>2.00</w:t>
            </w:r>
          </w:p>
        </w:tc>
        <w:tc>
          <w:tcPr>
            <w:tcW w:w="1144" w:type="dxa"/>
          </w:tcPr>
          <w:p>
            <w:pPr>
              <w:spacing w:line="252" w:lineRule="auto" w:after="60"/>
            </w:pPr>
            <w:r>
              <w:rPr>
                <w:rFonts w:ascii="Times New Roman" w:hAnsi="Times New Roman"/>
                <w:sz w:val="18"/>
              </w:rPr>
              <w:t>4.60</w:t>
            </w:r>
          </w:p>
        </w:tc>
      </w:tr>
      <w:tr w:rsidR="00623E78" w14:paraId="238132DE" w14:textId="77777777" w:rsidTr="00623E78">
        <w:trPr>
          <w:trHeight w:val="636"/>
          <w:jc w:val="center"/>
          <w:cantSplit/>
        </w:trPr>
        <w:tc>
          <w:tcPr>
            <w:tcW w:w="2577" w:type="dxa"/>
          </w:tcPr>
          <w:p>
            <w:pPr>
              <w:spacing w:line="252" w:lineRule="auto" w:after="60"/>
            </w:pPr>
            <w:r>
              <w:rPr>
                <w:rFonts w:ascii="Times New Roman" w:hAnsi="Times New Roman"/>
                <w:sz w:val="18"/>
              </w:rPr>
              <w:t>İletişim Kurmaya İsteklilik</w:t>
            </w:r>
          </w:p>
        </w:tc>
        <w:tc>
          <w:tcPr>
            <w:tcW w:w="1430" w:type="dxa"/>
          </w:tcPr>
          <w:p>
            <w:pPr>
              <w:spacing w:line="252" w:lineRule="auto" w:after="60"/>
            </w:pPr>
            <w:r>
              <w:rPr>
                <w:rFonts w:ascii="Times New Roman" w:hAnsi="Times New Roman"/>
                <w:sz w:val="18"/>
              </w:rPr>
              <w:t>Son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3.730</w:t>
            </w:r>
          </w:p>
        </w:tc>
        <w:tc>
          <w:tcPr>
            <w:tcW w:w="859" w:type="dxa"/>
          </w:tcPr>
          <w:p>
            <w:pPr>
              <w:spacing w:line="252" w:lineRule="auto" w:after="60"/>
            </w:pPr>
            <w:r>
              <w:rPr>
                <w:rFonts w:ascii="Times New Roman" w:hAnsi="Times New Roman"/>
                <w:sz w:val="18"/>
              </w:rPr>
              <w:t>0.497</w:t>
            </w:r>
          </w:p>
        </w:tc>
        <w:tc>
          <w:tcPr>
            <w:tcW w:w="858" w:type="dxa"/>
          </w:tcPr>
          <w:p>
            <w:pPr>
              <w:spacing w:line="252" w:lineRule="auto" w:after="60"/>
            </w:pPr>
            <w:r>
              <w:rPr>
                <w:rFonts w:ascii="Times New Roman" w:hAnsi="Times New Roman"/>
                <w:sz w:val="18"/>
              </w:rPr>
              <w:t>2.60</w:t>
            </w:r>
          </w:p>
        </w:tc>
        <w:tc>
          <w:tcPr>
            <w:tcW w:w="1144" w:type="dxa"/>
          </w:tcPr>
          <w:p>
            <w:pPr>
              <w:spacing w:line="252" w:lineRule="auto" w:after="60"/>
            </w:pPr>
            <w:r>
              <w:rPr>
                <w:rFonts w:ascii="Times New Roman" w:hAnsi="Times New Roman"/>
                <w:sz w:val="18"/>
              </w:rPr>
              <w:t>4.60</w:t>
            </w:r>
          </w:p>
        </w:tc>
      </w:tr>
      <w:tr w:rsidR="00623E78" w14:paraId="529E086E" w14:textId="77777777" w:rsidTr="00623E78">
        <w:trPr>
          <w:trHeight w:val="317"/>
          <w:jc w:val="center"/>
          <w:cantSplit/>
        </w:trPr>
        <w:tc>
          <w:tcPr>
            <w:tcW w:w="2577" w:type="dxa"/>
          </w:tcPr>
          <w:p>
            <w:pPr>
              <w:spacing w:line="252" w:lineRule="auto" w:after="60"/>
            </w:pPr>
            <w:r>
              <w:rPr>
                <w:rFonts w:ascii="Times New Roman" w:hAnsi="Times New Roman"/>
                <w:sz w:val="18"/>
              </w:rPr>
              <w:t>İBDÖ Toplam</w:t>
            </w:r>
          </w:p>
        </w:tc>
        <w:tc>
          <w:tcPr>
            <w:tcW w:w="1430" w:type="dxa"/>
          </w:tcPr>
          <w:p>
            <w:pPr>
              <w:spacing w:line="252" w:lineRule="auto" w:after="60"/>
            </w:pPr>
            <w:r>
              <w:rPr>
                <w:rFonts w:ascii="Times New Roman" w:hAnsi="Times New Roman"/>
                <w:sz w:val="18"/>
              </w:rPr>
              <w:t>Ön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3.828</w:t>
            </w:r>
          </w:p>
        </w:tc>
        <w:tc>
          <w:tcPr>
            <w:tcW w:w="859" w:type="dxa"/>
          </w:tcPr>
          <w:p>
            <w:pPr>
              <w:spacing w:line="252" w:lineRule="auto" w:after="60"/>
            </w:pPr>
            <w:r>
              <w:rPr>
                <w:rFonts w:ascii="Times New Roman" w:hAnsi="Times New Roman"/>
                <w:sz w:val="18"/>
              </w:rPr>
              <w:t>0.387</w:t>
            </w:r>
          </w:p>
        </w:tc>
        <w:tc>
          <w:tcPr>
            <w:tcW w:w="858" w:type="dxa"/>
          </w:tcPr>
          <w:p>
            <w:pPr>
              <w:spacing w:line="252" w:lineRule="auto" w:after="60"/>
            </w:pPr>
            <w:r>
              <w:rPr>
                <w:rFonts w:ascii="Times New Roman" w:hAnsi="Times New Roman"/>
                <w:sz w:val="18"/>
              </w:rPr>
              <w:t>3.00</w:t>
            </w:r>
          </w:p>
        </w:tc>
        <w:tc>
          <w:tcPr>
            <w:tcW w:w="1144" w:type="dxa"/>
          </w:tcPr>
          <w:p>
            <w:pPr>
              <w:spacing w:line="252" w:lineRule="auto" w:after="60"/>
            </w:pPr>
            <w:r>
              <w:rPr>
                <w:rFonts w:ascii="Times New Roman" w:hAnsi="Times New Roman"/>
                <w:sz w:val="18"/>
              </w:rPr>
              <w:t>4.48</w:t>
            </w:r>
          </w:p>
        </w:tc>
      </w:tr>
      <w:tr w:rsidR="00623E78" w14:paraId="54C1C3F1" w14:textId="77777777" w:rsidTr="00623E78">
        <w:trPr>
          <w:trHeight w:val="303"/>
          <w:jc w:val="center"/>
          <w:cantSplit/>
        </w:trPr>
        <w:tc>
          <w:tcPr>
            <w:tcW w:w="2577" w:type="dxa"/>
          </w:tcPr>
          <w:p>
            <w:pPr>
              <w:spacing w:line="252" w:lineRule="auto" w:after="60"/>
            </w:pPr>
            <w:r>
              <w:rPr>
                <w:rFonts w:ascii="Times New Roman" w:hAnsi="Times New Roman"/>
                <w:sz w:val="18"/>
              </w:rPr>
              <w:t>İBDÖ Toplam</w:t>
            </w:r>
          </w:p>
        </w:tc>
        <w:tc>
          <w:tcPr>
            <w:tcW w:w="1430" w:type="dxa"/>
          </w:tcPr>
          <w:p>
            <w:pPr>
              <w:spacing w:line="252" w:lineRule="auto" w:after="60"/>
            </w:pPr>
            <w:r>
              <w:rPr>
                <w:rFonts w:ascii="Times New Roman" w:hAnsi="Times New Roman"/>
                <w:sz w:val="18"/>
              </w:rPr>
              <w:t>Son Test</w:t>
            </w:r>
          </w:p>
        </w:tc>
        <w:tc>
          <w:tcPr>
            <w:tcW w:w="715" w:type="dxa"/>
          </w:tcPr>
          <w:p>
            <w:pPr>
              <w:spacing w:line="252" w:lineRule="auto" w:after="60"/>
            </w:pPr>
            <w:r>
              <w:rPr>
                <w:rFonts w:ascii="Times New Roman" w:hAnsi="Times New Roman"/>
                <w:sz w:val="18"/>
              </w:rPr>
              <w:t>40</w:t>
            </w:r>
          </w:p>
        </w:tc>
        <w:tc>
          <w:tcPr>
            <w:tcW w:w="1430" w:type="dxa"/>
          </w:tcPr>
          <w:p>
            <w:pPr>
              <w:spacing w:line="252" w:lineRule="auto" w:after="60"/>
            </w:pPr>
            <w:r>
              <w:rPr>
                <w:rFonts w:ascii="Times New Roman" w:hAnsi="Times New Roman"/>
                <w:sz w:val="18"/>
              </w:rPr>
              <w:t>3.923</w:t>
            </w:r>
          </w:p>
        </w:tc>
        <w:tc>
          <w:tcPr>
            <w:tcW w:w="859" w:type="dxa"/>
          </w:tcPr>
          <w:p>
            <w:pPr>
              <w:spacing w:line="252" w:lineRule="auto" w:after="60"/>
            </w:pPr>
            <w:r>
              <w:rPr>
                <w:rFonts w:ascii="Times New Roman" w:hAnsi="Times New Roman"/>
                <w:sz w:val="18"/>
              </w:rPr>
              <w:t>0.364</w:t>
            </w:r>
          </w:p>
        </w:tc>
        <w:tc>
          <w:tcPr>
            <w:tcW w:w="858" w:type="dxa"/>
          </w:tcPr>
          <w:p>
            <w:pPr>
              <w:spacing w:line="252" w:lineRule="auto" w:after="60"/>
            </w:pPr>
            <w:r>
              <w:rPr>
                <w:rFonts w:ascii="Times New Roman" w:hAnsi="Times New Roman"/>
                <w:sz w:val="18"/>
              </w:rPr>
              <w:t>3.00</w:t>
            </w:r>
          </w:p>
        </w:tc>
        <w:tc>
          <w:tcPr>
            <w:tcW w:w="1144" w:type="dxa"/>
          </w:tcPr>
          <w:p>
            <w:pPr>
              <w:spacing w:line="252" w:lineRule="auto" w:after="60"/>
            </w:pPr>
            <w:r>
              <w:rPr>
                <w:rFonts w:ascii="Times New Roman" w:hAnsi="Times New Roman"/>
                <w:sz w:val="18"/>
              </w:rPr>
              <w:t>4.48</w:t>
            </w:r>
          </w:p>
        </w:tc>
      </w:tr>
    </w:tbl>
    <w:p w14:paraId="054748E1" w14:textId="0922E57A" w:rsidR="00623E78" w:rsidRDefault="00623E78" w:rsidP="00623E78">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4.8’de ortak 40 katılımcının İBDÖ toplam puan ortalaması ön testte 3.828, son testte 3.923’tür. Alt boyutlarda İletişim İlkeleri ve Temel Beceriler 3.908’den 4.012’ye, Kendini İfade Etme 3.675’ten 3.800’e, Etkin Dinleme ve Sözel Olmayan İletişim 3.912’den 4.017’ye ve İletişim Kurmaya İsteklilik 3.690’dan 3.730’a değişmiştir. En yüksek ortalama artış Kendini İfade Etme boyutundadır. Tanımlayıcı artışlar, tek başına istatistiksel olarak anlamlı değişim olarak yorumlanmamıştır.</w:t>
      </w:r>
    </w:p>
    <w:p>
      <w:pPr>
        <w:keepNext/>
        <w:keepLines/>
        <w:widowControl/>
        <w:spacing w:before="0" w:after="120" w:line="360" w:lineRule="auto"/>
        <w:ind w:firstLine="0"/>
        <w:jc w:val="both"/>
      </w:pPr>
      <w:r>
        <w:rPr>
          <w:rFonts w:ascii="Times New Roman" w:hAnsi="Times New Roman"/>
          <w:sz w:val="24"/>
        </w:rPr>
        <w:t>Ön test ve son test madde puan ortalamalarının alt boyutlar ve ölçek toplamı bakımından karşılaştırılması Şekil 4.2’de gösterilmiştir.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5" name="TezGorsel5"/>
            <wp:cNvGraphicFramePr>
              <a:graphicFrameLocks noChangeAspect="1"/>
            </wp:cNvGraphicFramePr>
            <a:graphic>
              <a:graphicData uri="http://schemas.openxmlformats.org/drawingml/2006/picture">
                <pic:pic>
                  <pic:nvPicPr>
                    <pic:cNvPr id="5" name="sekil-4-1-iletisim-ortalamalari.png"/>
                    <pic:cNvPicPr/>
                  </pic:nvPicPr>
                  <pic:blipFill>
                    <a:blip r:embed="rId19"/>
                    <a:stretch>
                      <a:fillRect/>
                    </a:stretch>
                  </pic:blipFill>
                  <pic:spPr>
                    <a:xfrm>
                      <a:off x="0" y="0"/>
                      <a:ext cx="5616000" cy="3527888"/>
                    </a:xfrm>
                    <a:prstGeom prst="rect"/>
                  </pic:spPr>
                </pic:pic>
              </a:graphicData>
            </a:graphic>
          </wp:inline>
        </w:drawing>
      </w:r>
    </w:p>
    <w:p>
      <w:bookmarkStart w:id="8048" w:name="Ortak40_8048"/>
      <w:bookmarkStart w:id="5048" w:name="Birlesik_5048"/>
      <w:pPr>
        <w:keepNext/>
        <w:keepLines/>
        <w:widowControl/>
        <w:spacing w:before="0" w:after="120" w:line="240" w:lineRule="auto"/>
        <w:ind w:firstLine="0"/>
        <w:jc w:val="left"/>
      </w:pPr>
      <w:r>
        <w:rPr>
          <w:rFonts w:ascii="Times New Roman" w:hAnsi="Times New Roman"/>
          <w:sz w:val="22"/>
        </w:rPr>
        <w:t>Şekil 4.2. İBDÖ ve alt boyutlarının ön test–son test madde puan ortalamaları</w:t>
      </w:r>
      <w:bookmarkEnd w:id="5048"/>
      <w:bookmarkEnd w:id="8048"/>
      <w:fldSimple w:instr="TC &quot;Şekil 4.2. İBDÖ ve alt boyutlarının ön test–son test madde puan ortalamaları&quot; \f F \l 1"/>
    </w:p>
    <w:p>
      <w:pPr>
        <w:keepNext w:val="0"/>
        <w:keepLines/>
        <w:widowControl/>
        <w:spacing w:before="0" w:after="120" w:line="240" w:lineRule="auto"/>
        <w:ind w:firstLine="0"/>
        <w:jc w:val="both"/>
      </w:pPr>
      <w:r>
        <w:rPr>
          <w:rFonts w:ascii="Times New Roman" w:hAnsi="Times New Roman"/>
          <w:sz w:val="24"/>
        </w:rPr>
        <w:t>Not. N=40.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keepLines/>
        <w:widowControl/>
        <w:spacing w:before="0" w:after="120" w:line="360" w:lineRule="auto"/>
        <w:ind w:firstLine="0"/>
        <w:jc w:val="both"/>
      </w:pPr>
      <w:r>
        <w:rPr>
          <w:rFonts w:ascii="Times New Roman" w:hAnsi="Times New Roman"/>
          <w:sz w:val="24"/>
        </w:rPr>
        <w:t>Şekil 4.2’de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keepNext/>
        <w:keepLines/>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Normallik Varsayımına İlişkin Bulgular</w:t>
      </w:r>
    </w:p>
    <w:p w14:paraId="7D271794" w14:textId="77777777"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İBDÖ toplam ve alt boyutlarının son test − ön test fark puanları Shapiro–Wilk testiyle incelenmiştir. Eşleştirilmiş ölçümlerin varsayım değerlendirmesine ilişkin sonuçlar Tablo 4.9’da sunulmuştur.</w:t>
      </w:r>
    </w:p>
    <w:p w14:paraId="5FC09255" w14:textId="77777777" w:rsidR="00623E78" w:rsidRDefault="00623E78" w:rsidP="00623E78">
      <w:bookmarkStart w:id="8049" w:name="Ortak40_8049"/>
      <w:pPr>
        <w:keepNext/>
        <w:keepLines/>
        <w:widowControl/>
        <w:spacing w:line="360" w:lineRule="auto"/>
        <w:jc w:val="both"/>
        <w:rPr>
          <w:rFonts w:ascii="Times New Roman" w:hAnsi="Times New Roman" w:cs="Times New Roman"/>
          <w:b/>
          <w:bCs/>
          <w:sz w:val="24"/>
          <w:szCs w:val="24"/>
        </w:rPr>
      </w:pPr>
      <w:r>
        <w:rPr>
          <w:rFonts w:ascii="Times New Roman" w:hAnsi="Times New Roman"/>
          <w:sz w:val="24"/>
        </w:rPr>
        <w:t>Tablo 4.9. İBDÖ Ön Test–Son Test Fark Puanlarına İlişkin Shapiro–Wilk Testi Sonuçları</w:t>
      </w:r>
      <w:bookmarkEnd w:id="8049"/>
      <w:fldSimple w:instr="TC &quot;Tablo 4.9. İBDÖ Ön Test–Son Test Fark Puanlarına İlişkin Shapiro–Wilk Testi Sonuçları&quot; \f T \l 1"/>
    </w:p>
    <w:tbl>
      <w:tblPr>
        <w:tblStyle w:val="TabloKlavuzu"/>
        <w:tblW w:type="auto" w:w="0"/>
        <w:tblLayout w:type="fixed"/>
        <w:tblLook w:firstColumn="1" w:firstRow="1" w:lastColumn="0" w:lastRow="0" w:noHBand="0" w:noVBand="1" w:val="04A0"/>
      </w:tblPr>
      <w:tblGrid>
        <w:gridCol w:w="3005"/>
        <w:gridCol w:w="454"/>
        <w:gridCol w:w="1191"/>
        <w:gridCol w:w="1191"/>
        <w:gridCol w:w="1871"/>
        <w:gridCol w:w="1304"/>
      </w:tblGrid>
      <w:tr>
        <w:trPr>
          <w:cantSplit/>
          <w:tblHeader/>
        </w:trPr>
        <w:tc>
          <w:tcPr>
            <w:tcW w:type="dxa" w:w="3005"/>
          </w:tcPr>
          <w:p>
            <w:pPr>
              <w:spacing w:line="252" w:lineRule="auto" w:after="60"/>
            </w:pPr>
            <w:r>
              <w:rPr>
                <w:rFonts w:ascii="Times New Roman" w:hAnsi="Times New Roman"/>
                <w:sz w:val="20"/>
              </w:rPr>
              <w:t>Alt Boyut</w:t>
            </w:r>
          </w:p>
        </w:tc>
        <w:tc>
          <w:tcPr>
            <w:tcW w:type="dxa" w:w="454"/>
          </w:tcPr>
          <w:p>
            <w:pPr>
              <w:spacing w:line="252" w:lineRule="auto" w:after="60"/>
            </w:pPr>
            <w:r>
              <w:rPr>
                <w:rFonts w:ascii="Times New Roman" w:hAnsi="Times New Roman"/>
                <w:sz w:val="20"/>
              </w:rPr>
              <w:t>N</w:t>
            </w:r>
          </w:p>
        </w:tc>
        <w:tc>
          <w:tcPr>
            <w:tcW w:type="dxa" w:w="1191"/>
          </w:tcPr>
          <w:p>
            <w:r>
              <w:t>Ort. fark</w:t>
            </w:r>
          </w:p>
        </w:tc>
        <w:tc>
          <w:tcPr>
            <w:tcW w:type="dxa" w:w="1191"/>
          </w:tcPr>
          <w:p>
            <w:pPr>
              <w:spacing w:line="252" w:lineRule="auto" w:after="60"/>
            </w:pPr>
            <w:r>
              <w:rPr>
                <w:rFonts w:ascii="Times New Roman" w:hAnsi="Times New Roman"/>
                <w:sz w:val="20"/>
              </w:rPr>
              <w:t>Fark SS</w:t>
            </w:r>
          </w:p>
        </w:tc>
        <w:tc>
          <w:tcPr>
            <w:tcW w:type="dxa" w:w="1871"/>
          </w:tcPr>
          <w:p>
            <w:pPr>
              <w:spacing w:line="252" w:lineRule="auto" w:after="60"/>
            </w:pPr>
            <w:r>
              <w:rPr>
                <w:rFonts w:ascii="Times New Roman" w:hAnsi="Times New Roman"/>
                <w:sz w:val="20"/>
              </w:rPr>
              <w:t>Shapiro–Wilk W</w:t>
            </w:r>
          </w:p>
        </w:tc>
        <w:tc>
          <w:tcPr>
            <w:tcW w:type="dxa" w:w="1304"/>
          </w:tcPr>
          <w:p>
            <w:pPr>
              <w:spacing w:line="252" w:lineRule="auto" w:after="60"/>
            </w:pPr>
            <w:r>
              <w:rPr>
                <w:rFonts w:ascii="Times New Roman" w:hAnsi="Times New Roman"/>
                <w:sz w:val="20"/>
              </w:rPr>
              <w:t>p</w:t>
            </w:r>
          </w:p>
        </w:tc>
      </w:tr>
      <w:tr>
        <w:trPr>
          <w:cantSplit/>
        </w:trPr>
        <w:tc>
          <w:tcPr>
            <w:tcW w:type="dxa" w:w="3005"/>
          </w:tcPr>
          <w:p>
            <w:pPr>
              <w:spacing w:line="252" w:lineRule="auto" w:after="60"/>
            </w:pPr>
            <w:r>
              <w:rPr>
                <w:rFonts w:ascii="Times New Roman" w:hAnsi="Times New Roman"/>
                <w:sz w:val="20"/>
              </w:rPr>
              <w:t>İletişim İlkeleri ve Temel Beceriler</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0.105</w:t>
            </w:r>
          </w:p>
        </w:tc>
        <w:tc>
          <w:tcPr>
            <w:tcW w:type="dxa" w:w="1191"/>
          </w:tcPr>
          <w:p>
            <w:pPr>
              <w:spacing w:line="252" w:lineRule="auto" w:after="60"/>
            </w:pPr>
            <w:r>
              <w:rPr>
                <w:rFonts w:ascii="Times New Roman" w:hAnsi="Times New Roman"/>
                <w:sz w:val="20"/>
              </w:rPr>
              <w:t>0.425</w:t>
            </w:r>
          </w:p>
        </w:tc>
        <w:tc>
          <w:tcPr>
            <w:tcW w:type="dxa" w:w="1871"/>
          </w:tcPr>
          <w:p>
            <w:pPr>
              <w:spacing w:line="252" w:lineRule="auto" w:after="60"/>
            </w:pPr>
            <w:r>
              <w:rPr>
                <w:rFonts w:ascii="Times New Roman" w:hAnsi="Times New Roman"/>
                <w:sz w:val="20"/>
              </w:rPr>
              <w:t>0.960</w:t>
            </w:r>
          </w:p>
        </w:tc>
        <w:tc>
          <w:tcPr>
            <w:tcW w:type="dxa" w:w="1304"/>
          </w:tcPr>
          <w:p>
            <w:pPr>
              <w:spacing w:line="252" w:lineRule="auto" w:after="60"/>
            </w:pPr>
            <w:r>
              <w:rPr>
                <w:rFonts w:ascii="Times New Roman" w:hAnsi="Times New Roman"/>
                <w:sz w:val="20"/>
              </w:rPr>
              <w:t>= .171</w:t>
            </w:r>
          </w:p>
        </w:tc>
      </w:tr>
      <w:tr>
        <w:trPr>
          <w:cantSplit/>
        </w:trPr>
        <w:tc>
          <w:tcPr>
            <w:tcW w:type="dxa" w:w="3005"/>
          </w:tcPr>
          <w:p>
            <w:pPr>
              <w:spacing w:line="252" w:lineRule="auto" w:after="60"/>
            </w:pPr>
            <w:r>
              <w:rPr>
                <w:rFonts w:ascii="Times New Roman" w:hAnsi="Times New Roman"/>
                <w:sz w:val="20"/>
              </w:rPr>
              <w:t>Kendini İfade Etme</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0.125</w:t>
            </w:r>
          </w:p>
        </w:tc>
        <w:tc>
          <w:tcPr>
            <w:tcW w:type="dxa" w:w="1191"/>
          </w:tcPr>
          <w:p>
            <w:pPr>
              <w:spacing w:line="252" w:lineRule="auto" w:after="60"/>
            </w:pPr>
            <w:r>
              <w:rPr>
                <w:rFonts w:ascii="Times New Roman" w:hAnsi="Times New Roman"/>
                <w:sz w:val="20"/>
              </w:rPr>
              <w:t>0.648</w:t>
            </w:r>
          </w:p>
        </w:tc>
        <w:tc>
          <w:tcPr>
            <w:tcW w:type="dxa" w:w="1871"/>
          </w:tcPr>
          <w:p>
            <w:pPr>
              <w:spacing w:line="252" w:lineRule="auto" w:after="60"/>
            </w:pPr>
            <w:r>
              <w:rPr>
                <w:rFonts w:ascii="Times New Roman" w:hAnsi="Times New Roman"/>
                <w:sz w:val="20"/>
              </w:rPr>
              <w:t>0.839</w:t>
            </w:r>
          </w:p>
        </w:tc>
        <w:tc>
          <w:tcPr>
            <w:tcW w:type="dxa" w:w="1304"/>
          </w:tcPr>
          <w:p>
            <w:pPr>
              <w:spacing w:line="252" w:lineRule="auto" w:after="60"/>
            </w:pPr>
            <w:r>
              <w:rPr>
                <w:rFonts w:ascii="Times New Roman" w:hAnsi="Times New Roman"/>
                <w:sz w:val="20"/>
              </w:rPr>
              <w:t>&lt; .001</w:t>
            </w:r>
          </w:p>
        </w:tc>
      </w:tr>
      <w:tr>
        <w:trPr>
          <w:cantSplit/>
        </w:trPr>
        <w:tc>
          <w:tcPr>
            <w:tcW w:type="dxa" w:w="3005"/>
          </w:tcPr>
          <w:p>
            <w:pPr>
              <w:spacing w:line="252" w:lineRule="auto" w:after="60"/>
            </w:pPr>
            <w:r>
              <w:rPr>
                <w:rFonts w:ascii="Times New Roman" w:hAnsi="Times New Roman"/>
                <w:sz w:val="20"/>
              </w:rPr>
              <w:t>Etkin Dinleme ve Sözel Olmayan İletişim</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0.104</w:t>
            </w:r>
          </w:p>
        </w:tc>
        <w:tc>
          <w:tcPr>
            <w:tcW w:type="dxa" w:w="1191"/>
          </w:tcPr>
          <w:p>
            <w:pPr>
              <w:spacing w:line="252" w:lineRule="auto" w:after="60"/>
            </w:pPr>
            <w:r>
              <w:rPr>
                <w:rFonts w:ascii="Times New Roman" w:hAnsi="Times New Roman"/>
                <w:sz w:val="20"/>
              </w:rPr>
              <w:t>0.415</w:t>
            </w:r>
          </w:p>
        </w:tc>
        <w:tc>
          <w:tcPr>
            <w:tcW w:type="dxa" w:w="1871"/>
          </w:tcPr>
          <w:p>
            <w:pPr>
              <w:spacing w:line="252" w:lineRule="auto" w:after="60"/>
            </w:pPr>
            <w:r>
              <w:rPr>
                <w:rFonts w:ascii="Times New Roman" w:hAnsi="Times New Roman"/>
                <w:sz w:val="20"/>
              </w:rPr>
              <w:t>0.949</w:t>
            </w:r>
          </w:p>
        </w:tc>
        <w:tc>
          <w:tcPr>
            <w:tcW w:type="dxa" w:w="1304"/>
          </w:tcPr>
          <w:p>
            <w:pPr>
              <w:spacing w:line="252" w:lineRule="auto" w:after="60"/>
            </w:pPr>
            <w:r>
              <w:rPr>
                <w:rFonts w:ascii="Times New Roman" w:hAnsi="Times New Roman"/>
                <w:sz w:val="20"/>
              </w:rPr>
              <w:t>= .068</w:t>
            </w:r>
          </w:p>
        </w:tc>
      </w:tr>
      <w:tr>
        <w:trPr>
          <w:cantSplit/>
        </w:trPr>
        <w:tc>
          <w:tcPr>
            <w:tcW w:type="dxa" w:w="3005"/>
          </w:tcPr>
          <w:p>
            <w:pPr>
              <w:spacing w:line="252" w:lineRule="auto" w:after="60"/>
            </w:pPr>
            <w:r>
              <w:rPr>
                <w:rFonts w:ascii="Times New Roman" w:hAnsi="Times New Roman"/>
                <w:sz w:val="20"/>
              </w:rPr>
              <w:t>İletişim Kurmaya İsteklilik</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0.040</w:t>
            </w:r>
          </w:p>
        </w:tc>
        <w:tc>
          <w:tcPr>
            <w:tcW w:type="dxa" w:w="1191"/>
          </w:tcPr>
          <w:p>
            <w:pPr>
              <w:spacing w:line="252" w:lineRule="auto" w:after="60"/>
            </w:pPr>
            <w:r>
              <w:rPr>
                <w:rFonts w:ascii="Times New Roman" w:hAnsi="Times New Roman"/>
                <w:sz w:val="20"/>
              </w:rPr>
              <w:t>0.348</w:t>
            </w:r>
          </w:p>
        </w:tc>
        <w:tc>
          <w:tcPr>
            <w:tcW w:type="dxa" w:w="1871"/>
          </w:tcPr>
          <w:p>
            <w:pPr>
              <w:spacing w:line="252" w:lineRule="auto" w:after="60"/>
            </w:pPr>
            <w:r>
              <w:rPr>
                <w:rFonts w:ascii="Times New Roman" w:hAnsi="Times New Roman"/>
                <w:sz w:val="20"/>
              </w:rPr>
              <w:t>0.906</w:t>
            </w:r>
          </w:p>
        </w:tc>
        <w:tc>
          <w:tcPr>
            <w:tcW w:type="dxa" w:w="1304"/>
          </w:tcPr>
          <w:p>
            <w:pPr>
              <w:spacing w:line="252" w:lineRule="auto" w:after="60"/>
            </w:pPr>
            <w:r>
              <w:rPr>
                <w:rFonts w:ascii="Times New Roman" w:hAnsi="Times New Roman"/>
                <w:sz w:val="20"/>
              </w:rPr>
              <w:t>= .003</w:t>
            </w:r>
          </w:p>
        </w:tc>
      </w:tr>
      <w:tr>
        <w:trPr>
          <w:cantSplit/>
        </w:trPr>
        <w:tc>
          <w:tcPr>
            <w:tcW w:type="dxa" w:w="3005"/>
          </w:tcPr>
          <w:p>
            <w:pPr>
              <w:spacing w:line="252" w:lineRule="auto" w:after="60"/>
            </w:pPr>
            <w:r>
              <w:rPr>
                <w:rFonts w:ascii="Times New Roman" w:hAnsi="Times New Roman"/>
                <w:sz w:val="20"/>
              </w:rPr>
              <w:t>İBDÖ Toplam</w:t>
            </w:r>
          </w:p>
        </w:tc>
        <w:tc>
          <w:tcPr>
            <w:tcW w:type="dxa" w:w="454"/>
          </w:tcPr>
          <w:p>
            <w:pPr>
              <w:spacing w:line="252" w:lineRule="auto" w:after="60"/>
            </w:pPr>
            <w:r>
              <w:rPr>
                <w:rFonts w:ascii="Times New Roman" w:hAnsi="Times New Roman"/>
                <w:sz w:val="20"/>
              </w:rPr>
              <w:t>40</w:t>
            </w:r>
          </w:p>
        </w:tc>
        <w:tc>
          <w:tcPr>
            <w:tcW w:type="dxa" w:w="1191"/>
          </w:tcPr>
          <w:p>
            <w:pPr>
              <w:spacing w:line="252" w:lineRule="auto" w:after="60"/>
            </w:pPr>
            <w:r>
              <w:rPr>
                <w:rFonts w:ascii="Times New Roman" w:hAnsi="Times New Roman"/>
                <w:sz w:val="20"/>
              </w:rPr>
              <w:t>0.095</w:t>
            </w:r>
          </w:p>
        </w:tc>
        <w:tc>
          <w:tcPr>
            <w:tcW w:type="dxa" w:w="1191"/>
          </w:tcPr>
          <w:p>
            <w:pPr>
              <w:spacing w:line="252" w:lineRule="auto" w:after="60"/>
            </w:pPr>
            <w:r>
              <w:rPr>
                <w:rFonts w:ascii="Times New Roman" w:hAnsi="Times New Roman"/>
                <w:sz w:val="20"/>
              </w:rPr>
              <w:t>0.355</w:t>
            </w:r>
          </w:p>
        </w:tc>
        <w:tc>
          <w:tcPr>
            <w:tcW w:type="dxa" w:w="1871"/>
          </w:tcPr>
          <w:p>
            <w:pPr>
              <w:spacing w:line="252" w:lineRule="auto" w:after="60"/>
            </w:pPr>
            <w:r>
              <w:rPr>
                <w:rFonts w:ascii="Times New Roman" w:hAnsi="Times New Roman"/>
                <w:sz w:val="20"/>
              </w:rPr>
              <w:t>0.964</w:t>
            </w:r>
          </w:p>
        </w:tc>
        <w:tc>
          <w:tcPr>
            <w:tcW w:type="dxa" w:w="1304"/>
          </w:tcPr>
          <w:p>
            <w:pPr>
              <w:spacing w:line="252" w:lineRule="auto" w:after="60"/>
            </w:pPr>
            <w:r>
              <w:rPr>
                <w:rFonts w:ascii="Times New Roman" w:hAnsi="Times New Roman"/>
                <w:sz w:val="20"/>
              </w:rPr>
              <w:t>= .232</w:t>
            </w:r>
          </w:p>
        </w:tc>
      </w:tr>
    </w:tbl>
    <w:p w14:paraId="3B5FE5A8" w14:textId="77777777" w:rsidR="00623E78" w:rsidRPr="00623E78" w:rsidRDefault="00623E78" w:rsidP="000F625B">
      <w:pPr>
        <w:keepNext/>
        <w:keepLines/>
        <w:widowControl/>
        <w:spacing w:before="160" w:line="360" w:lineRule="auto"/>
        <w:jc w:val="both"/>
        <w:rPr>
          <w:rFonts w:ascii="Times New Roman" w:hAnsi="Times New Roman" w:cs="Times New Roman"/>
          <w:sz w:val="24"/>
          <w:szCs w:val="24"/>
        </w:rPr>
      </w:pPr>
      <w:r>
        <w:rPr>
          <w:rFonts w:ascii="Times New Roman" w:hAnsi="Times New Roman"/>
          <w:sz w:val="24"/>
        </w:rPr>
        <w:t>Tablo 4.9’da toplam puan, İletişim İlkeleri ve Temel Beceriler ile Etkin Dinleme ve Sözel Olmayan İletişim farklarında normal dağılımdan anlamlı sapma saptanmamıştır. Kendini İfade Etme farklarında p&lt;,001, İletişim Kurmaya İsteklilik farklarında p=,003’tür. Toplam puan farklarının Shapiro–Wilk sonucu anlamlı değildir (p=,232). Anlamlı olmayan normallik testi, dağılımın kesin olarak normal olduğunun kanıtı sayılmamıştır.</w:t>
      </w:r>
      <w:r>
        <w:t xml:space="preserve"> Tablodaki farklar son test − ön test yönünde hesaplanmıştır.</w:t>
      </w:r>
    </w:p>
    <w:p w14:paraId="61B15E05" w14:textId="2B710EFE"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Ana t testi sonuçları izleyen tabloda verilmiştir. Farkları normal dağılımdan sapan Kendini İfade Etme ve İletişim Kurmaya İsteklilik boyutlarında Wilcoxon duyarlılık incelemesi de anlamlı fark göstermemiştir (yaklaşık p=,469 ve p=,644). Ek incelemeler, alt boyutların sınırlı iç tutarlılıkları ve çoklu karşılaştırma durumu dikkate alınarak yorumlanmıştır.</w:t>
      </w:r>
    </w:p>
    <w:p w14:paraId="6C70C952" w14:textId="77777777" w:rsidR="00623E78" w:rsidRPr="00623E78" w:rsidRDefault="00623E78" w:rsidP="00623E78">
      <w:pPr>
        <w:keepNext/>
        <w:keepLines/>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Ön Test-Son Test Karşılaştırmalarına İlişkin Bulgular</w:t>
      </w:r>
    </w:p>
    <w:p w14:paraId="75925205" w14:textId="39E6FA2E"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Öğretmen adaylarının İletişim Becerileri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bookmarkStart w:id="8050" w:name="Ortak40_8050"/>
      <w:bookmarkStart w:id="5050" w:name="Birlesik_5050"/>
      <w:pPr>
        <w:keepNext/>
        <w:keepLines/>
        <w:widowControl/>
        <w:jc w:val="both"/>
        <w:rPr>
          <w:rFonts w:ascii="Times New Roman" w:hAnsi="Times New Roman" w:cs="Times New Roman"/>
          <w:sz w:val="24"/>
          <w:szCs w:val="24"/>
        </w:rPr>
      </w:pPr>
      <w:r w:rsidRPr="00623E78">
        <w:rPr>
          <w:rFonts w:ascii="Times New Roman" w:hAnsi="Times New Roman" w:cs="Times New Roman"/>
          <w:b/>
          <w:bCs/>
          <w:sz w:val="24"/>
          <w:szCs w:val="24"/>
        </w:rPr>
        <w:t>Tablo 4.10. İBDÖ Ön Test ve Son Test Puanlarının Bağımlı Örneklemler t Testi Sonuçları</w:t>
      </w:r>
      <w:bookmarkEnd w:id="5050"/>
      <w:bookmarkEnd w:id="8050"/>
      <w:fldSimple w:instr="TC &quot;Tablo 4.10. İBD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1"/>
        <w:gridCol w:w="753"/>
        <w:gridCol w:w="803"/>
        <w:gridCol w:w="868"/>
        <w:gridCol w:w="753"/>
        <w:gridCol w:w="557"/>
        <w:gridCol w:w="604"/>
        <w:gridCol w:w="857"/>
        <w:gridCol w:w="839"/>
        <w:gridCol w:w="1039"/>
      </w:tblGrid>
      <w:tr w:rsidR="00623E78" w14:paraId="39999FEC" w14:textId="77777777" w:rsidTr="00623E78">
        <w:trPr>
          <w:trHeight w:val="696"/>
          <w:jc w:val="center"/>
          <w:cantSplit/>
          <w:tblHeader/>
        </w:trPr>
        <w:tc>
          <w:tcPr>
            <w:tcW w:w="1941" w:type="dxa"/>
          </w:tcPr>
          <w:p>
            <w:pPr>
              <w:spacing w:line="252" w:lineRule="auto" w:after="60"/>
            </w:pPr>
            <w:r>
              <w:rPr>
                <w:rFonts w:ascii="Times New Roman" w:hAnsi="Times New Roman"/>
                <w:sz w:val="18"/>
              </w:rPr>
              <w:t>Alt Boyut</w:t>
            </w:r>
          </w:p>
        </w:tc>
        <w:tc>
          <w:tcPr>
            <w:tcW w:w="753" w:type="dxa"/>
          </w:tcPr>
          <w:p>
            <w:pPr>
              <w:spacing w:line="252" w:lineRule="auto" w:after="60"/>
            </w:pPr>
            <w:r>
              <w:rPr>
                <w:rFonts w:ascii="Times New Roman" w:hAnsi="Times New Roman"/>
                <w:sz w:val="18"/>
              </w:rPr>
              <w:t>Ön x̄</w:t>
            </w:r>
          </w:p>
        </w:tc>
        <w:tc>
          <w:tcPr>
            <w:tcW w:w="803" w:type="dxa"/>
          </w:tcPr>
          <w:p>
            <w:pPr>
              <w:spacing w:line="252" w:lineRule="auto" w:after="60"/>
            </w:pPr>
            <w:r>
              <w:rPr>
                <w:rFonts w:ascii="Times New Roman" w:hAnsi="Times New Roman"/>
                <w:sz w:val="18"/>
              </w:rPr>
              <w:t>Ön SS</w:t>
            </w:r>
          </w:p>
        </w:tc>
        <w:tc>
          <w:tcPr>
            <w:tcW w:w="868" w:type="dxa"/>
          </w:tcPr>
          <w:p>
            <w:pPr>
              <w:spacing w:line="252" w:lineRule="auto" w:after="60"/>
            </w:pPr>
            <w:r>
              <w:rPr>
                <w:rFonts w:ascii="Times New Roman" w:hAnsi="Times New Roman"/>
                <w:sz w:val="18"/>
              </w:rPr>
              <w:t>Son x̄</w:t>
            </w:r>
          </w:p>
        </w:tc>
        <w:tc>
          <w:tcPr>
            <w:tcW w:w="753" w:type="dxa"/>
          </w:tcPr>
          <w:p>
            <w:pPr>
              <w:spacing w:line="252" w:lineRule="auto" w:after="60"/>
            </w:pPr>
            <w:r>
              <w:rPr>
                <w:rFonts w:ascii="Times New Roman" w:hAnsi="Times New Roman"/>
                <w:sz w:val="18"/>
              </w:rPr>
              <w:t>Son SS</w:t>
            </w:r>
          </w:p>
        </w:tc>
        <w:tc>
          <w:tcPr>
            <w:tcW w:w="557" w:type="dxa"/>
          </w:tcPr>
          <w:p>
            <w:pPr>
              <w:spacing w:line="252" w:lineRule="auto" w:after="60"/>
            </w:pPr>
            <w:r>
              <w:rPr>
                <w:rFonts w:ascii="Times New Roman" w:hAnsi="Times New Roman"/>
                <w:sz w:val="18"/>
              </w:rPr>
              <w:t>N</w:t>
            </w:r>
          </w:p>
        </w:tc>
        <w:tc>
          <w:tcPr>
            <w:tcW w:w="604" w:type="dxa"/>
          </w:tcPr>
          <w:p>
            <w:pPr>
              <w:spacing w:line="252" w:lineRule="auto" w:after="60"/>
            </w:pPr>
            <w:r>
              <w:rPr>
                <w:rFonts w:ascii="Times New Roman" w:hAnsi="Times New Roman"/>
                <w:sz w:val="18"/>
              </w:rPr>
              <w:t>sd</w:t>
            </w:r>
          </w:p>
        </w:tc>
        <w:tc>
          <w:tcPr>
            <w:tcW w:w="857" w:type="dxa"/>
          </w:tcPr>
          <w:p>
            <w:pPr>
              <w:spacing w:line="252" w:lineRule="auto" w:after="60"/>
            </w:pPr>
            <w:r>
              <w:rPr>
                <w:rFonts w:ascii="Times New Roman" w:hAnsi="Times New Roman"/>
                <w:sz w:val="18"/>
              </w:rPr>
              <w:t>t</w:t>
            </w:r>
          </w:p>
        </w:tc>
        <w:tc>
          <w:tcPr>
            <w:tcW w:w="839" w:type="dxa"/>
          </w:tcPr>
          <w:p>
            <w:pPr>
              <w:spacing w:line="252" w:lineRule="auto" w:after="60"/>
            </w:pPr>
            <w:r>
              <w:rPr>
                <w:rFonts w:ascii="Times New Roman" w:hAnsi="Times New Roman"/>
                <w:sz w:val="18"/>
              </w:rPr>
              <w:t>p</w:t>
            </w:r>
          </w:p>
        </w:tc>
        <w:tc>
          <w:tcPr>
            <w:tcW w:w="1039" w:type="dxa"/>
          </w:tcPr>
          <w:p>
            <w:r/>
            <w:r>
              <w:rPr>
                <w:rFonts w:ascii="Times New Roman" w:hAnsi="Times New Roman"/>
                <w:sz w:val="18"/>
              </w:rPr>
              <w:t>Cohen’s d</w:t>
            </w:r>
            <w:r>
              <w:rPr>
                <w:rFonts w:ascii="Times New Roman" w:hAnsi="Times New Roman"/>
                <w:sz w:val="18"/>
                <w:vertAlign w:val="subscript"/>
              </w:rPr>
              <w:t>z</w:t>
            </w:r>
          </w:p>
        </w:tc>
      </w:tr>
      <w:tr w:rsidR="00623E78" w14:paraId="3693AAAF" w14:textId="77777777" w:rsidTr="00623E78">
        <w:trPr>
          <w:trHeight w:val="1029"/>
          <w:jc w:val="center"/>
          <w:cantSplit/>
        </w:trPr>
        <w:tc>
          <w:tcPr>
            <w:tcW w:w="1941" w:type="dxa"/>
          </w:tcPr>
          <w:p>
            <w:pPr>
              <w:spacing w:line="252" w:lineRule="auto" w:after="60"/>
            </w:pPr>
            <w:r>
              <w:rPr>
                <w:rFonts w:ascii="Times New Roman" w:hAnsi="Times New Roman"/>
                <w:sz w:val="18"/>
              </w:rPr>
              <w:t>İletişim İlkeleri ve Temel Beceriler</w:t>
            </w:r>
          </w:p>
        </w:tc>
        <w:tc>
          <w:tcPr>
            <w:tcW w:w="753" w:type="dxa"/>
          </w:tcPr>
          <w:p>
            <w:pPr>
              <w:spacing w:line="252" w:lineRule="auto" w:after="60"/>
            </w:pPr>
            <w:r>
              <w:rPr>
                <w:rFonts w:ascii="Times New Roman" w:hAnsi="Times New Roman"/>
                <w:sz w:val="18"/>
              </w:rPr>
              <w:t>3.908</w:t>
            </w:r>
          </w:p>
        </w:tc>
        <w:tc>
          <w:tcPr>
            <w:tcW w:w="803" w:type="dxa"/>
          </w:tcPr>
          <w:p>
            <w:pPr>
              <w:spacing w:line="252" w:lineRule="auto" w:after="60"/>
            </w:pPr>
            <w:r>
              <w:rPr>
                <w:rFonts w:ascii="Times New Roman" w:hAnsi="Times New Roman"/>
                <w:sz w:val="18"/>
              </w:rPr>
              <w:t>0.405</w:t>
            </w:r>
          </w:p>
        </w:tc>
        <w:tc>
          <w:tcPr>
            <w:tcW w:w="868" w:type="dxa"/>
          </w:tcPr>
          <w:p>
            <w:pPr>
              <w:spacing w:line="252" w:lineRule="auto" w:after="60"/>
            </w:pPr>
            <w:r>
              <w:rPr>
                <w:rFonts w:ascii="Times New Roman" w:hAnsi="Times New Roman"/>
                <w:sz w:val="18"/>
              </w:rPr>
              <w:t>4.012</w:t>
            </w:r>
          </w:p>
        </w:tc>
        <w:tc>
          <w:tcPr>
            <w:tcW w:w="753" w:type="dxa"/>
          </w:tcPr>
          <w:p>
            <w:pPr>
              <w:spacing w:line="252" w:lineRule="auto" w:after="60"/>
            </w:pPr>
            <w:r>
              <w:rPr>
                <w:rFonts w:ascii="Times New Roman" w:hAnsi="Times New Roman"/>
                <w:sz w:val="18"/>
              </w:rPr>
              <w:t>0.341</w:t>
            </w:r>
          </w:p>
        </w:tc>
        <w:tc>
          <w:tcPr>
            <w:tcW w:w="557" w:type="dxa"/>
          </w:tcPr>
          <w:p>
            <w:pPr>
              <w:spacing w:line="252" w:lineRule="auto" w:after="60"/>
            </w:pPr>
            <w:r>
              <w:rPr>
                <w:rFonts w:ascii="Times New Roman" w:hAnsi="Times New Roman"/>
                <w:sz w:val="18"/>
              </w:rPr>
              <w:t>40</w:t>
            </w:r>
          </w:p>
        </w:tc>
        <w:tc>
          <w:tcPr>
            <w:tcW w:w="604" w:type="dxa"/>
          </w:tcPr>
          <w:p>
            <w:pPr>
              <w:spacing w:line="252" w:lineRule="auto" w:after="60"/>
            </w:pPr>
            <w:r>
              <w:rPr>
                <w:rFonts w:ascii="Times New Roman" w:hAnsi="Times New Roman"/>
                <w:sz w:val="18"/>
              </w:rPr>
              <w:t>39</w:t>
            </w:r>
          </w:p>
        </w:tc>
        <w:tc>
          <w:tcPr>
            <w:tcW w:w="857" w:type="dxa"/>
          </w:tcPr>
          <w:p>
            <w:pPr>
              <w:spacing w:line="252" w:lineRule="auto" w:after="60"/>
            </w:pPr>
            <w:r>
              <w:rPr>
                <w:rFonts w:ascii="Times New Roman" w:hAnsi="Times New Roman"/>
                <w:sz w:val="18"/>
              </w:rPr>
              <w:t>1.563</w:t>
            </w:r>
          </w:p>
        </w:tc>
        <w:tc>
          <w:tcPr>
            <w:tcW w:w="839" w:type="dxa"/>
          </w:tcPr>
          <w:p>
            <w:pPr>
              <w:spacing w:line="252" w:lineRule="auto" w:after="60"/>
            </w:pPr>
            <w:r>
              <w:rPr>
                <w:rFonts w:ascii="Times New Roman" w:hAnsi="Times New Roman"/>
                <w:sz w:val="18"/>
              </w:rPr>
              <w:t>= .126</w:t>
            </w:r>
          </w:p>
        </w:tc>
        <w:tc>
          <w:tcPr>
            <w:tcW w:w="1039" w:type="dxa"/>
          </w:tcPr>
          <w:p>
            <w:pPr>
              <w:spacing w:line="252" w:lineRule="auto" w:after="60"/>
            </w:pPr>
            <w:r>
              <w:rPr>
                <w:rFonts w:ascii="Times New Roman" w:hAnsi="Times New Roman"/>
                <w:sz w:val="18"/>
              </w:rPr>
              <w:t>0.247</w:t>
            </w:r>
          </w:p>
        </w:tc>
      </w:tr>
      <w:tr w:rsidR="00623E78" w14:paraId="4CB2ED16" w14:textId="77777777" w:rsidTr="00623E78">
        <w:trPr>
          <w:trHeight w:val="696"/>
          <w:jc w:val="center"/>
          <w:cantSplit/>
        </w:trPr>
        <w:tc>
          <w:tcPr>
            <w:tcW w:w="1941" w:type="dxa"/>
          </w:tcPr>
          <w:p>
            <w:pPr>
              <w:spacing w:line="252" w:lineRule="auto" w:after="60"/>
            </w:pPr>
            <w:r>
              <w:rPr>
                <w:rFonts w:ascii="Times New Roman" w:hAnsi="Times New Roman"/>
                <w:sz w:val="18"/>
              </w:rPr>
              <w:t>Kendini İfade Etme</w:t>
            </w:r>
          </w:p>
        </w:tc>
        <w:tc>
          <w:tcPr>
            <w:tcW w:w="753" w:type="dxa"/>
          </w:tcPr>
          <w:p>
            <w:pPr>
              <w:spacing w:line="252" w:lineRule="auto" w:after="60"/>
            </w:pPr>
            <w:r>
              <w:rPr>
                <w:rFonts w:ascii="Times New Roman" w:hAnsi="Times New Roman"/>
                <w:sz w:val="18"/>
              </w:rPr>
              <w:t>3.675</w:t>
            </w:r>
          </w:p>
        </w:tc>
        <w:tc>
          <w:tcPr>
            <w:tcW w:w="803" w:type="dxa"/>
          </w:tcPr>
          <w:p>
            <w:pPr>
              <w:spacing w:line="252" w:lineRule="auto" w:after="60"/>
            </w:pPr>
            <w:r>
              <w:rPr>
                <w:rFonts w:ascii="Times New Roman" w:hAnsi="Times New Roman"/>
                <w:sz w:val="18"/>
              </w:rPr>
              <w:t>0.631</w:t>
            </w:r>
          </w:p>
        </w:tc>
        <w:tc>
          <w:tcPr>
            <w:tcW w:w="868" w:type="dxa"/>
          </w:tcPr>
          <w:p>
            <w:pPr>
              <w:spacing w:line="252" w:lineRule="auto" w:after="60"/>
            </w:pPr>
            <w:r>
              <w:rPr>
                <w:rFonts w:ascii="Times New Roman" w:hAnsi="Times New Roman"/>
                <w:sz w:val="18"/>
              </w:rPr>
              <w:t>3.800</w:t>
            </w:r>
          </w:p>
        </w:tc>
        <w:tc>
          <w:tcPr>
            <w:tcW w:w="753" w:type="dxa"/>
          </w:tcPr>
          <w:p>
            <w:pPr>
              <w:spacing w:line="252" w:lineRule="auto" w:after="60"/>
            </w:pPr>
            <w:r>
              <w:rPr>
                <w:rFonts w:ascii="Times New Roman" w:hAnsi="Times New Roman"/>
                <w:sz w:val="18"/>
              </w:rPr>
              <w:t>0.641</w:t>
            </w:r>
          </w:p>
        </w:tc>
        <w:tc>
          <w:tcPr>
            <w:tcW w:w="557" w:type="dxa"/>
          </w:tcPr>
          <w:p>
            <w:pPr>
              <w:spacing w:line="252" w:lineRule="auto" w:after="60"/>
            </w:pPr>
            <w:r>
              <w:rPr>
                <w:rFonts w:ascii="Times New Roman" w:hAnsi="Times New Roman"/>
                <w:sz w:val="18"/>
              </w:rPr>
              <w:t>40</w:t>
            </w:r>
          </w:p>
        </w:tc>
        <w:tc>
          <w:tcPr>
            <w:tcW w:w="604" w:type="dxa"/>
          </w:tcPr>
          <w:p>
            <w:pPr>
              <w:spacing w:line="252" w:lineRule="auto" w:after="60"/>
            </w:pPr>
            <w:r>
              <w:rPr>
                <w:rFonts w:ascii="Times New Roman" w:hAnsi="Times New Roman"/>
                <w:sz w:val="18"/>
              </w:rPr>
              <w:t>39</w:t>
            </w:r>
          </w:p>
        </w:tc>
        <w:tc>
          <w:tcPr>
            <w:tcW w:w="857" w:type="dxa"/>
          </w:tcPr>
          <w:p>
            <w:pPr>
              <w:spacing w:line="252" w:lineRule="auto" w:after="60"/>
            </w:pPr>
            <w:r>
              <w:rPr>
                <w:rFonts w:ascii="Times New Roman" w:hAnsi="Times New Roman"/>
                <w:sz w:val="18"/>
              </w:rPr>
              <w:t>1.220</w:t>
            </w:r>
          </w:p>
        </w:tc>
        <w:tc>
          <w:tcPr>
            <w:tcW w:w="839" w:type="dxa"/>
          </w:tcPr>
          <w:p>
            <w:pPr>
              <w:spacing w:line="252" w:lineRule="auto" w:after="60"/>
            </w:pPr>
            <w:r>
              <w:rPr>
                <w:rFonts w:ascii="Times New Roman" w:hAnsi="Times New Roman"/>
                <w:sz w:val="18"/>
              </w:rPr>
              <w:t>= .230</w:t>
            </w:r>
          </w:p>
        </w:tc>
        <w:tc>
          <w:tcPr>
            <w:tcW w:w="1039" w:type="dxa"/>
          </w:tcPr>
          <w:p>
            <w:pPr>
              <w:spacing w:line="252" w:lineRule="auto" w:after="60"/>
            </w:pPr>
            <w:r>
              <w:rPr>
                <w:rFonts w:ascii="Times New Roman" w:hAnsi="Times New Roman"/>
                <w:sz w:val="18"/>
              </w:rPr>
              <w:t>0.193</w:t>
            </w:r>
          </w:p>
        </w:tc>
      </w:tr>
      <w:tr w:rsidR="00623E78" w14:paraId="1FF33102" w14:textId="77777777" w:rsidTr="00623E78">
        <w:trPr>
          <w:trHeight w:val="1044"/>
          <w:jc w:val="center"/>
          <w:cantSplit/>
        </w:trPr>
        <w:tc>
          <w:tcPr>
            <w:tcW w:w="1941" w:type="dxa"/>
          </w:tcPr>
          <w:p>
            <w:pPr>
              <w:spacing w:line="252" w:lineRule="auto" w:after="60"/>
            </w:pPr>
            <w:r>
              <w:rPr>
                <w:rFonts w:ascii="Times New Roman" w:hAnsi="Times New Roman"/>
                <w:sz w:val="18"/>
              </w:rPr>
              <w:t>Etkin Dinleme ve Sözel Olmayan İletişim</w:t>
            </w:r>
          </w:p>
        </w:tc>
        <w:tc>
          <w:tcPr>
            <w:tcW w:w="753" w:type="dxa"/>
          </w:tcPr>
          <w:p>
            <w:pPr>
              <w:spacing w:line="252" w:lineRule="auto" w:after="60"/>
            </w:pPr>
            <w:r>
              <w:rPr>
                <w:rFonts w:ascii="Times New Roman" w:hAnsi="Times New Roman"/>
                <w:sz w:val="18"/>
              </w:rPr>
              <w:t>3.912</w:t>
            </w:r>
          </w:p>
        </w:tc>
        <w:tc>
          <w:tcPr>
            <w:tcW w:w="803" w:type="dxa"/>
          </w:tcPr>
          <w:p>
            <w:pPr>
              <w:spacing w:line="252" w:lineRule="auto" w:after="60"/>
            </w:pPr>
            <w:r>
              <w:rPr>
                <w:rFonts w:ascii="Times New Roman" w:hAnsi="Times New Roman"/>
                <w:sz w:val="18"/>
              </w:rPr>
              <w:t>0.451</w:t>
            </w:r>
          </w:p>
        </w:tc>
        <w:tc>
          <w:tcPr>
            <w:tcW w:w="868" w:type="dxa"/>
          </w:tcPr>
          <w:p>
            <w:pPr>
              <w:spacing w:line="252" w:lineRule="auto" w:after="60"/>
            </w:pPr>
            <w:r>
              <w:rPr>
                <w:rFonts w:ascii="Times New Roman" w:hAnsi="Times New Roman"/>
                <w:sz w:val="18"/>
              </w:rPr>
              <w:t>4.017</w:t>
            </w:r>
          </w:p>
        </w:tc>
        <w:tc>
          <w:tcPr>
            <w:tcW w:w="753" w:type="dxa"/>
          </w:tcPr>
          <w:p>
            <w:pPr>
              <w:spacing w:line="252" w:lineRule="auto" w:after="60"/>
            </w:pPr>
            <w:r>
              <w:rPr>
                <w:rFonts w:ascii="Times New Roman" w:hAnsi="Times New Roman"/>
                <w:sz w:val="18"/>
              </w:rPr>
              <w:t>0.404</w:t>
            </w:r>
          </w:p>
        </w:tc>
        <w:tc>
          <w:tcPr>
            <w:tcW w:w="557" w:type="dxa"/>
          </w:tcPr>
          <w:p>
            <w:pPr>
              <w:spacing w:line="252" w:lineRule="auto" w:after="60"/>
            </w:pPr>
            <w:r>
              <w:rPr>
                <w:rFonts w:ascii="Times New Roman" w:hAnsi="Times New Roman"/>
                <w:sz w:val="18"/>
              </w:rPr>
              <w:t>40</w:t>
            </w:r>
          </w:p>
        </w:tc>
        <w:tc>
          <w:tcPr>
            <w:tcW w:w="604" w:type="dxa"/>
          </w:tcPr>
          <w:p>
            <w:pPr>
              <w:spacing w:line="252" w:lineRule="auto" w:after="60"/>
            </w:pPr>
            <w:r>
              <w:rPr>
                <w:rFonts w:ascii="Times New Roman" w:hAnsi="Times New Roman"/>
                <w:sz w:val="18"/>
              </w:rPr>
              <w:t>39</w:t>
            </w:r>
          </w:p>
        </w:tc>
        <w:tc>
          <w:tcPr>
            <w:tcW w:w="857" w:type="dxa"/>
          </w:tcPr>
          <w:p>
            <w:pPr>
              <w:spacing w:line="252" w:lineRule="auto" w:after="60"/>
            </w:pPr>
            <w:r>
              <w:rPr>
                <w:rFonts w:ascii="Times New Roman" w:hAnsi="Times New Roman"/>
                <w:sz w:val="18"/>
              </w:rPr>
              <w:t>1.589</w:t>
            </w:r>
          </w:p>
        </w:tc>
        <w:tc>
          <w:tcPr>
            <w:tcW w:w="839" w:type="dxa"/>
          </w:tcPr>
          <w:p>
            <w:pPr>
              <w:spacing w:line="252" w:lineRule="auto" w:after="60"/>
            </w:pPr>
            <w:r>
              <w:rPr>
                <w:rFonts w:ascii="Times New Roman" w:hAnsi="Times New Roman"/>
                <w:sz w:val="18"/>
              </w:rPr>
              <w:t>= .120</w:t>
            </w:r>
          </w:p>
        </w:tc>
        <w:tc>
          <w:tcPr>
            <w:tcW w:w="1039" w:type="dxa"/>
          </w:tcPr>
          <w:p>
            <w:pPr>
              <w:spacing w:line="252" w:lineRule="auto" w:after="60"/>
            </w:pPr>
            <w:r>
              <w:rPr>
                <w:rFonts w:ascii="Times New Roman" w:hAnsi="Times New Roman"/>
                <w:sz w:val="18"/>
              </w:rPr>
              <w:t>0.251</w:t>
            </w:r>
          </w:p>
        </w:tc>
      </w:tr>
      <w:tr w:rsidR="00623E78" w14:paraId="25D589D3" w14:textId="77777777" w:rsidTr="00623E78">
        <w:trPr>
          <w:trHeight w:val="681"/>
          <w:jc w:val="center"/>
          <w:cantSplit/>
        </w:trPr>
        <w:tc>
          <w:tcPr>
            <w:tcW w:w="1941" w:type="dxa"/>
          </w:tcPr>
          <w:p>
            <w:pPr>
              <w:spacing w:line="252" w:lineRule="auto" w:after="60"/>
            </w:pPr>
            <w:r>
              <w:rPr>
                <w:rFonts w:ascii="Times New Roman" w:hAnsi="Times New Roman"/>
                <w:sz w:val="18"/>
              </w:rPr>
              <w:t>İletişim Kurmaya İsteklilik</w:t>
            </w:r>
          </w:p>
        </w:tc>
        <w:tc>
          <w:tcPr>
            <w:tcW w:w="753" w:type="dxa"/>
          </w:tcPr>
          <w:p>
            <w:pPr>
              <w:spacing w:line="252" w:lineRule="auto" w:after="60"/>
            </w:pPr>
            <w:r>
              <w:rPr>
                <w:rFonts w:ascii="Times New Roman" w:hAnsi="Times New Roman"/>
                <w:sz w:val="18"/>
              </w:rPr>
              <w:t>3.690</w:t>
            </w:r>
          </w:p>
        </w:tc>
        <w:tc>
          <w:tcPr>
            <w:tcW w:w="803" w:type="dxa"/>
          </w:tcPr>
          <w:p>
            <w:pPr>
              <w:spacing w:line="252" w:lineRule="auto" w:after="60"/>
            </w:pPr>
            <w:r>
              <w:rPr>
                <w:rFonts w:ascii="Times New Roman" w:hAnsi="Times New Roman"/>
                <w:sz w:val="18"/>
              </w:rPr>
              <w:t>0.522</w:t>
            </w:r>
          </w:p>
        </w:tc>
        <w:tc>
          <w:tcPr>
            <w:tcW w:w="868" w:type="dxa"/>
          </w:tcPr>
          <w:p>
            <w:pPr>
              <w:spacing w:line="252" w:lineRule="auto" w:after="60"/>
            </w:pPr>
            <w:r>
              <w:rPr>
                <w:rFonts w:ascii="Times New Roman" w:hAnsi="Times New Roman"/>
                <w:sz w:val="18"/>
              </w:rPr>
              <w:t>3.730</w:t>
            </w:r>
          </w:p>
        </w:tc>
        <w:tc>
          <w:tcPr>
            <w:tcW w:w="753" w:type="dxa"/>
          </w:tcPr>
          <w:p>
            <w:pPr>
              <w:spacing w:line="252" w:lineRule="auto" w:after="60"/>
            </w:pPr>
            <w:r>
              <w:rPr>
                <w:rFonts w:ascii="Times New Roman" w:hAnsi="Times New Roman"/>
                <w:sz w:val="18"/>
              </w:rPr>
              <w:t>0.497</w:t>
            </w:r>
          </w:p>
        </w:tc>
        <w:tc>
          <w:tcPr>
            <w:tcW w:w="557" w:type="dxa"/>
          </w:tcPr>
          <w:p>
            <w:pPr>
              <w:spacing w:line="252" w:lineRule="auto" w:after="60"/>
            </w:pPr>
            <w:r>
              <w:rPr>
                <w:rFonts w:ascii="Times New Roman" w:hAnsi="Times New Roman"/>
                <w:sz w:val="18"/>
              </w:rPr>
              <w:t>40</w:t>
            </w:r>
          </w:p>
        </w:tc>
        <w:tc>
          <w:tcPr>
            <w:tcW w:w="604" w:type="dxa"/>
          </w:tcPr>
          <w:p>
            <w:pPr>
              <w:spacing w:line="252" w:lineRule="auto" w:after="60"/>
            </w:pPr>
            <w:r>
              <w:rPr>
                <w:rFonts w:ascii="Times New Roman" w:hAnsi="Times New Roman"/>
                <w:sz w:val="18"/>
              </w:rPr>
              <w:t>39</w:t>
            </w:r>
          </w:p>
        </w:tc>
        <w:tc>
          <w:tcPr>
            <w:tcW w:w="857" w:type="dxa"/>
          </w:tcPr>
          <w:p>
            <w:pPr>
              <w:spacing w:line="252" w:lineRule="auto" w:after="60"/>
            </w:pPr>
            <w:r>
              <w:rPr>
                <w:rFonts w:ascii="Times New Roman" w:hAnsi="Times New Roman"/>
                <w:sz w:val="18"/>
              </w:rPr>
              <w:t>0.726</w:t>
            </w:r>
          </w:p>
        </w:tc>
        <w:tc>
          <w:tcPr>
            <w:tcW w:w="839" w:type="dxa"/>
          </w:tcPr>
          <w:p>
            <w:pPr>
              <w:spacing w:line="252" w:lineRule="auto" w:after="60"/>
            </w:pPr>
            <w:r>
              <w:rPr>
                <w:rFonts w:ascii="Times New Roman" w:hAnsi="Times New Roman"/>
                <w:sz w:val="18"/>
              </w:rPr>
              <w:t>= .472</w:t>
            </w:r>
          </w:p>
        </w:tc>
        <w:tc>
          <w:tcPr>
            <w:tcW w:w="1039" w:type="dxa"/>
          </w:tcPr>
          <w:p>
            <w:pPr>
              <w:spacing w:line="252" w:lineRule="auto" w:after="60"/>
            </w:pPr>
            <w:r>
              <w:rPr>
                <w:rFonts w:ascii="Times New Roman" w:hAnsi="Times New Roman"/>
                <w:sz w:val="18"/>
              </w:rPr>
              <w:t>0.115</w:t>
            </w:r>
          </w:p>
        </w:tc>
      </w:tr>
      <w:tr w:rsidR="00623E78" w14:paraId="5DDC6B24" w14:textId="77777777" w:rsidTr="00623E78">
        <w:trPr>
          <w:trHeight w:val="348"/>
          <w:jc w:val="center"/>
          <w:cantSplit/>
        </w:trPr>
        <w:tc>
          <w:tcPr>
            <w:tcW w:w="1941" w:type="dxa"/>
          </w:tcPr>
          <w:p>
            <w:pPr>
              <w:spacing w:line="252" w:lineRule="auto" w:after="60"/>
            </w:pPr>
            <w:r>
              <w:rPr>
                <w:rFonts w:ascii="Times New Roman" w:hAnsi="Times New Roman"/>
                <w:sz w:val="18"/>
              </w:rPr>
              <w:t>İBDÖ Toplam</w:t>
            </w:r>
          </w:p>
        </w:tc>
        <w:tc>
          <w:tcPr>
            <w:tcW w:w="753" w:type="dxa"/>
          </w:tcPr>
          <w:p>
            <w:pPr>
              <w:spacing w:line="252" w:lineRule="auto" w:after="60"/>
            </w:pPr>
            <w:r>
              <w:rPr>
                <w:rFonts w:ascii="Times New Roman" w:hAnsi="Times New Roman"/>
                <w:sz w:val="18"/>
              </w:rPr>
              <w:t>3.828</w:t>
            </w:r>
          </w:p>
        </w:tc>
        <w:tc>
          <w:tcPr>
            <w:tcW w:w="803" w:type="dxa"/>
          </w:tcPr>
          <w:p>
            <w:pPr>
              <w:spacing w:line="252" w:lineRule="auto" w:after="60"/>
            </w:pPr>
            <w:r>
              <w:rPr>
                <w:rFonts w:ascii="Times New Roman" w:hAnsi="Times New Roman"/>
                <w:sz w:val="18"/>
              </w:rPr>
              <w:t>0.387</w:t>
            </w:r>
          </w:p>
        </w:tc>
        <w:tc>
          <w:tcPr>
            <w:tcW w:w="868" w:type="dxa"/>
          </w:tcPr>
          <w:p>
            <w:pPr>
              <w:spacing w:line="252" w:lineRule="auto" w:after="60"/>
            </w:pPr>
            <w:r>
              <w:rPr>
                <w:rFonts w:ascii="Times New Roman" w:hAnsi="Times New Roman"/>
                <w:sz w:val="18"/>
              </w:rPr>
              <w:t>3.923</w:t>
            </w:r>
          </w:p>
        </w:tc>
        <w:tc>
          <w:tcPr>
            <w:tcW w:w="753" w:type="dxa"/>
          </w:tcPr>
          <w:p>
            <w:pPr>
              <w:spacing w:line="252" w:lineRule="auto" w:after="60"/>
            </w:pPr>
            <w:r>
              <w:rPr>
                <w:rFonts w:ascii="Times New Roman" w:hAnsi="Times New Roman"/>
                <w:sz w:val="18"/>
              </w:rPr>
              <w:t>0.364</w:t>
            </w:r>
          </w:p>
        </w:tc>
        <w:tc>
          <w:tcPr>
            <w:tcW w:w="557" w:type="dxa"/>
          </w:tcPr>
          <w:p>
            <w:pPr>
              <w:spacing w:line="252" w:lineRule="auto" w:after="60"/>
            </w:pPr>
            <w:r>
              <w:rPr>
                <w:rFonts w:ascii="Times New Roman" w:hAnsi="Times New Roman"/>
                <w:sz w:val="18"/>
              </w:rPr>
              <w:t>40</w:t>
            </w:r>
          </w:p>
        </w:tc>
        <w:tc>
          <w:tcPr>
            <w:tcW w:w="604" w:type="dxa"/>
          </w:tcPr>
          <w:p>
            <w:pPr>
              <w:spacing w:line="252" w:lineRule="auto" w:after="60"/>
            </w:pPr>
            <w:r>
              <w:rPr>
                <w:rFonts w:ascii="Times New Roman" w:hAnsi="Times New Roman"/>
                <w:sz w:val="18"/>
              </w:rPr>
              <w:t>39</w:t>
            </w:r>
          </w:p>
        </w:tc>
        <w:tc>
          <w:tcPr>
            <w:tcW w:w="857" w:type="dxa"/>
          </w:tcPr>
          <w:p>
            <w:pPr>
              <w:spacing w:line="252" w:lineRule="auto" w:after="60"/>
            </w:pPr>
            <w:r>
              <w:rPr>
                <w:rFonts w:ascii="Times New Roman" w:hAnsi="Times New Roman"/>
                <w:sz w:val="18"/>
              </w:rPr>
              <w:t>1.695</w:t>
            </w:r>
          </w:p>
        </w:tc>
        <w:tc>
          <w:tcPr>
            <w:tcW w:w="839" w:type="dxa"/>
          </w:tcPr>
          <w:p>
            <w:pPr>
              <w:spacing w:line="252" w:lineRule="auto" w:after="60"/>
            </w:pPr>
            <w:r>
              <w:rPr>
                <w:rFonts w:ascii="Times New Roman" w:hAnsi="Times New Roman"/>
                <w:sz w:val="18"/>
              </w:rPr>
              <w:t>= .098</w:t>
            </w:r>
          </w:p>
        </w:tc>
        <w:tc>
          <w:tcPr>
            <w:tcW w:w="1039" w:type="dxa"/>
          </w:tcPr>
          <w:p>
            <w:pPr>
              <w:spacing w:line="252" w:lineRule="auto" w:after="60"/>
            </w:pPr>
            <w:r>
              <w:rPr>
                <w:rFonts w:ascii="Times New Roman" w:hAnsi="Times New Roman"/>
                <w:sz w:val="18"/>
              </w:rPr>
              <w:t>0.268</w:t>
            </w:r>
          </w:p>
        </w:tc>
      </w:tr>
    </w:tbl>
    <w:p w14:paraId="65070FFF" w14:textId="77777777" w:rsidR="00623E78" w:rsidRPr="00623E78" w:rsidRDefault="00623E78" w:rsidP="000F625B">
      <w:pPr>
        <w:keepNext/>
        <w:keepLines/>
        <w:widowControl/>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 xml:space="preserve">İBDÖ toplam puanında ön test (ortalama=3.828; SS=.387) ile son test (ortalama=3.923; SS=.364) arasında anlamlı fark bulunmamıştır [t(39)=1.695, p=.098, </w:t>
      </w:r>
      <w:r>
        <w:rPr>
          <w:i/>
        </w:rPr>
        <w:t>d</w:t>
      </w:r>
      <w:r>
        <w:rPr>
          <w:i/>
          <w:vertAlign w:val="subscript"/>
        </w:rPr>
        <w:t>z</w:t>
      </w:r>
      <w:r>
        <w:rPr/>
        <w:t>=.268]. Puan artışı tanımlayıcı düzeyde kalmış; uygulamanın iletişimi anlamlı biçimde geliştirdiği sonucu çıkarılmamıştır.</w:t>
      </w:r>
    </w:p>
    <w:p>
      <w:pPr>
        <w:keepNext/>
        <w:keepLines/>
        <w:widowControl/>
        <w:spacing w:before="0" w:after="120" w:line="360" w:lineRule="auto"/>
        <w:ind w:firstLine="0"/>
        <w:jc w:val="both"/>
      </w:pPr>
      <w:r>
        <w:rPr>
          <w:rFonts w:ascii="Times New Roman" w:hAnsi="Times New Roman"/>
          <w:sz w:val="24"/>
        </w:rPr>
        <w:t>Ön test–son test farklarının büyüklüğünü ve bu farklara ilişkin belirsizliği göstermek amacıyla eşleşmiş ortalama farklar ve %95 güven aralıkları Şekil 4.3’de sunulmuştur.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6" name="TezGorsel6"/>
            <wp:cNvGraphicFramePr>
              <a:graphicFrameLocks noChangeAspect="1"/>
            </wp:cNvGraphicFramePr>
            <a:graphic>
              <a:graphicData uri="http://schemas.openxmlformats.org/drawingml/2006/picture">
                <pic:pic>
                  <pic:nvPicPr>
                    <pic:cNvPr id="6" name="sekil-4-2-iletisim-farklari.png"/>
                    <pic:cNvPicPr/>
                  </pic:nvPicPr>
                  <pic:blipFill>
                    <a:blip r:embed="rId20"/>
                    <a:stretch>
                      <a:fillRect/>
                    </a:stretch>
                  </pic:blipFill>
                  <pic:spPr>
                    <a:xfrm>
                      <a:off x="0" y="0"/>
                      <a:ext cx="5616000" cy="3527888"/>
                    </a:xfrm>
                    <a:prstGeom prst="rect"/>
                  </pic:spPr>
                </pic:pic>
              </a:graphicData>
            </a:graphic>
          </wp:inline>
        </w:drawing>
      </w:r>
    </w:p>
    <w:p>
      <w:bookmarkStart w:id="8051" w:name="Ortak40_8051"/>
      <w:bookmarkStart w:id="5051" w:name="Birlesik_5051"/>
      <w:pPr>
        <w:keepNext/>
        <w:keepLines/>
        <w:widowControl/>
        <w:spacing w:before="0" w:after="120" w:line="240" w:lineRule="auto"/>
        <w:ind w:firstLine="0"/>
        <w:jc w:val="left"/>
      </w:pPr>
      <w:r>
        <w:rPr>
          <w:rFonts w:ascii="Times New Roman" w:hAnsi="Times New Roman"/>
          <w:sz w:val="22"/>
        </w:rPr>
        <w:t>Şekil 4.3. İBDÖ ve alt boyutlarında eşleşmiş ortalama farklar ve %95 güven aralıkları</w:t>
      </w:r>
      <w:bookmarkEnd w:id="5051"/>
      <w:bookmarkEnd w:id="8051"/>
      <w:fldSimple w:instr="TC &quot;Şekil 4.3. İBDÖ ve alt boyutlarında eşleşmiş ortalama farklar ve %95 güven aralıkları&quot; \f F \l 1"/>
    </w:p>
    <w:p>
      <w:pPr>
        <w:keepNext w:val="0"/>
        <w:keepLines/>
        <w:widowControl/>
        <w:spacing w:before="0" w:after="120" w:line="240" w:lineRule="auto"/>
        <w:ind w:firstLine="0"/>
        <w:jc w:val="both"/>
      </w:pPr>
      <w:r>
        <w:rPr>
          <w:rFonts w:ascii="Times New Roman" w:hAnsi="Times New Roman"/>
          <w:sz w:val="24"/>
        </w:rPr>
        <w:t>Not. N=40.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keepLines/>
        <w:widowControl/>
        <w:spacing w:before="0" w:after="120" w:line="360" w:lineRule="auto"/>
        <w:ind w:firstLine="0"/>
        <w:jc w:val="both"/>
      </w:pPr>
      <w:r>
        <w:rPr>
          <w:rFonts w:ascii="Times New Roman" w:hAnsi="Times New Roman"/>
          <w:sz w:val="24"/>
        </w:rPr>
        <w:t>Şekil 4.3’te toplam puan ve tüm alt boyutlar için %95 güven aralıklarının sıfırı içerdiği görülmektedir. Toplam puandaki ortalama fark son test − ön test yönünde 0.095, %95 güven aralığı −0.018 ile 0.208 arasındadır. Bu görünüm Tablo 4.10’daki anlamlı olmayan sonuçla uyumludur; değişimin kesinlikle sıfır olduğu anlamına gelmemektedir.</w:t>
      </w:r>
    </w:p>
    <w:p w14:paraId="30480A2D" w14:textId="77777777" w:rsidR="00623E78" w:rsidRPr="00623E78" w:rsidRDefault="00623E78" w:rsidP="00623E78">
      <w:pPr>
        <w:keepNext/>
        <w:keepLines/>
        <w:widowControl/>
        <w:jc w:val="both"/>
        <w:rPr>
          <w:rFonts w:ascii="Times New Roman" w:hAnsi="Times New Roman" w:cs="Times New Roman"/>
          <w:b/>
          <w:bCs/>
          <w:sz w:val="24"/>
          <w:szCs w:val="24"/>
        </w:rPr>
      </w:pPr>
      <w:r w:rsidRPr="00623E78">
        <w:rPr>
          <w:rFonts w:ascii="Times New Roman" w:hAnsi="Times New Roman" w:cs="Times New Roman"/>
          <w:b/>
          <w:bCs/>
          <w:sz w:val="24"/>
          <w:szCs w:val="24"/>
        </w:rPr>
        <w:t>Bulguların Genel Değerlendirilmesi</w:t>
      </w:r>
    </w:p>
    <w:p w14:paraId="56BB38D6"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bookmarkStart w:id="8052" w:name="Ortak40_8052"/>
      <w:bookmarkStart w:id="5052" w:name="Birlesik_5052"/>
      <w:pPr>
        <w:pStyle w:val="Balk2"/>
        <w:keepNext/>
        <w:widowControl/>
      </w:pPr>
      <w:r>
        <w:rPr>
          <w:rFonts w:ascii="Times New Roman" w:hAnsi="Times New Roman"/>
        </w:rPr>
        <w:t>4.2. Nitel Bulgular</w:t>
      </w:r>
      <w:bookmarkEnd w:id="5052"/>
      <w:bookmarkEnd w:id="8052"/>
    </w:p>
    <w:p>
      <w:pPr>
        <w:widowControl/>
        <w:jc w:val="both"/>
      </w:pPr>
      <w:r>
        <w:rPr>
          <w:rFonts w:ascii="Times New Roman" w:hAnsi="Times New Roman"/>
          <w:i w:val="0"/>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widowControl/>
        <w:jc w:val="both"/>
      </w:pPr>
      <w:r>
        <w:rPr>
          <w:rFonts w:ascii="Times New Roman" w:hAnsi="Times New Roman"/>
          <w:i w:val="0"/>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widowControl/>
        <w:jc w:val="both"/>
      </w:pPr>
      <w:r>
        <w:rPr>
          <w:rFonts w:ascii="Times New Roman" w:hAnsi="Times New Roman"/>
          <w:i w:val="0"/>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keepNext/>
        <w:widowControl/>
        <w:spacing w:after="100" w:line="312" w:lineRule="auto"/>
        <w:jc w:val="both"/>
      </w:pPr>
      <w:r>
        <w:rPr>
          <w:rFonts w:ascii="Times New Roman" w:hAnsi="Times New Roman"/>
          <w:sz w:val="24"/>
        </w:rPr>
        <w:t>İçerik analizinin tema, kategori ve örnek kod yapısı Şekil 4.4’te gösterilmiştir. Şema, ayrıntılı kod kitabının görsel özetidir.</w:t>
      </w:r>
    </w:p>
    <w:p>
      <w:pPr>
        <w:keepNext/>
        <w:spacing w:line="240" w:lineRule="auto" w:before="100" w:after="100"/>
        <w:jc w:val="center"/>
      </w:pPr>
      <w:r>
        <w:rPr>
          <w:rFonts w:ascii="Times New Roman" w:hAnsi="Times New Roman"/>
        </w:rPr>
        <w:drawing>
          <wp:inline xmlns:a="http://schemas.openxmlformats.org/drawingml/2006/main" xmlns:pic="http://schemas.openxmlformats.org/drawingml/2006/picture">
            <wp:extent cx="5760000" cy="5842286"/>
            <wp:docPr id="7" name="TezGorsel7"/>
            <wp:cNvGraphicFramePr>
              <a:graphicFrameLocks noChangeAspect="1"/>
            </wp:cNvGraphicFramePr>
            <a:graphic>
              <a:graphicData uri="http://schemas.openxmlformats.org/drawingml/2006/picture">
                <pic:pic>
                  <pic:nvPicPr>
                    <pic:cNvPr id="7" name="sekil-4-4-nitel-tema-semasi.png"/>
                    <pic:cNvPicPr/>
                  </pic:nvPicPr>
                  <pic:blipFill>
                    <a:blip r:embed="rId22"/>
                    <a:stretch>
                      <a:fillRect/>
                    </a:stretch>
                  </pic:blipFill>
                  <pic:spPr>
                    <a:xfrm>
                      <a:off x="0" y="0"/>
                      <a:ext cx="5760000" cy="5842286"/>
                    </a:xfrm>
                    <a:prstGeom prst="rect"/>
                  </pic:spPr>
                </pic:pic>
              </a:graphicData>
            </a:graphic>
          </wp:inline>
        </w:drawing>
      </w:r>
    </w:p>
    <w:p>
      <w:bookmarkStart w:id="8053" w:name="Ortak40_8053"/>
      <w:bookmarkStart w:id="5053" w:name="Birlesik_5053"/>
      <w:pPr>
        <w:keepNext/>
        <w:keepLines/>
        <w:widowControl/>
        <w:spacing w:after="100" w:line="312" w:lineRule="auto"/>
        <w:jc w:val="both"/>
      </w:pPr>
      <w:r>
        <w:rPr>
          <w:rFonts w:ascii="Times New Roman" w:hAnsi="Times New Roman"/>
          <w:b/>
          <w:sz w:val="22"/>
        </w:rPr>
        <w:t>Şekil 4.4. Nitel içerik analizinin tema–kategori–örnek kod yapısı</w:t>
      </w:r>
      <w:bookmarkEnd w:id="5053"/>
      <w:bookmarkEnd w:id="8053"/>
      <w:fldSimple w:instr="TC &quot;Şekil 4.4. Nitel içerik analizinin tema–kategori–örnek kod yapısı&quot; \f F \l 1"/>
    </w:p>
    <w:p>
      <w:pPr>
        <w:widowControl/>
        <w:spacing w:after="100" w:line="288" w:lineRule="auto"/>
        <w:jc w:val="both"/>
      </w:pPr>
      <w:r>
        <w:rPr>
          <w:rFonts w:ascii="Times New Roman" w:hAnsi="Times New Roman"/>
          <w:sz w:val="20"/>
        </w:rPr>
        <w:t>Not. Dört tema ve her temadaki kategoriler gösterilmiştir; madde işaretli satırlar seçilmiş kod örnekleridir. Şema 53 kodun tamamını listelemez. Kodların tam tanımları kod kitabında, frekansları ilgili bulgu tablolarındadır. Çizgiler sınıflama yapısını göstermekte, nedensel ilişki veya önem sırası ifade etmemektedir.</w:t>
      </w:r>
    </w:p>
    <w:p>
      <w:bookmarkStart w:id="8054" w:name="Ortak40_8054"/>
      <w:bookmarkStart w:id="5054" w:name="Birlesik_5054"/>
      <w:pPr>
        <w:pStyle w:val="Balk3"/>
        <w:keepNext/>
        <w:widowControl/>
      </w:pPr>
      <w:r>
        <w:rPr>
          <w:rFonts w:ascii="Times New Roman" w:hAnsi="Times New Roman"/>
        </w:rPr>
        <w:t>4.2.1. Problem çözme becerilerinin gelişimine ilişkin görüşler</w:t>
      </w:r>
      <w:bookmarkEnd w:id="5054"/>
      <w:bookmarkEnd w:id="8054"/>
    </w:p>
    <w:p>
      <w:pPr>
        <w:pStyle w:val="Heading4"/>
        <w:keepNext/>
        <w:widowControl/>
      </w:pPr>
      <w:r>
        <w:rPr>
          <w:rFonts w:ascii="Times New Roman" w:hAnsi="Times New Roman"/>
        </w:rPr>
        <w:t>4.2.1.1. Problem belirleme deneyimleri</w:t>
      </w:r>
    </w:p>
    <w:p>
      <w:pPr>
        <w:widowControl/>
        <w:jc w:val="both"/>
      </w:pPr>
      <w:r>
        <w:rPr>
          <w:rFonts w:ascii="Times New Roman" w:hAnsi="Times New Roman"/>
          <w:i w:val="0"/>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bookmarkStart w:id="8055" w:name="Ortak40_8055"/>
      <w:bookmarkStart w:id="5055" w:name="Birlesik_5055"/>
      <w:pPr>
        <w:keepNext/>
        <w:keepLines/>
        <w:widowControl/>
      </w:pPr>
      <w:r>
        <w:rPr>
          <w:rFonts w:ascii="Times New Roman" w:hAnsi="Times New Roman"/>
          <w:b/>
          <w:sz w:val="22"/>
        </w:rPr>
        <w:t>Tablo 4.11. Problem belirleme deneyimlerine ilişkin kodlar</w:t>
      </w:r>
      <w:bookmarkEnd w:id="5055"/>
      <w:bookmarkEnd w:id="8055"/>
      <w:fldSimple w:instr="TC &quot;Tablo 4.11. Problem belirleme deneyim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P01 — Problem belirlemede zorlanma</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K3, K4</w:t>
            </w:r>
          </w:p>
        </w:tc>
      </w:tr>
      <w:tr>
        <w:trPr>
          <w:cantSplit/>
        </w:trPr>
        <w:tc>
          <w:tcPr>
            <w:tcW w:type="dxa" w:w="6139"/>
          </w:tcPr>
          <w:p>
            <w:pPr>
              <w:spacing w:line="252" w:lineRule="auto" w:after="60" w:before="40"/>
            </w:pPr>
            <w:r>
              <w:rPr>
                <w:rFonts w:ascii="Times New Roman" w:hAnsi="Times New Roman"/>
                <w:sz w:val="20"/>
              </w:rPr>
              <w:t>P02 — Problem belirlemede zorlanmama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P03 — Özgünlük arayışının güçlük oluşturması</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K3</w:t>
            </w:r>
          </w:p>
        </w:tc>
      </w:tr>
      <w:tr>
        <w:trPr>
          <w:cantSplit/>
        </w:trPr>
        <w:tc>
          <w:tcPr>
            <w:tcW w:type="dxa" w:w="6139"/>
          </w:tcPr>
          <w:p>
            <w:pPr>
              <w:spacing w:line="252" w:lineRule="auto" w:after="60" w:before="40"/>
            </w:pPr>
            <w:r>
              <w:rPr>
                <w:rFonts w:ascii="Times New Roman" w:hAnsi="Times New Roman"/>
                <w:sz w:val="20"/>
              </w:rPr>
              <w:t>P04 — Uygulanabilir ve çözülebilir problem seçme güçlüğü</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spacing w:line="288" w:lineRule="auto"/>
        <w:ind w:left="397" w:right="170"/>
      </w:pPr>
      <w:r>
        <w:rPr>
          <w:rFonts w:ascii="Times New Roman" w:hAnsi="Times New Roman"/>
          <w:i/>
        </w:rPr>
        <w:t>“Özellikle yaratıcı ve özgün bir problem bulmak bizim için zorlayıcıydı.”</w:t>
      </w:r>
      <w:r>
        <w:rPr>
          <w:rFonts w:ascii="Times New Roman" w:hAnsi="Times New Roman"/>
        </w:rPr>
        <w:t xml:space="preserve"> (K1, Soru 1-a)</w:t>
      </w:r>
    </w:p>
    <w:p>
      <w:pPr>
        <w:widowControl/>
        <w:spacing w:line="288" w:lineRule="auto"/>
        <w:ind w:left="397" w:right="170"/>
      </w:pPr>
      <w:r>
        <w:rPr>
          <w:rFonts w:ascii="Times New Roman" w:hAnsi="Times New Roman"/>
          <w:i/>
        </w:rPr>
        <w:t>“Zorlanmadık. Konumuz doğal afetler olduğu için kısa bir araştırma süreci bizim için yeterli oldu.”</w:t>
      </w:r>
      <w:r>
        <w:rPr>
          <w:rFonts w:ascii="Times New Roman" w:hAnsi="Times New Roman"/>
        </w:rPr>
        <w:t xml:space="preserve"> (K2, Soru 1-a)</w:t>
      </w:r>
    </w:p>
    <w:p>
      <w:pPr>
        <w:widowControl/>
        <w:spacing w:line="288" w:lineRule="auto"/>
        <w:ind w:left="397" w:right="170"/>
      </w:pPr>
      <w:r>
        <w:rPr>
          <w:rFonts w:ascii="Times New Roman" w:hAnsi="Times New Roman"/>
          <w:i/>
        </w:rPr>
        <w:t>“Bazı fikirler bulduk ama ya çok genel kaldı ya da çözümünü bizim yapabileceğimiz şekilde somutlaştıramadık.”</w:t>
      </w:r>
      <w:r>
        <w:rPr>
          <w:rFonts w:ascii="Times New Roman" w:hAnsi="Times New Roman"/>
        </w:rPr>
        <w:t xml:space="preserve"> (K4, Soru 1-a)</w:t>
      </w:r>
    </w:p>
    <w:p>
      <w:pPr>
        <w:widowControl/>
        <w:jc w:val="both"/>
      </w:pPr>
      <w:r>
        <w:rPr>
          <w:rFonts w:ascii="Times New Roman" w:hAnsi="Times New Roman"/>
          <w:i w:val="0"/>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4"/>
        <w:keepNext/>
        <w:widowControl/>
      </w:pPr>
      <w:r>
        <w:rPr>
          <w:rFonts w:ascii="Times New Roman" w:hAnsi="Times New Roman"/>
        </w:rPr>
        <w:t>4.2.1.2. Çözüm geliştirme ve güçlüklerle başa çıkma</w:t>
      </w:r>
    </w:p>
    <w:p>
      <w:pPr>
        <w:widowControl/>
        <w:jc w:val="both"/>
      </w:pPr>
      <w:r>
        <w:rPr>
          <w:rFonts w:ascii="Times New Roman" w:hAnsi="Times New Roman"/>
          <w:i w:val="0"/>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bookmarkStart w:id="8056" w:name="Ortak40_8056"/>
      <w:bookmarkStart w:id="5056" w:name="Birlesik_5056"/>
      <w:pPr>
        <w:keepNext/>
        <w:keepLines/>
        <w:widowControl/>
      </w:pPr>
      <w:r>
        <w:rPr>
          <w:rFonts w:ascii="Times New Roman" w:hAnsi="Times New Roman"/>
          <w:b/>
          <w:sz w:val="22"/>
        </w:rPr>
        <w:t>Tablo 4.12. Çözüm geliştirme sürecine ilişkin kodlar</w:t>
      </w:r>
      <w:bookmarkEnd w:id="5056"/>
      <w:bookmarkEnd w:id="8056"/>
      <w:fldSimple w:instr="TC &quot;Tablo 4.12. Çözüm geliştirme sürec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P05 — Problem ve çözümü birlikte ele alma</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K2, K3</w:t>
            </w:r>
          </w:p>
        </w:tc>
      </w:tr>
      <w:tr>
        <w:trPr>
          <w:cantSplit/>
        </w:trPr>
        <w:tc>
          <w:tcPr>
            <w:tcW w:type="dxa" w:w="6139"/>
          </w:tcPr>
          <w:p>
            <w:pPr>
              <w:spacing w:line="252" w:lineRule="auto" w:after="60" w:before="40"/>
            </w:pPr>
            <w:r>
              <w:rPr>
                <w:rFonts w:ascii="Times New Roman" w:hAnsi="Times New Roman"/>
                <w:sz w:val="20"/>
              </w:rPr>
              <w:t>P06 — Aşamalı araştırma–değerlendirme–uygulama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P18 — Problem için bilgi araştırma</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P07 — Tasarım ve uygulama güçlüğü</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P17 — Teorik problem–çözüm uyumu</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K3</w:t>
            </w:r>
          </w:p>
        </w:tc>
      </w:tr>
      <w:tr>
        <w:trPr>
          <w:cantSplit/>
        </w:trPr>
        <w:tc>
          <w:tcPr>
            <w:tcW w:type="dxa" w:w="6139"/>
          </w:tcPr>
          <w:p>
            <w:pPr>
              <w:spacing w:line="252" w:lineRule="auto" w:after="60" w:before="40"/>
            </w:pPr>
            <w:r>
              <w:rPr>
                <w:rFonts w:ascii="Times New Roman" w:hAnsi="Times New Roman"/>
                <w:sz w:val="20"/>
              </w:rPr>
              <w:t>P08 — Çözüm üretilemeyen problemi değiştirme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P09 — Çözümü sorgulama ve revize etme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P10 — Alternatif deneme ve sürdürme</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P15 — Bilgiyi seçme ve değerlendirme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P16 — Uzmanlara başvurma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widowControl/>
        <w:spacing w:line="288" w:lineRule="auto"/>
        <w:ind w:left="397" w:right="170"/>
      </w:pPr>
      <w:r>
        <w:rPr>
          <w:rFonts w:ascii="Times New Roman" w:hAnsi="Times New Roman"/>
          <w:i/>
        </w:rPr>
        <w:t>“Çözüm üretemediğimiz durumlarda problemi değiştirdik.”</w:t>
      </w:r>
      <w:r>
        <w:rPr>
          <w:rFonts w:ascii="Times New Roman" w:hAnsi="Times New Roman"/>
        </w:rPr>
        <w:t xml:space="preserve"> (K1, Soru 3-b)</w:t>
      </w:r>
    </w:p>
    <w:p>
      <w:pPr>
        <w:widowControl/>
        <w:spacing w:line="288" w:lineRule="auto"/>
        <w:ind w:left="397" w:right="170"/>
      </w:pPr>
      <w:r>
        <w:rPr>
          <w:rFonts w:ascii="Times New Roman" w:hAnsi="Times New Roman"/>
          <w:i/>
        </w:rPr>
        <w:t>“Böyle zamanlarda sorundan vazgeçmek yerine grup olarak üzerine gitmeye çalıştık.”</w:t>
      </w:r>
      <w:r>
        <w:rPr>
          <w:rFonts w:ascii="Times New Roman" w:hAnsi="Times New Roman"/>
        </w:rPr>
        <w:t xml:space="preserve"> (K3, Soru 3-b)</w:t>
      </w:r>
    </w:p>
    <w:p>
      <w:pPr>
        <w:widowControl/>
        <w:spacing w:line="288" w:lineRule="auto"/>
        <w:ind w:left="397" w:right="170"/>
      </w:pPr>
      <w:r>
        <w:rPr>
          <w:rFonts w:ascii="Times New Roman" w:hAnsi="Times New Roman"/>
          <w:i/>
        </w:rPr>
        <w:t>“Böyle durumlarda çözümü geliştirmeye veya değiştirmeye çalıştık.”</w:t>
      </w:r>
      <w:r>
        <w:rPr>
          <w:rFonts w:ascii="Times New Roman" w:hAnsi="Times New Roman"/>
        </w:rPr>
        <w:t xml:space="preserve"> (K4, Soru 3-b)</w:t>
      </w:r>
    </w:p>
    <w:p>
      <w:pPr>
        <w:widowControl/>
        <w:jc w:val="both"/>
      </w:pPr>
      <w:r>
        <w:rPr>
          <w:rFonts w:ascii="Times New Roman" w:hAnsi="Times New Roman"/>
          <w:i w:val="0"/>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widowControl/>
        <w:spacing w:line="288" w:lineRule="auto"/>
        <w:ind w:left="397" w:right="170"/>
      </w:pPr>
      <w:r>
        <w:rPr>
          <w:rFonts w:ascii="Times New Roman" w:hAnsi="Times New Roman"/>
          <w:i/>
        </w:rPr>
        <w:t>“Kaynak taraması yaptık, uzmanlara başvurduk ve farklı bilgiler edinmeye çalıştık.”</w:t>
      </w:r>
      <w:r>
        <w:rPr>
          <w:rFonts w:ascii="Times New Roman" w:hAnsi="Times New Roman"/>
        </w:rPr>
        <w:t xml:space="preserve"> (K2, Soru 5-a)</w:t>
      </w:r>
    </w:p>
    <w:p>
      <w:pPr>
        <w:widowControl/>
        <w:spacing w:line="288" w:lineRule="auto"/>
        <w:ind w:left="397" w:right="170"/>
      </w:pPr>
      <w:r>
        <w:rPr>
          <w:rFonts w:ascii="Times New Roman" w:hAnsi="Times New Roman"/>
          <w:i/>
        </w:rPr>
        <w:t>“Araştırma yaparken de her bulduğumuz bilgiyi kullanamayacağımızı gördük ve işimize yarayan bilgileri seçmeye çalıştık.”</w:t>
      </w:r>
      <w:r>
        <w:rPr>
          <w:rFonts w:ascii="Times New Roman" w:hAnsi="Times New Roman"/>
        </w:rPr>
        <w:t xml:space="preserve"> (K4, Soru 5-a)</w:t>
      </w:r>
    </w:p>
    <w:p>
      <w:pPr>
        <w:widowControl/>
        <w:jc w:val="both"/>
      </w:pPr>
      <w:r>
        <w:rPr>
          <w:rFonts w:ascii="Times New Roman" w:hAnsi="Times New Roman"/>
          <w:i w:val="0"/>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4"/>
        <w:keepNext/>
        <w:widowControl/>
      </w:pPr>
      <w:r>
        <w:rPr>
          <w:rFonts w:ascii="Times New Roman" w:hAnsi="Times New Roman"/>
        </w:rPr>
        <w:t>4.2.1.3. Algılanan beceri katkıları</w:t>
      </w:r>
    </w:p>
    <w:p>
      <w:bookmarkStart w:id="8057" w:name="Ortak40_8057"/>
      <w:bookmarkStart w:id="5057" w:name="Birlesik_5057"/>
      <w:pPr>
        <w:keepNext/>
        <w:keepLines/>
        <w:widowControl/>
      </w:pPr>
      <w:r>
        <w:rPr>
          <w:rFonts w:ascii="Times New Roman" w:hAnsi="Times New Roman"/>
          <w:b/>
          <w:sz w:val="22"/>
        </w:rPr>
        <w:t>Tablo 4.13. Problem çözme sürecinde algılanan beceri katkıları</w:t>
      </w:r>
      <w:bookmarkEnd w:id="5057"/>
      <w:bookmarkEnd w:id="8057"/>
      <w:fldSimple w:instr="TC &quot;Tablo 4.13. Problem çözme sürecinde algılanan beceri katkıları&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P11 — Problem çözme becerisine katkı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P12 — Yaratıcı düşünmeye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K3, K4</w:t>
            </w:r>
          </w:p>
        </w:tc>
      </w:tr>
      <w:tr>
        <w:trPr>
          <w:cantSplit/>
        </w:trPr>
        <w:tc>
          <w:tcPr>
            <w:tcW w:type="dxa" w:w="6139"/>
          </w:tcPr>
          <w:p>
            <w:pPr>
              <w:spacing w:line="252" w:lineRule="auto" w:after="60" w:before="40"/>
            </w:pPr>
            <w:r>
              <w:rPr>
                <w:rFonts w:ascii="Times New Roman" w:hAnsi="Times New Roman"/>
                <w:sz w:val="20"/>
              </w:rPr>
              <w:t>P13 — Araştırma becerisine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P14 — Analitik düşünmeye katkı algısı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widowControl/>
        <w:spacing w:line="288" w:lineRule="auto"/>
        <w:ind w:left="397" w:right="170"/>
      </w:pPr>
      <w:r>
        <w:rPr>
          <w:rFonts w:ascii="Times New Roman" w:hAnsi="Times New Roman"/>
          <w:i/>
        </w:rPr>
        <w:t>“Araştırma, yaratıcı düşünme, analitik düşünme ve problem çözme becerilerimizin gelişmesine katkı sağladığını düşünüyorum.”</w:t>
      </w:r>
      <w:r>
        <w:rPr>
          <w:rFonts w:ascii="Times New Roman" w:hAnsi="Times New Roman"/>
        </w:rPr>
        <w:t xml:space="preserve"> (K3, Soru 5-a)</w:t>
      </w:r>
    </w:p>
    <w:p>
      <w:pPr>
        <w:widowControl/>
        <w:jc w:val="both"/>
      </w:pPr>
      <w:r>
        <w:rPr>
          <w:rFonts w:ascii="Times New Roman" w:hAnsi="Times New Roman"/>
          <w:i w:val="0"/>
        </w:rPr>
        <w:t>Bu bulgular katılımcıların kendi deneyimlerine dayalı gelişim değerlendirmeleridir. Görüşmelerden hareketle becerilerde nesnel olarak ne kadar değişim olduğu hesaplanmamış ve bu ifadeler nicel ölçümlerin yerine kullanılmamıştır.</w:t>
      </w:r>
    </w:p>
    <w:p>
      <w:bookmarkStart w:id="8058" w:name="Ortak40_8058"/>
      <w:bookmarkStart w:id="5058" w:name="Birlesik_5058"/>
      <w:pPr>
        <w:pStyle w:val="Balk3"/>
        <w:keepNext/>
        <w:widowControl/>
      </w:pPr>
      <w:r>
        <w:rPr>
          <w:rFonts w:ascii="Times New Roman" w:hAnsi="Times New Roman"/>
        </w:rPr>
        <w:t>4.2.2. İletişim becerilerinin gelişimine ilişkin görüşler</w:t>
      </w:r>
      <w:bookmarkEnd w:id="5058"/>
      <w:bookmarkEnd w:id="8058"/>
    </w:p>
    <w:p>
      <w:pPr>
        <w:pStyle w:val="Heading4"/>
        <w:keepNext/>
        <w:widowControl/>
      </w:pPr>
      <w:r>
        <w:rPr>
          <w:rFonts w:ascii="Times New Roman" w:hAnsi="Times New Roman"/>
        </w:rPr>
        <w:t>4.2.2.1. İfade ortamı ve görüş ayrılıklarının yönetimi</w:t>
      </w:r>
    </w:p>
    <w:p>
      <w:bookmarkStart w:id="8059" w:name="Ortak40_8059"/>
      <w:bookmarkStart w:id="5059" w:name="Birlesik_5059"/>
      <w:pPr>
        <w:keepNext/>
        <w:keepLines/>
        <w:widowControl/>
      </w:pPr>
      <w:r>
        <w:rPr>
          <w:rFonts w:ascii="Times New Roman" w:hAnsi="Times New Roman"/>
          <w:b/>
          <w:sz w:val="22"/>
        </w:rPr>
        <w:t>Tablo 4.14. Grup içi iletişim ve ortak karar süreçlerine ilişkin kodlar</w:t>
      </w:r>
      <w:bookmarkEnd w:id="5059"/>
      <w:bookmarkEnd w:id="8059"/>
      <w:fldSimple w:instr="TC &quot;Tablo 4.14. Grup içi iletişim ve ortak karar süreç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C01 — Fikirlerini rahatça ifade etme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C02 — Tanışıklık ve kendi seçtiği grupla iletişim kolaylığı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C05 — Karşılıklı görüş paylaşımı ve ortak karar</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C06 — Oylama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C07 — Gerekçelendirme ve ikna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K3, K4</w:t>
            </w:r>
          </w:p>
        </w:tc>
      </w:tr>
      <w:tr>
        <w:trPr>
          <w:cantSplit/>
        </w:trPr>
        <w:tc>
          <w:tcPr>
            <w:tcW w:type="dxa" w:w="6139"/>
          </w:tcPr>
          <w:p>
            <w:pPr>
              <w:spacing w:line="252" w:lineRule="auto" w:after="60" w:before="40"/>
            </w:pPr>
            <w:r>
              <w:rPr>
                <w:rFonts w:ascii="Times New Roman" w:hAnsi="Times New Roman"/>
                <w:sz w:val="20"/>
              </w:rPr>
              <w:t>C08 — Dinleme ve uzlaşma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C09 — Eleştiriye alternatif öneri ekleme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widowControl/>
        <w:spacing w:line="288" w:lineRule="auto"/>
        <w:ind w:left="397" w:right="170"/>
      </w:pPr>
      <w:r>
        <w:rPr>
          <w:rFonts w:ascii="Times New Roman" w:hAnsi="Times New Roman"/>
          <w:i/>
        </w:rPr>
        <w:t>“Grup arkadaşlarımızı kendimiz seçtiğimiz için bu konuda herhangi bir sorun yaşamadık.”</w:t>
      </w:r>
      <w:r>
        <w:rPr>
          <w:rFonts w:ascii="Times New Roman" w:hAnsi="Times New Roman"/>
        </w:rPr>
        <w:t xml:space="preserve"> (K1, Soru 2-a)</w:t>
      </w:r>
    </w:p>
    <w:p>
      <w:pPr>
        <w:widowControl/>
        <w:spacing w:line="288" w:lineRule="auto"/>
        <w:ind w:left="397" w:right="170"/>
      </w:pPr>
      <w:r>
        <w:rPr>
          <w:rFonts w:ascii="Times New Roman" w:hAnsi="Times New Roman"/>
          <w:i/>
        </w:rPr>
        <w:t>“Gerektiğinde oylama yaparak karar verdik.”</w:t>
      </w:r>
      <w:r>
        <w:rPr>
          <w:rFonts w:ascii="Times New Roman" w:hAnsi="Times New Roman"/>
        </w:rPr>
        <w:t xml:space="preserve"> (K1, Soru 2-b)</w:t>
      </w:r>
    </w:p>
    <w:p>
      <w:pPr>
        <w:widowControl/>
        <w:spacing w:line="288" w:lineRule="auto"/>
        <w:ind w:left="397" w:right="170"/>
      </w:pPr>
      <w:r>
        <w:rPr>
          <w:rFonts w:ascii="Times New Roman" w:hAnsi="Times New Roman"/>
          <w:i/>
        </w:rPr>
        <w:t>“Bu nedenle eleştirdiğim bir konuda mümkün olduğunca alternatif bir öneri de sunmaya çalıştım.”</w:t>
      </w:r>
      <w:r>
        <w:rPr>
          <w:rFonts w:ascii="Times New Roman" w:hAnsi="Times New Roman"/>
        </w:rPr>
        <w:t xml:space="preserve"> (K3, Soru 2-b)</w:t>
      </w:r>
    </w:p>
    <w:p>
      <w:pPr>
        <w:widowControl/>
        <w:spacing w:line="288" w:lineRule="auto"/>
        <w:ind w:left="397" w:right="170"/>
      </w:pPr>
      <w:r>
        <w:rPr>
          <w:rFonts w:ascii="Times New Roman" w:hAnsi="Times New Roman"/>
          <w:i/>
        </w:rPr>
        <w:t>“Bence burada birbirimizi dinlemek önemliydi. Herkes sadece kendi fikrinde ısrar etseydi ilerleyemezdik.”</w:t>
      </w:r>
      <w:r>
        <w:rPr>
          <w:rFonts w:ascii="Times New Roman" w:hAnsi="Times New Roman"/>
        </w:rPr>
        <w:t xml:space="preserve"> (K4, Soru 2-b)</w:t>
      </w:r>
    </w:p>
    <w:p>
      <w:pPr>
        <w:widowControl/>
        <w:jc w:val="both"/>
      </w:pPr>
      <w:r>
        <w:rPr>
          <w:rFonts w:ascii="Times New Roman" w:hAnsi="Times New Roman"/>
          <w:i w:val="0"/>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4"/>
        <w:keepNext/>
        <w:widowControl/>
      </w:pPr>
      <w:r>
        <w:rPr>
          <w:rFonts w:ascii="Times New Roman" w:hAnsi="Times New Roman"/>
        </w:rPr>
        <w:t>4.2.2.2. İş birliği ve algılanan iletişim katkısı</w:t>
      </w:r>
    </w:p>
    <w:p>
      <w:bookmarkStart w:id="8060" w:name="Ortak40_8060"/>
      <w:bookmarkStart w:id="5060" w:name="Birlesik_5060"/>
      <w:pPr>
        <w:keepNext/>
        <w:keepLines/>
        <w:widowControl/>
      </w:pPr>
      <w:r>
        <w:rPr>
          <w:rFonts w:ascii="Times New Roman" w:hAnsi="Times New Roman"/>
          <w:b/>
          <w:sz w:val="22"/>
        </w:rPr>
        <w:t>Tablo 4.15. İş birliği ve iletişim katkısına ilişkin kodlar</w:t>
      </w:r>
      <w:bookmarkEnd w:id="5060"/>
      <w:bookmarkEnd w:id="8060"/>
      <w:fldSimple w:instr="TC &quot;Tablo 4.15. İş birliği ve iletişim katkısına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C03 — Fikir ve alternatif çeşitliliği</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C04 — Yardımlaşma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K4</w:t>
            </w:r>
          </w:p>
        </w:tc>
      </w:tr>
      <w:tr>
        <w:trPr>
          <w:cantSplit/>
        </w:trPr>
        <w:tc>
          <w:tcPr>
            <w:tcW w:type="dxa" w:w="6139"/>
          </w:tcPr>
          <w:p>
            <w:pPr>
              <w:spacing w:line="252" w:lineRule="auto" w:after="60" w:before="40"/>
            </w:pPr>
            <w:r>
              <w:rPr>
                <w:rFonts w:ascii="Times New Roman" w:hAnsi="Times New Roman"/>
                <w:sz w:val="20"/>
              </w:rPr>
              <w:t>C10 — İletişim becerisine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C11 — Görev paylaşımı ve koordinasyon</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C12 — Beceri katkısının büyüklüğünde belirsizlik</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widowControl/>
        <w:spacing w:line="288" w:lineRule="auto"/>
        <w:ind w:left="397" w:right="170"/>
      </w:pPr>
      <w:r>
        <w:rPr>
          <w:rFonts w:ascii="Times New Roman" w:hAnsi="Times New Roman"/>
          <w:i/>
        </w:rPr>
        <w:t>“Normalde daha sessiz ve çekingen biriyim.”</w:t>
      </w:r>
      <w:r>
        <w:rPr>
          <w:rFonts w:ascii="Times New Roman" w:hAnsi="Times New Roman"/>
        </w:rPr>
        <w:t xml:space="preserve"> (K3, Soru 5-b)</w:t>
      </w:r>
    </w:p>
    <w:p>
      <w:pPr>
        <w:widowControl/>
        <w:spacing w:line="288" w:lineRule="auto"/>
        <w:ind w:left="397" w:right="170"/>
      </w:pPr>
      <w:r>
        <w:rPr>
          <w:rFonts w:ascii="Times New Roman" w:hAnsi="Times New Roman"/>
          <w:i/>
        </w:rPr>
        <w:t>“Bu süreç sayesinde iletişim becerilerimin güçlendiğini görebiliyorum.”</w:t>
      </w:r>
      <w:r>
        <w:rPr>
          <w:rFonts w:ascii="Times New Roman" w:hAnsi="Times New Roman"/>
        </w:rPr>
        <w:t xml:space="preserve"> (K3, Soru 5-b)</w:t>
      </w:r>
    </w:p>
    <w:p>
      <w:pPr>
        <w:widowControl/>
        <w:spacing w:line="288" w:lineRule="auto"/>
        <w:ind w:left="397" w:right="170"/>
      </w:pPr>
      <w:r>
        <w:rPr>
          <w:rFonts w:ascii="Times New Roman" w:hAnsi="Times New Roman"/>
          <w:i/>
        </w:rPr>
        <w:t>“Görev paylaşımı yapmak, birbirimizi dinlemek ve yaptığımız şeyleri bir araya getirmek gerekiyordu.”</w:t>
      </w:r>
      <w:r>
        <w:rPr>
          <w:rFonts w:ascii="Times New Roman" w:hAnsi="Times New Roman"/>
        </w:rPr>
        <w:t xml:space="preserve"> (K4, Soru 5-b)</w:t>
      </w:r>
    </w:p>
    <w:p>
      <w:pPr>
        <w:widowControl/>
        <w:jc w:val="both"/>
      </w:pPr>
      <w:r>
        <w:rPr>
          <w:rFonts w:ascii="Times New Roman" w:hAnsi="Times New Roman"/>
          <w:i w:val="0"/>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widowControl/>
        <w:spacing w:line="288" w:lineRule="auto"/>
        <w:ind w:left="397" w:right="170"/>
      </w:pPr>
      <w:r>
        <w:rPr>
          <w:rFonts w:ascii="Times New Roman" w:hAnsi="Times New Roman"/>
          <w:i/>
        </w:rPr>
        <w:t>“Ancak bunun belirli bir becerimi ne ölçüde geliştirdiği konusunda kesin bir şey söyleyemiyorum.”</w:t>
      </w:r>
      <w:r>
        <w:rPr>
          <w:rFonts w:ascii="Times New Roman" w:hAnsi="Times New Roman"/>
        </w:rPr>
        <w:t xml:space="preserve"> (K2, Soru 5-b)</w:t>
      </w:r>
    </w:p>
    <w:p>
      <w:pPr>
        <w:widowControl/>
        <w:jc w:val="both"/>
      </w:pPr>
      <w:r>
        <w:rPr>
          <w:rFonts w:ascii="Times New Roman" w:hAnsi="Times New Roman"/>
          <w:i w:val="0"/>
        </w:rPr>
        <w:t>K1’in 5-b yanıtında ise katkı, belirli bir becerinin gelişimini adlandırmaktan çok fikir çeşitliliği, yardımlaşma ve ortak kararın süreci kolaylaştırması üzerinden anlatılmıştır:</w:t>
      </w:r>
    </w:p>
    <w:p>
      <w:pPr>
        <w:widowControl/>
        <w:spacing w:line="288" w:lineRule="auto"/>
        <w:ind w:left="397" w:right="170"/>
      </w:pPr>
      <w:r>
        <w:rPr>
          <w:rFonts w:ascii="Times New Roman" w:hAnsi="Times New Roman"/>
          <w:i/>
        </w:rPr>
        <w:t>“Bence katkı sağladı. Grup içerisinde farklı fikirlerin ortaya çıkması ve birlikte çözüm aramamız süreci kolaylaştırdı.”</w:t>
      </w:r>
      <w:r>
        <w:rPr>
          <w:rFonts w:ascii="Times New Roman" w:hAnsi="Times New Roman"/>
        </w:rPr>
        <w:t xml:space="preserve"> (K1, Soru 5-b)</w:t>
      </w:r>
    </w:p>
    <w:p>
      <w:pPr>
        <w:widowControl/>
        <w:jc w:val="both"/>
      </w:pPr>
      <w:r>
        <w:rPr>
          <w:rFonts w:ascii="Times New Roman" w:hAnsi="Times New Roman"/>
          <w:i w:val="0"/>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bookmarkStart w:id="8061" w:name="Ortak40_8061"/>
      <w:bookmarkStart w:id="5061" w:name="Birlesik_5061"/>
      <w:pPr>
        <w:pStyle w:val="Balk3"/>
        <w:keepNext/>
        <w:widowControl/>
      </w:pPr>
      <w:r>
        <w:rPr>
          <w:rFonts w:ascii="Times New Roman" w:hAnsi="Times New Roman"/>
        </w:rPr>
        <w:t>4.2.3. Doğal afetler teması ve proje tabanlı öğrenme sürecine ilişkin görüş ve öneriler</w:t>
      </w:r>
      <w:bookmarkEnd w:id="5061"/>
      <w:bookmarkEnd w:id="8061"/>
    </w:p>
    <w:p>
      <w:pPr>
        <w:pStyle w:val="Heading4"/>
        <w:keepNext/>
        <w:widowControl/>
      </w:pPr>
      <w:r>
        <w:rPr>
          <w:rFonts w:ascii="Times New Roman" w:hAnsi="Times New Roman"/>
        </w:rPr>
        <w:t>4.2.3.1. Öğrenme deneyimleri ve olumlu değerlendirmeler</w:t>
      </w:r>
    </w:p>
    <w:p>
      <w:bookmarkStart w:id="8062" w:name="Ortak40_8062"/>
      <w:bookmarkStart w:id="5062" w:name="Birlesik_5062"/>
      <w:pPr>
        <w:keepNext/>
        <w:keepLines/>
        <w:widowControl/>
      </w:pPr>
      <w:r>
        <w:rPr>
          <w:rFonts w:ascii="Times New Roman" w:hAnsi="Times New Roman"/>
          <w:b/>
          <w:sz w:val="22"/>
        </w:rPr>
        <w:t>Tablo 4.16. Öğrenme ve uygulamanın olumlu yönlerine ilişkin kodlar</w:t>
      </w:r>
      <w:bookmarkEnd w:id="5062"/>
      <w:bookmarkEnd w:id="8062"/>
      <w:fldSimple w:instr="TC &quot;Tablo 4.16. Öğrenme ve uygulamanın olumlu yön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L01 — Afet konusunu öğrenmeye katkı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L02 — Kalıcı öğrenme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L03 — Araştırarak öğrenme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L04 — Uygulayarak ve ürünle öğrenme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L05 — Diğer grupların sunumlarından öğrenme</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L06 — Aktif katılım</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L07 — Öğretmenliğe hazırlık</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L08 — Pratik yapma fırsatı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widowControl/>
        <w:spacing w:line="288" w:lineRule="auto"/>
        <w:ind w:left="397" w:right="170"/>
      </w:pPr>
      <w:r>
        <w:rPr>
          <w:rFonts w:ascii="Times New Roman" w:hAnsi="Times New Roman"/>
          <w:i/>
        </w:rPr>
        <w:t>“Bu nedenle öğrenmenin kesinlikle daha kalıcı hâle geldiğini düşünüyorum.”</w:t>
      </w:r>
      <w:r>
        <w:rPr>
          <w:rFonts w:ascii="Times New Roman" w:hAnsi="Times New Roman"/>
        </w:rPr>
        <w:t xml:space="preserve"> (K1, Soru 4)</w:t>
      </w:r>
    </w:p>
    <w:p>
      <w:pPr>
        <w:widowControl/>
        <w:spacing w:line="288" w:lineRule="auto"/>
        <w:ind w:left="397" w:right="170"/>
      </w:pPr>
      <w:r>
        <w:rPr>
          <w:rFonts w:ascii="Times New Roman" w:hAnsi="Times New Roman"/>
          <w:i/>
        </w:rPr>
        <w:t>“Burada kendimiz araştırma yaptığımız ve öğrendiğimiz bilgileri projede kullanmak zorunda olduğumuz için daha fazla aklımda kaldı.”</w:t>
      </w:r>
      <w:r>
        <w:rPr>
          <w:rFonts w:ascii="Times New Roman" w:hAnsi="Times New Roman"/>
        </w:rPr>
        <w:t xml:space="preserve"> (K4, Soru 4)</w:t>
      </w:r>
    </w:p>
    <w:p>
      <w:pPr>
        <w:widowControl/>
        <w:spacing w:line="288" w:lineRule="auto"/>
        <w:ind w:left="397" w:right="170"/>
      </w:pPr>
      <w:r>
        <w:rPr>
          <w:rFonts w:ascii="Times New Roman" w:hAnsi="Times New Roman"/>
          <w:i/>
        </w:rPr>
        <w:t>“Böylece sadece kendi çalıştığımız afet konusunda değil, hemen hemen bütün doğal afetlerle ilgili fikir sahibi olduk.”</w:t>
      </w:r>
      <w:r>
        <w:rPr>
          <w:rFonts w:ascii="Times New Roman" w:hAnsi="Times New Roman"/>
        </w:rPr>
        <w:t xml:space="preserve"> (K2, Soru 4)</w:t>
      </w:r>
    </w:p>
    <w:p>
      <w:pPr>
        <w:widowControl/>
        <w:jc w:val="both"/>
      </w:pPr>
      <w:r>
        <w:rPr>
          <w:rFonts w:ascii="Times New Roman" w:hAnsi="Times New Roman"/>
          <w:i w:val="0"/>
        </w:rPr>
        <w:t>K4 dinlemek yerine araştırma, tartışma ve ürün geliştirme yoluyla derse daha aktif katıldığını belirtmiştir. K1’in değerlendirmesinde ise pratik yapma fırsatı ve öğretmenliğe hazırlık öne çıkmaktadır:</w:t>
      </w:r>
    </w:p>
    <w:p>
      <w:pPr>
        <w:widowControl/>
        <w:spacing w:line="288" w:lineRule="auto"/>
        <w:ind w:left="397" w:right="170"/>
      </w:pPr>
      <w:r>
        <w:rPr>
          <w:rFonts w:ascii="Times New Roman" w:hAnsi="Times New Roman"/>
          <w:i/>
        </w:rPr>
        <w:t>“Öğretmenliğe hazırlayan bir öğretim yöntemi olduğunu düşünüyorum.”</w:t>
      </w:r>
      <w:r>
        <w:rPr>
          <w:rFonts w:ascii="Times New Roman" w:hAnsi="Times New Roman"/>
        </w:rPr>
        <w:t xml:space="preserve"> (K1, Soru 6)</w:t>
      </w:r>
    </w:p>
    <w:p>
      <w:pPr>
        <w:widowControl/>
        <w:jc w:val="both"/>
      </w:pPr>
      <w:r>
        <w:rPr>
          <w:rFonts w:ascii="Times New Roman" w:hAnsi="Times New Roman"/>
          <w:i w:val="0"/>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4"/>
        <w:keepNext/>
        <w:widowControl/>
      </w:pPr>
      <w:r>
        <w:rPr>
          <w:rFonts w:ascii="Times New Roman" w:hAnsi="Times New Roman"/>
        </w:rPr>
        <w:t>4.2.3.2. Süreçte yaşanan güçlükler</w:t>
      </w:r>
    </w:p>
    <w:p>
      <w:bookmarkStart w:id="8063" w:name="Ortak40_8063"/>
      <w:bookmarkStart w:id="5063" w:name="Birlesik_5063"/>
      <w:pPr>
        <w:keepNext/>
        <w:keepLines/>
        <w:widowControl/>
      </w:pPr>
      <w:r>
        <w:rPr>
          <w:rFonts w:ascii="Times New Roman" w:hAnsi="Times New Roman"/>
          <w:b/>
          <w:sz w:val="22"/>
        </w:rPr>
        <w:t>Tablo 4.17. Uygulama sürecinin güçlüklerine ilişkin kodlar</w:t>
      </w:r>
      <w:bookmarkEnd w:id="5063"/>
      <w:bookmarkEnd w:id="8063"/>
      <w:fldSimple w:instr="TC &quot;Tablo 4.17. Uygulama sürecinin güçlük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L09 — Yoruculuk ve güçlük</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K3</w:t>
            </w:r>
          </w:p>
        </w:tc>
      </w:tr>
      <w:tr>
        <w:trPr>
          <w:cantSplit/>
        </w:trPr>
        <w:tc>
          <w:tcPr>
            <w:tcW w:type="dxa" w:w="6139"/>
          </w:tcPr>
          <w:p>
            <w:pPr>
              <w:spacing w:line="252" w:lineRule="auto" w:after="60" w:before="40"/>
            </w:pPr>
            <w:r>
              <w:rPr>
                <w:rFonts w:ascii="Times New Roman" w:hAnsi="Times New Roman"/>
                <w:sz w:val="20"/>
              </w:rPr>
              <w:t>L10 — Maddi maliyet ve olanak kısıtı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K2, K4</w:t>
            </w:r>
          </w:p>
        </w:tc>
      </w:tr>
      <w:tr>
        <w:trPr>
          <w:cantSplit/>
        </w:trPr>
        <w:tc>
          <w:tcPr>
            <w:tcW w:type="dxa" w:w="6139"/>
          </w:tcPr>
          <w:p>
            <w:pPr>
              <w:spacing w:line="252" w:lineRule="auto" w:after="60" w:before="40"/>
            </w:pPr>
            <w:r>
              <w:rPr>
                <w:rFonts w:ascii="Times New Roman" w:hAnsi="Times New Roman"/>
                <w:sz w:val="20"/>
              </w:rPr>
              <w:t>L11 — Uzun sürme ve zaman yükü</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L12 — Bekleme ve zaman kaybı</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K3</w:t>
            </w:r>
          </w:p>
        </w:tc>
      </w:tr>
      <w:tr>
        <w:trPr>
          <w:cantSplit/>
        </w:trPr>
        <w:tc>
          <w:tcPr>
            <w:tcW w:type="dxa" w:w="6139"/>
          </w:tcPr>
          <w:p>
            <w:pPr>
              <w:spacing w:line="252" w:lineRule="auto" w:after="60" w:before="40"/>
            </w:pPr>
            <w:r>
              <w:rPr>
                <w:rFonts w:ascii="Times New Roman" w:hAnsi="Times New Roman"/>
                <w:sz w:val="20"/>
              </w:rPr>
              <w:t>L13 — Serbest zamanın verimsiz kullanılması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L14 — Grupların farklı hızlarda ilerlemesi</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widowControl/>
        <w:spacing w:line="288" w:lineRule="auto"/>
        <w:ind w:left="397" w:right="170"/>
      </w:pPr>
      <w:r>
        <w:rPr>
          <w:rFonts w:ascii="Times New Roman" w:hAnsi="Times New Roman"/>
          <w:i/>
        </w:rPr>
        <w:t>“Ayrıca hazırlanan projeler ekonomik açıdan bizim için maliyetli olabiliyor.”</w:t>
      </w:r>
      <w:r>
        <w:rPr>
          <w:rFonts w:ascii="Times New Roman" w:hAnsi="Times New Roman"/>
        </w:rPr>
        <w:t xml:space="preserve"> (K1, Soru 6)</w:t>
      </w:r>
    </w:p>
    <w:p>
      <w:pPr>
        <w:widowControl/>
        <w:spacing w:line="288" w:lineRule="auto"/>
        <w:ind w:left="397" w:right="170"/>
      </w:pPr>
      <w:r>
        <w:rPr>
          <w:rFonts w:ascii="Times New Roman" w:hAnsi="Times New Roman"/>
          <w:i/>
        </w:rPr>
        <w:t>“Olumsuz yönü ise sürecin zaman zaman zor ve yorucu olmasıydı.”</w:t>
      </w:r>
      <w:r>
        <w:rPr>
          <w:rFonts w:ascii="Times New Roman" w:hAnsi="Times New Roman"/>
        </w:rPr>
        <w:t xml:space="preserve"> (K3, Soru 6)</w:t>
      </w:r>
    </w:p>
    <w:p>
      <w:pPr>
        <w:widowControl/>
        <w:spacing w:line="288" w:lineRule="auto"/>
        <w:ind w:left="397" w:right="170"/>
      </w:pPr>
      <w:r>
        <w:rPr>
          <w:rFonts w:ascii="Times New Roman" w:hAnsi="Times New Roman"/>
          <w:i/>
        </w:rPr>
        <w:t>“Özellikle tasarım ve uygulama aşaması düşündüğümüzden daha uzun sürdü.”</w:t>
      </w:r>
      <w:r>
        <w:rPr>
          <w:rFonts w:ascii="Times New Roman" w:hAnsi="Times New Roman"/>
        </w:rPr>
        <w:t xml:space="preserve"> (K4, Soru 6)</w:t>
      </w:r>
    </w:p>
    <w:p>
      <w:pPr>
        <w:widowControl/>
        <w:spacing w:line="288" w:lineRule="auto"/>
        <w:ind w:left="397" w:right="170"/>
      </w:pPr>
      <w:r>
        <w:rPr>
          <w:rFonts w:ascii="Times New Roman" w:hAnsi="Times New Roman"/>
          <w:i/>
        </w:rPr>
        <w:t>“Onların geride kalması bazen bizim de beklememize ve sürecimizin gecikmesine neden oldu.”</w:t>
      </w:r>
      <w:r>
        <w:rPr>
          <w:rFonts w:ascii="Times New Roman" w:hAnsi="Times New Roman"/>
        </w:rPr>
        <w:t xml:space="preserve"> (K2, Soru 6)</w:t>
      </w:r>
    </w:p>
    <w:p>
      <w:pPr>
        <w:widowControl/>
        <w:jc w:val="both"/>
      </w:pPr>
      <w:r>
        <w:rPr>
          <w:rFonts w:ascii="Times New Roman" w:hAnsi="Times New Roman"/>
          <w:i w:val="0"/>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4"/>
        <w:keepNext/>
        <w:widowControl/>
      </w:pPr>
      <w:r>
        <w:rPr>
          <w:rFonts w:ascii="Times New Roman" w:hAnsi="Times New Roman"/>
        </w:rPr>
        <w:t>4.2.3.3. Öğretim sürecini düzenlemeye yönelik öneriler</w:t>
      </w:r>
    </w:p>
    <w:p>
      <w:bookmarkStart w:id="8064" w:name="Ortak40_8064"/>
      <w:bookmarkStart w:id="5064" w:name="Birlesik_5064"/>
      <w:pPr>
        <w:keepNext/>
        <w:keepLines/>
        <w:widowControl/>
      </w:pPr>
      <w:r>
        <w:rPr>
          <w:rFonts w:ascii="Times New Roman" w:hAnsi="Times New Roman"/>
          <w:b/>
          <w:sz w:val="22"/>
        </w:rPr>
        <w:t>Tablo 4.18. Öğretim sürecine ilişkin düzenleme önerileri</w:t>
      </w:r>
      <w:bookmarkEnd w:id="5064"/>
      <w:bookmarkEnd w:id="8064"/>
      <w:fldSimple w:instr="TC &quot;Tablo 4.18. Öğretim sürecine ilişkin düzenleme önerileri&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R01 — Daha fazla süre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R02 — Serbest zamanı planlama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R03 — Problem belirlemede yönlendirme</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R04 — Başlangıç örneklerini artırma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R05 — Bütçe ve malzeme desteği</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R06 — Bekleme sürelerini azaltma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r>
        <w:trPr>
          <w:cantSplit/>
        </w:trPr>
        <w:tc>
          <w:tcPr>
            <w:tcW w:type="dxa" w:w="6139"/>
          </w:tcPr>
          <w:p>
            <w:pPr>
              <w:spacing w:line="252" w:lineRule="auto" w:after="60" w:before="40"/>
            </w:pPr>
            <w:r>
              <w:rPr>
                <w:rFonts w:ascii="Times New Roman" w:hAnsi="Times New Roman"/>
                <w:sz w:val="20"/>
              </w:rPr>
              <w:t>R07 — Aşamaya uygun farklı görevler</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R08 — Küçük grup büyüklüğü</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R09 — Özerk problem seçimini koruma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widowControl/>
        <w:spacing w:line="288" w:lineRule="auto"/>
        <w:ind w:left="397" w:right="170"/>
      </w:pPr>
      <w:r>
        <w:rPr>
          <w:rFonts w:ascii="Times New Roman" w:hAnsi="Times New Roman"/>
          <w:i/>
        </w:rPr>
        <w:t>“Bu nedenle verilen zamanın daha planlı ve verimli kullanılmasını sağlayacak bir düzenleme yapılabilir.”</w:t>
      </w:r>
      <w:r>
        <w:rPr>
          <w:rFonts w:ascii="Times New Roman" w:hAnsi="Times New Roman"/>
        </w:rPr>
        <w:t xml:space="preserve"> (K1, Soru 7)</w:t>
      </w:r>
    </w:p>
    <w:p>
      <w:pPr>
        <w:widowControl/>
        <w:spacing w:line="288" w:lineRule="auto"/>
        <w:ind w:left="397" w:right="170"/>
      </w:pPr>
      <w:r>
        <w:rPr>
          <w:rFonts w:ascii="Times New Roman" w:hAnsi="Times New Roman"/>
          <w:i/>
        </w:rPr>
        <w:t>“Bu nedenle proje sürecinde kullanılabilecek malzemeler veya bütçe konusunda da bazı düzenlemeler yapılabilir.”</w:t>
      </w:r>
      <w:r>
        <w:rPr>
          <w:rFonts w:ascii="Times New Roman" w:hAnsi="Times New Roman"/>
        </w:rPr>
        <w:t xml:space="preserve"> (K2, Soru 7)</w:t>
      </w:r>
    </w:p>
    <w:p>
      <w:pPr>
        <w:widowControl/>
        <w:spacing w:line="288" w:lineRule="auto"/>
        <w:ind w:left="397" w:right="170"/>
      </w:pPr>
      <w:r>
        <w:rPr>
          <w:rFonts w:ascii="Times New Roman" w:hAnsi="Times New Roman"/>
          <w:i/>
        </w:rPr>
        <w:t>“Direkt problem verilmesini istemezdim çünkü o zaman çalışmanın amacı değişirdi ama nasıl bir problemin proje için uygun olduğu konusunda birkaç farklı örnek görmek işimizi kolaylaştırabilirdi.”</w:t>
      </w:r>
      <w:r>
        <w:rPr>
          <w:rFonts w:ascii="Times New Roman" w:hAnsi="Times New Roman"/>
        </w:rPr>
        <w:t xml:space="preserve"> (K4, Soru 7)</w:t>
      </w:r>
    </w:p>
    <w:p>
      <w:pPr>
        <w:widowControl/>
        <w:spacing w:line="288" w:lineRule="auto"/>
        <w:ind w:left="397" w:right="170"/>
      </w:pPr>
      <w:r>
        <w:rPr>
          <w:rFonts w:ascii="Times New Roman" w:hAnsi="Times New Roman"/>
          <w:i/>
        </w:rPr>
        <w:t>“Ders içinde gruplara aşamalarına göre farklı görevler verilmesi süreci daha verimli hale getirebilirdi.”</w:t>
      </w:r>
      <w:r>
        <w:rPr>
          <w:rFonts w:ascii="Times New Roman" w:hAnsi="Times New Roman"/>
        </w:rPr>
        <w:t xml:space="preserve"> (K4, Soru 7)</w:t>
      </w:r>
    </w:p>
    <w:p>
      <w:pPr>
        <w:widowControl/>
        <w:jc w:val="both"/>
      </w:pPr>
      <w:r>
        <w:rPr>
          <w:rFonts w:ascii="Times New Roman" w:hAnsi="Times New Roman"/>
          <w:i w:val="0"/>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bookmarkStart w:id="8065" w:name="Ortak40_8065"/>
      <w:bookmarkStart w:id="5065" w:name="Birlesik_5065"/>
      <w:pPr>
        <w:pStyle w:val="Balk3"/>
        <w:keepNext/>
        <w:widowControl/>
      </w:pPr>
      <w:r>
        <w:rPr>
          <w:rFonts w:ascii="Times New Roman" w:hAnsi="Times New Roman"/>
        </w:rPr>
        <w:t>4.2.4. Nitel bulguların genel değerlendirilmesi</w:t>
      </w:r>
      <w:bookmarkEnd w:id="5065"/>
      <w:bookmarkEnd w:id="8065"/>
    </w:p>
    <w:p>
      <w:pPr>
        <w:widowControl/>
        <w:spacing w:after="100" w:line="312" w:lineRule="auto"/>
        <w:jc w:val="both"/>
      </w:pPr>
      <w:r>
        <w:rPr>
          <w:rFonts w:ascii="Times New Roman" w:hAnsi="Times New Roman"/>
          <w:sz w:val="24"/>
        </w:rPr>
        <w:t>Katılımcıların ortak ve ayrışan deneyimleri Tablo 4.19’da birlikte sunulmuştur. Bu matris, önceki tabloların frekanslarından farklı olarak her katılımcının deneyimini kendi bağlamında karşılaştırmaktadır.</w:t>
      </w:r>
    </w:p>
    <w:p>
      <w:bookmarkStart w:id="8066" w:name="Ortak40_8066"/>
      <w:bookmarkStart w:id="5066" w:name="Birlesik_5066"/>
      <w:pPr>
        <w:keepNext/>
        <w:keepLines/>
        <w:widowControl/>
        <w:spacing w:after="100" w:line="312" w:lineRule="auto"/>
        <w:jc w:val="both"/>
      </w:pPr>
      <w:r>
        <w:rPr>
          <w:rFonts w:ascii="Times New Roman" w:hAnsi="Times New Roman"/>
          <w:b/>
          <w:sz w:val="22"/>
        </w:rPr>
        <w:t>Tablo 4.19. Katılımcıların ortak ve ayrışan deneyimlerinin karşılaştırılması</w:t>
      </w:r>
      <w:bookmarkEnd w:id="5066"/>
      <w:bookmarkEnd w:id="8066"/>
      <w:fldSimple w:instr="TC &quot;Tablo 4.19. Katılımcıların ortak ve ayrışan deneyimlerinin karşılaştırılması&quot; \f T \l 1"/>
    </w:p>
    <w:tbl>
      <w:tblPr>
        <w:tblStyle w:val="TabloKlavuzu"/>
        <w:tblW w:type="dxa" w:w="9014"/>
        <w:tblLayout w:type="fixed"/>
        <w:tblLook w:firstColumn="1" w:firstRow="1" w:lastColumn="0" w:lastRow="0" w:noHBand="0" w:noVBand="1" w:val="04A0"/>
      </w:tblPr>
      <w:tblGrid>
        <w:gridCol w:w="1382"/>
        <w:gridCol w:w="1908"/>
        <w:gridCol w:w="1908"/>
        <w:gridCol w:w="1908"/>
        <w:gridCol w:w="1908"/>
      </w:tblGrid>
      <w:tr>
        <w:trPr>
          <w:tblHeader/>
          <w:cantSplit/>
        </w:trPr>
        <w:tc>
          <w:tcPr>
            <w:tcW w:type="dxa" w:w="1382"/>
          </w:tcPr>
          <w:p>
            <w:pPr>
              <w:spacing w:before="40" w:after="60" w:line="252" w:lineRule="auto"/>
            </w:pPr>
            <w:r>
              <w:rPr>
                <w:rFonts w:ascii="Times New Roman" w:hAnsi="Times New Roman"/>
                <w:sz w:val="20"/>
              </w:rPr>
              <w:t>Boyut</w:t>
            </w:r>
          </w:p>
        </w:tc>
        <w:tc>
          <w:tcPr>
            <w:tcW w:type="dxa" w:w="1908"/>
          </w:tcPr>
          <w:p>
            <w:pPr>
              <w:spacing w:before="40" w:after="60" w:line="252" w:lineRule="auto"/>
            </w:pPr>
            <w:r>
              <w:rPr>
                <w:rFonts w:ascii="Times New Roman" w:hAnsi="Times New Roman"/>
                <w:sz w:val="20"/>
              </w:rPr>
              <w:t>K1</w:t>
            </w:r>
          </w:p>
        </w:tc>
        <w:tc>
          <w:tcPr>
            <w:tcW w:type="dxa" w:w="1908"/>
          </w:tcPr>
          <w:p>
            <w:pPr>
              <w:spacing w:before="40" w:after="60" w:line="252" w:lineRule="auto"/>
            </w:pPr>
            <w:r>
              <w:rPr>
                <w:rFonts w:ascii="Times New Roman" w:hAnsi="Times New Roman"/>
                <w:sz w:val="20"/>
              </w:rPr>
              <w:t>K2</w:t>
            </w:r>
          </w:p>
        </w:tc>
        <w:tc>
          <w:tcPr>
            <w:tcW w:type="dxa" w:w="1908"/>
          </w:tcPr>
          <w:p>
            <w:pPr>
              <w:spacing w:before="40" w:after="60" w:line="252" w:lineRule="auto"/>
            </w:pPr>
            <w:r>
              <w:rPr>
                <w:rFonts w:ascii="Times New Roman" w:hAnsi="Times New Roman"/>
                <w:sz w:val="20"/>
              </w:rPr>
              <w:t>K3</w:t>
            </w:r>
          </w:p>
        </w:tc>
        <w:tc>
          <w:tcPr>
            <w:tcW w:type="dxa" w:w="1908"/>
          </w:tcPr>
          <w:p>
            <w:pPr>
              <w:spacing w:before="40" w:after="60" w:line="252" w:lineRule="auto"/>
            </w:pPr>
            <w:r>
              <w:rPr>
                <w:rFonts w:ascii="Times New Roman" w:hAnsi="Times New Roman"/>
                <w:sz w:val="20"/>
              </w:rPr>
              <w:t>K4</w:t>
            </w:r>
          </w:p>
        </w:tc>
      </w:tr>
      <w:tr>
        <w:trPr>
          <w:cantSplit/>
        </w:trPr>
        <w:tc>
          <w:tcPr>
            <w:tcW w:type="dxa" w:w="1382"/>
          </w:tcPr>
          <w:p>
            <w:pPr>
              <w:spacing w:before="40" w:after="60" w:line="252" w:lineRule="auto"/>
            </w:pPr>
            <w:r>
              <w:rPr>
                <w:rFonts w:ascii="Times New Roman" w:hAnsi="Times New Roman"/>
                <w:sz w:val="20"/>
              </w:rPr>
              <w:t>Problem belirleme</w:t>
            </w:r>
          </w:p>
        </w:tc>
        <w:tc>
          <w:tcPr>
            <w:tcW w:type="dxa" w:w="1908"/>
          </w:tcPr>
          <w:p>
            <w:pPr>
              <w:spacing w:before="40" w:after="60" w:line="252" w:lineRule="auto"/>
            </w:pPr>
            <w:r>
              <w:rPr>
                <w:rFonts w:ascii="Times New Roman" w:hAnsi="Times New Roman"/>
                <w:sz w:val="20"/>
              </w:rPr>
              <w:t>Zorlandı; özgünlük ve çözülebilirlik (1-a).</w:t>
            </w:r>
          </w:p>
        </w:tc>
        <w:tc>
          <w:tcPr>
            <w:tcW w:type="dxa" w:w="1908"/>
          </w:tcPr>
          <w:p>
            <w:pPr>
              <w:spacing w:before="40" w:after="60" w:line="252" w:lineRule="auto"/>
            </w:pPr>
            <w:r>
              <w:rPr>
                <w:rFonts w:ascii="Times New Roman" w:hAnsi="Times New Roman"/>
                <w:sz w:val="20"/>
              </w:rPr>
              <w:t>Zorlanmadı; kısa araştırma yeterli oldu (1-a).</w:t>
            </w:r>
          </w:p>
        </w:tc>
        <w:tc>
          <w:tcPr>
            <w:tcW w:type="dxa" w:w="1908"/>
          </w:tcPr>
          <w:p>
            <w:pPr>
              <w:spacing w:before="40" w:after="60" w:line="252" w:lineRule="auto"/>
            </w:pPr>
            <w:r>
              <w:rPr>
                <w:rFonts w:ascii="Times New Roman" w:hAnsi="Times New Roman"/>
                <w:sz w:val="20"/>
              </w:rPr>
              <w:t>Zorlandı; özgün problem/proje arayışı (1-a).</w:t>
            </w:r>
          </w:p>
        </w:tc>
        <w:tc>
          <w:tcPr>
            <w:tcW w:type="dxa" w:w="1908"/>
          </w:tcPr>
          <w:p>
            <w:pPr>
              <w:spacing w:before="40" w:after="60" w:line="252" w:lineRule="auto"/>
            </w:pPr>
            <w:r>
              <w:rPr>
                <w:rFonts w:ascii="Times New Roman" w:hAnsi="Times New Roman"/>
                <w:sz w:val="20"/>
              </w:rPr>
              <w:t>Zorlandı; yapılabilir proje seçimi (1-a).</w:t>
            </w:r>
          </w:p>
        </w:tc>
      </w:tr>
      <w:tr>
        <w:trPr>
          <w:cantSplit/>
        </w:trPr>
        <w:tc>
          <w:tcPr>
            <w:tcW w:type="dxa" w:w="1382"/>
          </w:tcPr>
          <w:p>
            <w:pPr>
              <w:spacing w:before="40" w:after="60" w:line="252" w:lineRule="auto"/>
            </w:pPr>
            <w:r>
              <w:rPr>
                <w:rFonts w:ascii="Times New Roman" w:hAnsi="Times New Roman"/>
                <w:sz w:val="20"/>
              </w:rPr>
              <w:t>Çözüm güçlüğüne yaklaşım</w:t>
            </w:r>
          </w:p>
        </w:tc>
        <w:tc>
          <w:tcPr>
            <w:tcW w:type="dxa" w:w="1908"/>
          </w:tcPr>
          <w:p>
            <w:pPr>
              <w:spacing w:before="40" w:after="60" w:line="252" w:lineRule="auto"/>
            </w:pPr>
            <w:r>
              <w:rPr>
                <w:rFonts w:ascii="Times New Roman" w:hAnsi="Times New Roman"/>
                <w:sz w:val="20"/>
              </w:rPr>
              <w:t>Çözüm üretemeyince problemi değiştirdi (3-b).</w:t>
            </w:r>
          </w:p>
        </w:tc>
        <w:tc>
          <w:tcPr>
            <w:tcW w:type="dxa" w:w="1908"/>
          </w:tcPr>
          <w:p>
            <w:pPr>
              <w:spacing w:before="40" w:after="60" w:line="252" w:lineRule="auto"/>
            </w:pPr>
            <w:r>
              <w:rPr>
                <w:rFonts w:ascii="Times New Roman" w:hAnsi="Times New Roman"/>
                <w:sz w:val="20"/>
              </w:rPr>
              <w:t>Tasarım güçlüğünde farklı yollar denedi (3-b).</w:t>
            </w:r>
          </w:p>
        </w:tc>
        <w:tc>
          <w:tcPr>
            <w:tcW w:type="dxa" w:w="1908"/>
          </w:tcPr>
          <w:p>
            <w:pPr>
              <w:spacing w:before="40" w:after="60" w:line="252" w:lineRule="auto"/>
            </w:pPr>
            <w:r>
              <w:rPr>
                <w:rFonts w:ascii="Times New Roman" w:hAnsi="Times New Roman"/>
                <w:sz w:val="20"/>
              </w:rPr>
              <w:t>Tasarım güçlüğünde vazgeçmeyip farklı yollar denedi (3-b).</w:t>
            </w:r>
          </w:p>
        </w:tc>
        <w:tc>
          <w:tcPr>
            <w:tcW w:type="dxa" w:w="1908"/>
          </w:tcPr>
          <w:p>
            <w:pPr>
              <w:spacing w:before="40" w:after="60" w:line="252" w:lineRule="auto"/>
            </w:pPr>
            <w:r>
              <w:rPr>
                <w:rFonts w:ascii="Times New Roman" w:hAnsi="Times New Roman"/>
                <w:sz w:val="20"/>
              </w:rPr>
              <w:t>Çözümün probleme yanıtını sorgulayıp revize etti (3-b).</w:t>
            </w:r>
          </w:p>
        </w:tc>
      </w:tr>
      <w:tr>
        <w:trPr>
          <w:cantSplit/>
        </w:trPr>
        <w:tc>
          <w:tcPr>
            <w:tcW w:type="dxa" w:w="1382"/>
          </w:tcPr>
          <w:p>
            <w:pPr>
              <w:spacing w:before="40" w:after="60" w:line="252" w:lineRule="auto"/>
            </w:pPr>
            <w:r>
              <w:rPr>
                <w:rFonts w:ascii="Times New Roman" w:hAnsi="Times New Roman"/>
                <w:sz w:val="20"/>
              </w:rPr>
              <w:t>Fikir ifade etme ortamı</w:t>
            </w:r>
          </w:p>
        </w:tc>
        <w:tc>
          <w:tcPr>
            <w:tcW w:type="dxa" w:w="1908"/>
          </w:tcPr>
          <w:p>
            <w:pPr>
              <w:spacing w:before="40" w:after="60" w:line="252" w:lineRule="auto"/>
            </w:pPr>
            <w:r>
              <w:rPr>
                <w:rFonts w:ascii="Times New Roman" w:hAnsi="Times New Roman"/>
                <w:sz w:val="20"/>
              </w:rPr>
              <w:t>Rahat ifade; kendi seçtiği grup (2-a).</w:t>
            </w:r>
          </w:p>
        </w:tc>
        <w:tc>
          <w:tcPr>
            <w:tcW w:type="dxa" w:w="1908"/>
          </w:tcPr>
          <w:p>
            <w:pPr>
              <w:spacing w:before="40" w:after="60" w:line="252" w:lineRule="auto"/>
            </w:pPr>
            <w:r>
              <w:rPr>
                <w:rFonts w:ascii="Times New Roman" w:hAnsi="Times New Roman"/>
                <w:sz w:val="20"/>
              </w:rPr>
              <w:t>Rahat ifade; kendi seçtiği grup (2-a).</w:t>
            </w:r>
          </w:p>
        </w:tc>
        <w:tc>
          <w:tcPr>
            <w:tcW w:type="dxa" w:w="1908"/>
          </w:tcPr>
          <w:p>
            <w:pPr>
              <w:spacing w:before="40" w:after="60" w:line="252" w:lineRule="auto"/>
            </w:pPr>
            <w:r>
              <w:rPr>
                <w:rFonts w:ascii="Times New Roman" w:hAnsi="Times New Roman"/>
                <w:sz w:val="20"/>
              </w:rPr>
              <w:t>Rahat ifade; kendi seçtiği grup (2-a).</w:t>
            </w:r>
          </w:p>
        </w:tc>
        <w:tc>
          <w:tcPr>
            <w:tcW w:type="dxa" w:w="1908"/>
          </w:tcPr>
          <w:p>
            <w:pPr>
              <w:spacing w:before="40" w:after="60" w:line="252" w:lineRule="auto"/>
            </w:pPr>
            <w:r>
              <w:rPr>
                <w:rFonts w:ascii="Times New Roman" w:hAnsi="Times New Roman"/>
                <w:sz w:val="20"/>
              </w:rPr>
              <w:t>Rahat ifade; önceden tanışıklık (2-a).</w:t>
            </w:r>
          </w:p>
        </w:tc>
      </w:tr>
      <w:tr>
        <w:trPr>
          <w:cantSplit/>
        </w:trPr>
        <w:tc>
          <w:tcPr>
            <w:tcW w:type="dxa" w:w="1382"/>
          </w:tcPr>
          <w:p>
            <w:pPr>
              <w:spacing w:before="40" w:after="60" w:line="252" w:lineRule="auto"/>
            </w:pPr>
            <w:r>
              <w:rPr>
                <w:rFonts w:ascii="Times New Roman" w:hAnsi="Times New Roman"/>
                <w:sz w:val="20"/>
              </w:rPr>
              <w:t>İletişim becerisine katkı</w:t>
            </w:r>
          </w:p>
        </w:tc>
        <w:tc>
          <w:tcPr>
            <w:tcW w:type="dxa" w:w="1908"/>
          </w:tcPr>
          <w:p>
            <w:pPr>
              <w:spacing w:before="40" w:after="60" w:line="252" w:lineRule="auto"/>
            </w:pPr>
            <w:r>
              <w:rPr>
                <w:rFonts w:ascii="Times New Roman" w:hAnsi="Times New Roman"/>
                <w:sz w:val="20"/>
              </w:rPr>
              <w:t>Özgül beceri adı yerine grup sürecini kolaylaştırma anlatımı (5-b).</w:t>
            </w:r>
          </w:p>
        </w:tc>
        <w:tc>
          <w:tcPr>
            <w:tcW w:type="dxa" w:w="1908"/>
          </w:tcPr>
          <w:p>
            <w:pPr>
              <w:spacing w:before="40" w:after="60" w:line="252" w:lineRule="auto"/>
            </w:pPr>
            <w:r>
              <w:rPr>
                <w:rFonts w:ascii="Times New Roman" w:hAnsi="Times New Roman"/>
                <w:sz w:val="20"/>
              </w:rPr>
              <w:t>İletişime katkı belirtti (5-a); belirli beceri katkısının büyüklüğünde temkinli (5-b).</w:t>
            </w:r>
          </w:p>
        </w:tc>
        <w:tc>
          <w:tcPr>
            <w:tcW w:type="dxa" w:w="1908"/>
          </w:tcPr>
          <w:p>
            <w:pPr>
              <w:spacing w:before="40" w:after="60" w:line="252" w:lineRule="auto"/>
            </w:pPr>
            <w:r>
              <w:rPr>
                <w:rFonts w:ascii="Times New Roman" w:hAnsi="Times New Roman"/>
                <w:sz w:val="20"/>
              </w:rPr>
              <w:t>Çekingenliğine rağmen iletişim becerisinde güçlenme bildirdi (5-b).</w:t>
            </w:r>
          </w:p>
        </w:tc>
        <w:tc>
          <w:tcPr>
            <w:tcW w:type="dxa" w:w="1908"/>
          </w:tcPr>
          <w:p>
            <w:pPr>
              <w:spacing w:before="40" w:after="60" w:line="252" w:lineRule="auto"/>
            </w:pPr>
            <w:r>
              <w:rPr>
                <w:rFonts w:ascii="Times New Roman" w:hAnsi="Times New Roman"/>
                <w:sz w:val="20"/>
              </w:rPr>
              <w:t>İletişim ve birlikte çalışmaya katkı bildirdi (5-b).</w:t>
            </w:r>
          </w:p>
        </w:tc>
      </w:tr>
      <w:tr>
        <w:trPr>
          <w:cantSplit/>
        </w:trPr>
        <w:tc>
          <w:tcPr>
            <w:tcW w:type="dxa" w:w="1382"/>
          </w:tcPr>
          <w:p>
            <w:pPr>
              <w:spacing w:before="40" w:after="60" w:line="252" w:lineRule="auto"/>
            </w:pPr>
            <w:r>
              <w:rPr>
                <w:rFonts w:ascii="Times New Roman" w:hAnsi="Times New Roman"/>
                <w:sz w:val="20"/>
              </w:rPr>
              <w:t>Öğrenme algısı</w:t>
            </w:r>
          </w:p>
        </w:tc>
        <w:tc>
          <w:tcPr>
            <w:tcW w:type="dxa" w:w="1908"/>
          </w:tcPr>
          <w:p>
            <w:pPr>
              <w:spacing w:before="40" w:after="60" w:line="252" w:lineRule="auto"/>
            </w:pPr>
            <w:r>
              <w:rPr>
                <w:rFonts w:ascii="Times New Roman" w:hAnsi="Times New Roman"/>
                <w:sz w:val="20"/>
              </w:rPr>
              <w:t>Araştırma, uygulama, ürün ve kalıcılık (4).</w:t>
            </w:r>
          </w:p>
        </w:tc>
        <w:tc>
          <w:tcPr>
            <w:tcW w:type="dxa" w:w="1908"/>
          </w:tcPr>
          <w:p>
            <w:pPr>
              <w:spacing w:before="40" w:after="60" w:line="252" w:lineRule="auto"/>
            </w:pPr>
            <w:r>
              <w:rPr>
                <w:rFonts w:ascii="Times New Roman" w:hAnsi="Times New Roman"/>
                <w:sz w:val="20"/>
              </w:rPr>
              <w:t>Araştırma/uygulama, kalıcılık ve diğer sunumlardan öğrenme (4).</w:t>
            </w:r>
          </w:p>
        </w:tc>
        <w:tc>
          <w:tcPr>
            <w:tcW w:type="dxa" w:w="1908"/>
          </w:tcPr>
          <w:p>
            <w:pPr>
              <w:spacing w:before="40" w:after="60" w:line="252" w:lineRule="auto"/>
            </w:pPr>
            <w:r>
              <w:rPr>
                <w:rFonts w:ascii="Times New Roman" w:hAnsi="Times New Roman"/>
                <w:sz w:val="20"/>
              </w:rPr>
              <w:t>Araştırarak/uygulayarak daha kalıcı öğrenme (4).</w:t>
            </w:r>
          </w:p>
        </w:tc>
        <w:tc>
          <w:tcPr>
            <w:tcW w:type="dxa" w:w="1908"/>
          </w:tcPr>
          <w:p>
            <w:pPr>
              <w:spacing w:before="40" w:after="60" w:line="252" w:lineRule="auto"/>
            </w:pPr>
            <w:r>
              <w:rPr>
                <w:rFonts w:ascii="Times New Roman" w:hAnsi="Times New Roman"/>
                <w:sz w:val="20"/>
              </w:rPr>
              <w:t>Projede bilgiyi kullanma, kalıcılık ve diğer sunumlardan öğrenme (4).</w:t>
            </w:r>
          </w:p>
        </w:tc>
      </w:tr>
      <w:tr>
        <w:trPr>
          <w:cantSplit/>
        </w:trPr>
        <w:tc>
          <w:tcPr>
            <w:tcW w:type="dxa" w:w="1382"/>
          </w:tcPr>
          <w:p>
            <w:pPr>
              <w:spacing w:before="40" w:after="60" w:line="252" w:lineRule="auto"/>
            </w:pPr>
            <w:r>
              <w:rPr>
                <w:rFonts w:ascii="Times New Roman" w:hAnsi="Times New Roman"/>
                <w:sz w:val="20"/>
              </w:rPr>
              <w:t>Başlıca güçlükler</w:t>
            </w:r>
          </w:p>
        </w:tc>
        <w:tc>
          <w:tcPr>
            <w:tcW w:type="dxa" w:w="1908"/>
          </w:tcPr>
          <w:p>
            <w:pPr>
              <w:spacing w:before="40" w:after="60" w:line="252" w:lineRule="auto"/>
            </w:pPr>
            <w:r>
              <w:rPr>
                <w:rFonts w:ascii="Times New Roman" w:hAnsi="Times New Roman"/>
                <w:sz w:val="20"/>
              </w:rPr>
              <w:t>Yoruculuk/maliyet (6); serbest zamanın verimsiz kullanımı (7).</w:t>
            </w:r>
          </w:p>
        </w:tc>
        <w:tc>
          <w:tcPr>
            <w:tcW w:type="dxa" w:w="1908"/>
          </w:tcPr>
          <w:p>
            <w:pPr>
              <w:spacing w:before="40" w:after="60" w:line="252" w:lineRule="auto"/>
            </w:pPr>
            <w:r>
              <w:rPr>
                <w:rFonts w:ascii="Times New Roman" w:hAnsi="Times New Roman"/>
                <w:sz w:val="20"/>
              </w:rPr>
              <w:t>Bekleme ve farklı ilerleme hızları (6); bütçe kısıtı (7).</w:t>
            </w:r>
          </w:p>
        </w:tc>
        <w:tc>
          <w:tcPr>
            <w:tcW w:type="dxa" w:w="1908"/>
          </w:tcPr>
          <w:p>
            <w:pPr>
              <w:spacing w:before="40" w:after="60" w:line="252" w:lineRule="auto"/>
            </w:pPr>
            <w:r>
              <w:rPr>
                <w:rFonts w:ascii="Times New Roman" w:hAnsi="Times New Roman"/>
                <w:sz w:val="20"/>
              </w:rPr>
              <w:t>Yoruculuk (6); öğretim elemanını/grupları bekleme (7).</w:t>
            </w:r>
          </w:p>
        </w:tc>
        <w:tc>
          <w:tcPr>
            <w:tcW w:type="dxa" w:w="1908"/>
          </w:tcPr>
          <w:p>
            <w:pPr>
              <w:spacing w:before="40" w:after="60" w:line="252" w:lineRule="auto"/>
            </w:pPr>
            <w:r>
              <w:rPr>
                <w:rFonts w:ascii="Times New Roman" w:hAnsi="Times New Roman"/>
                <w:sz w:val="20"/>
              </w:rPr>
              <w:t>Uzun süren tasarım ve maliyet (6); farklı ilerleme hızları (7).</w:t>
            </w:r>
          </w:p>
        </w:tc>
      </w:tr>
      <w:tr>
        <w:trPr>
          <w:cantSplit/>
        </w:trPr>
        <w:tc>
          <w:tcPr>
            <w:tcW w:type="dxa" w:w="1382"/>
          </w:tcPr>
          <w:p>
            <w:pPr>
              <w:spacing w:before="40" w:after="60" w:line="252" w:lineRule="auto"/>
            </w:pPr>
            <w:r>
              <w:rPr>
                <w:rFonts w:ascii="Times New Roman" w:hAnsi="Times New Roman"/>
                <w:sz w:val="20"/>
              </w:rPr>
              <w:t>Düzenleme önerileri</w:t>
            </w:r>
          </w:p>
        </w:tc>
        <w:tc>
          <w:tcPr>
            <w:tcW w:type="dxa" w:w="1908"/>
          </w:tcPr>
          <w:p>
            <w:pPr>
              <w:spacing w:before="40" w:after="60" w:line="252" w:lineRule="auto"/>
            </w:pPr>
            <w:r>
              <w:rPr>
                <w:rFonts w:ascii="Times New Roman" w:hAnsi="Times New Roman"/>
                <w:sz w:val="20"/>
              </w:rPr>
              <w:t>Daha fazla süre ve planlı serbest zaman (7).</w:t>
            </w:r>
          </w:p>
        </w:tc>
        <w:tc>
          <w:tcPr>
            <w:tcW w:type="dxa" w:w="1908"/>
          </w:tcPr>
          <w:p>
            <w:pPr>
              <w:spacing w:before="40" w:after="60" w:line="252" w:lineRule="auto"/>
            </w:pPr>
            <w:r>
              <w:rPr>
                <w:rFonts w:ascii="Times New Roman" w:hAnsi="Times New Roman"/>
                <w:sz w:val="20"/>
              </w:rPr>
              <w:t>Başlangıç örnekleri, bütçe/malzeme desteği (7); küçük gruplar (1-b).</w:t>
            </w:r>
          </w:p>
        </w:tc>
        <w:tc>
          <w:tcPr>
            <w:tcW w:type="dxa" w:w="1908"/>
          </w:tcPr>
          <w:p>
            <w:pPr>
              <w:spacing w:before="40" w:after="60" w:line="252" w:lineRule="auto"/>
            </w:pPr>
            <w:r>
              <w:rPr>
                <w:rFonts w:ascii="Times New Roman" w:hAnsi="Times New Roman"/>
                <w:sz w:val="20"/>
              </w:rPr>
              <w:t>Bekleme sürelerini azaltıp ders zamanını verimli kullanma (7).</w:t>
            </w:r>
          </w:p>
        </w:tc>
        <w:tc>
          <w:tcPr>
            <w:tcW w:type="dxa" w:w="1908"/>
          </w:tcPr>
          <w:p>
            <w:pPr>
              <w:spacing w:before="40" w:after="60" w:line="252" w:lineRule="auto"/>
            </w:pPr>
            <w:r>
              <w:rPr>
                <w:rFonts w:ascii="Times New Roman" w:hAnsi="Times New Roman"/>
                <w:sz w:val="20"/>
              </w:rPr>
              <w:t>Örnek ve rehberlik, özerkliği koruma, aşamaya uygun farklı görevler (7).</w:t>
            </w:r>
          </w:p>
        </w:tc>
      </w:tr>
    </w:tbl>
    <w:p>
      <w:pPr>
        <w:widowControl/>
        <w:spacing w:after="100" w:line="288" w:lineRule="auto"/>
        <w:jc w:val="both"/>
      </w:pPr>
      <w:r>
        <w:rPr>
          <w:rFonts w:ascii="Times New Roman" w:hAnsi="Times New Roman"/>
          <w:sz w:val="20"/>
        </w:rPr>
        <w:t>Not. Hücreler alıntı değil, döküme dayalı kısa analitik özetlerdir; parantezlerde kaynak soru başlığı verilmiştir. Katılımcı kodları başarı veya gelişim düzeyi göstermez. Bir deneyimin burada öne çıkarılmaması, yaşanmadığını kanıtlamaz. Yeni puan veya katılımcı verisi üretilmemiştir.</w:t>
      </w:r>
    </w:p>
    <w:p>
      <w:pPr>
        <w:widowControl/>
        <w:jc w:val="both"/>
      </w:pPr>
      <w:r>
        <w:rPr>
          <w:rFonts w:ascii="Times New Roman" w:hAnsi="Times New Roman"/>
          <w:i w:val="0"/>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widowControl/>
        <w:jc w:val="both"/>
      </w:pPr>
      <w:r>
        <w:rPr>
          <w:rFonts w:ascii="Times New Roman" w:hAnsi="Times New Roman"/>
          <w:i w:val="0"/>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widowControl/>
        <w:jc w:val="both"/>
      </w:pPr>
      <w:r>
        <w:rPr>
          <w:rFonts w:ascii="Times New Roman" w:hAnsi="Times New Roman"/>
        </w:rP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Nicel ve nitel bulguların birlikte sunumu izleyen bölümde verilmiştir. Bu bulguların literatürle karşılaştırılması ise sonuç ve tartışma bölümünde araştırmanın deseni ve sınırlılıkları gözetilerek ele alınmalıdır.</w:t>
      </w:r>
    </w:p>
    <w:p>
      <w:pPr>
        <w:keepNext/>
        <w:widowControl/>
        <w:spacing w:after="100" w:line="312" w:lineRule="auto"/>
        <w:jc w:val="both"/>
      </w:pPr>
      <w:r>
        <w:rPr>
          <w:rFonts w:ascii="Times New Roman" w:hAnsi="Times New Roman"/>
          <w:sz w:val="24"/>
        </w:rPr>
        <w:t>Katılımcıların açıkça adlandırdığı beceri katkıları, ilgili kodlar temelinde Şekil 4.5’te birlikte gösterilmiştir. Bu gösterim, Tablo 4.13 ve Tablo 4.15’te farklı başlıklar altında yer alan beceri katkısı ifadelerini aynı görselde özetlemektedir.</w:t>
      </w:r>
    </w:p>
    <w:p>
      <w:pPr>
        <w:keepNext/>
        <w:spacing w:line="240" w:lineRule="auto" w:before="100" w:after="100"/>
        <w:jc w:val="center"/>
      </w:pPr>
      <w:r>
        <w:rPr>
          <w:rFonts w:ascii="Times New Roman" w:hAnsi="Times New Roman"/>
        </w:rPr>
        <w:drawing>
          <wp:inline xmlns:a="http://schemas.openxmlformats.org/drawingml/2006/main" xmlns:pic="http://schemas.openxmlformats.org/drawingml/2006/picture">
            <wp:extent cx="5760000" cy="3126857"/>
            <wp:docPr id="8" name="TezGorsel8"/>
            <wp:cNvGraphicFramePr>
              <a:graphicFrameLocks noChangeAspect="1"/>
            </wp:cNvGraphicFramePr>
            <a:graphic>
              <a:graphicData uri="http://schemas.openxmlformats.org/drawingml/2006/picture">
                <pic:pic>
                  <pic:nvPicPr>
                    <pic:cNvPr id="8" name="sekil-4-5-algilanan-beceri-katkilari.png"/>
                    <pic:cNvPicPr/>
                  </pic:nvPicPr>
                  <pic:blipFill>
                    <a:blip r:embed="rId23"/>
                    <a:stretch>
                      <a:fillRect/>
                    </a:stretch>
                  </pic:blipFill>
                  <pic:spPr>
                    <a:xfrm>
                      <a:off x="0" y="0"/>
                      <a:ext cx="5760000" cy="3126857"/>
                    </a:xfrm>
                    <a:prstGeom prst="rect"/>
                  </pic:spPr>
                </pic:pic>
              </a:graphicData>
            </a:graphic>
          </wp:inline>
        </w:drawing>
      </w:r>
    </w:p>
    <w:p>
      <w:bookmarkStart w:id="8067" w:name="Ortak40_8067"/>
      <w:bookmarkStart w:id="5067" w:name="Birlesik_5067"/>
      <w:pPr>
        <w:keepNext/>
        <w:keepLines/>
        <w:widowControl/>
        <w:spacing w:after="100" w:line="252" w:lineRule="auto"/>
        <w:jc w:val="both"/>
      </w:pPr>
      <w:r>
        <w:rPr>
          <w:rFonts w:ascii="Times New Roman" w:hAnsi="Times New Roman"/>
          <w:b/>
          <w:sz w:val="22"/>
        </w:rPr>
        <w:t>Şekil 4.5. Beceri katkısını açıkça adlandıran katılımcı sayıları</w:t>
      </w:r>
      <w:bookmarkEnd w:id="5067"/>
      <w:bookmarkEnd w:id="8067"/>
      <w:fldSimple w:instr="TC &quot;Şekil 4.5. Beceri katkısını açıkça adlandıran katılımcı sayıları&quot; \f F \l 1"/>
    </w:p>
    <w:p>
      <w:pPr>
        <w:widowControl/>
        <w:spacing w:after="100" w:line="252" w:lineRule="auto"/>
        <w:jc w:val="both"/>
      </w:pPr>
      <w:r>
        <w:rPr>
          <w:rFonts w:ascii="Times New Roman" w:hAnsi="Times New Roman"/>
          <w:sz w:val="20"/>
        </w:rPr>
        <w:t>Not. N=4. Her çubuk ilgili kodu dile getiren farklı katılımcı sayısını göstermektedir. Bir kişi birden fazla beceri katkısı belirtebilir; çubuklar toplanarak kişi sayısı elde edilmez. Gösterim becerilerin önem sırasını, gelişim miktarını veya istatistiksel anlamlılığı ifade etmemektedir. Kodlar mevcut içerik analizinden alınmış, yeni katılımcı verisi veya puan üretilmemiştir.</w:t>
      </w:r>
    </w:p>
    <w:p>
      <w:pPr>
        <w:widowControl/>
        <w:spacing w:after="100" w:line="312" w:lineRule="auto"/>
        <w:jc w:val="both"/>
      </w:pPr>
      <w:r>
        <w:rPr>
          <w:rFonts w:ascii="Times New Roman" w:hAnsi="Times New Roman"/>
          <w:sz w:val="24"/>
        </w:rPr>
        <w:t>Dört katılımcı problem çözme becerisine katkı algısı bildirmiştir. Yaratıcı düşünme ve araştırma becerileri üçer, analitik düşünme bir, iletişim becerisi ise üç katılımcı tarafından gelişim/katkı bağlamında açıkça adlandırılmıştır. K1’in grup çalışmasına ilişkin süreç değerlendirmesi iletişim becerisinde gelişim olarak otomatik kodlanmamış; K2’nin belirli beceri katkısının büyüklüğüne ilişkin temkinli ifadesi korunmuştur. Bu sayılar, dört görüşmedeki anlatımların kapsamını özetlemektedir.</w:t>
      </w:r>
    </w:p>
    <w:p>
      <w:bookmarkStart w:id="8068" w:name="Ortak40_8068"/>
      <w:bookmarkStart w:id="5068" w:name="Birlesik_5068"/>
      <w:pPr>
        <w:pStyle w:val="Balk2"/>
        <w:keepNext/>
        <w:pageBreakBefore/>
        <w:widowControl/>
      </w:pPr>
      <w:r>
        <w:rPr>
          <w:rFonts w:ascii="Times New Roman" w:hAnsi="Times New Roman"/>
        </w:rPr>
        <w:t>4.3. Nicel ve Nitel Bulguların Birlikte Sunumu</w:t>
      </w:r>
      <w:bookmarkEnd w:id="5068"/>
      <w:bookmarkEnd w:id="8068"/>
    </w:p>
    <w:p>
      <w:pPr>
        <w:widowControl/>
        <w:spacing w:after="100" w:line="312" w:lineRule="auto"/>
        <w:jc w:val="both"/>
      </w:pPr>
      <w:r>
        <w:rPr>
          <w:rFonts w:ascii="Times New Roman" w:hAnsi="Times New Roman"/>
          <w:sz w:val="24"/>
        </w:rPr>
        <w:t>Bu bölümde ortak 40 katılımcının nicel sonuçları ile bu grubun içindeki dört katılımcının görüşmeleri, araştırmanın problem alanları doğrultusunda yan yana sunulmuştur. Tablo 4.20 bulguların benzer yönlerini, farklı görünümlerini ve nitel verilerin eklediği süreç boyutlarını göstermektedir. Görüşmecilerin ortak çalışma grubunda olduğu kontrol edilmiş; ancak kişilerin puan değişimleriyle nitel kodları arasında bireysel ilişki analizi yapılmamıştır. Nitel temalar dört kişinin deneyimleriyle sınırlıdır.</w:t>
      </w:r>
    </w:p>
    <w:p>
      <w:bookmarkStart w:id="8069" w:name="Ortak40_8069"/>
      <w:bookmarkStart w:id="5069" w:name="Birlesik_5069"/>
      <w:pPr>
        <w:keepNext/>
        <w:keepLines/>
        <w:widowControl/>
        <w:spacing w:after="100" w:line="252" w:lineRule="auto"/>
        <w:jc w:val="both"/>
      </w:pPr>
      <w:r>
        <w:rPr>
          <w:rFonts w:ascii="Times New Roman" w:hAnsi="Times New Roman"/>
          <w:b/>
          <w:sz w:val="22"/>
        </w:rPr>
        <w:t>Tablo 4.20. Nicel ölçek sonuçları ve nitel görüşme bulgularının ortak gösterimi</w:t>
      </w:r>
      <w:bookmarkEnd w:id="5069"/>
      <w:bookmarkEnd w:id="8069"/>
      <w:fldSimple w:instr="TC &quot;Tablo 4.20. Nicel ölçek sonuçları ve nitel görüşme bulgularının ortak gösterimi&quot; \f T \l 1"/>
    </w:p>
    <w:tbl>
      <w:tblPr>
        <w:tblStyle w:val="TabloKlavuzu"/>
        <w:tblW w:type="dxa" w:w="9014"/>
        <w:tblLayout w:type="fixed"/>
        <w:tblLook w:firstColumn="1" w:firstRow="1" w:lastColumn="0" w:lastRow="0" w:noHBand="0" w:noVBand="1" w:val="04A0"/>
      </w:tblPr>
      <w:tblGrid>
        <w:gridCol w:w="1106"/>
        <w:gridCol w:w="1935"/>
        <w:gridCol w:w="2212"/>
        <w:gridCol w:w="1548"/>
        <w:gridCol w:w="2212"/>
      </w:tblGrid>
      <w:tr>
        <w:trPr>
          <w:tblHeader/>
          <w:cantSplit/>
        </w:trPr>
        <w:tc>
          <w:tcPr>
            <w:tcW w:type="dxa" w:w="1106"/>
          </w:tcPr>
          <w:p>
            <w:pPr>
              <w:spacing w:line="252" w:lineRule="auto" w:before="40" w:after="60"/>
            </w:pPr>
            <w:r>
              <w:rPr>
                <w:rFonts w:ascii="Times New Roman" w:hAnsi="Times New Roman"/>
                <w:sz w:val="20"/>
              </w:rPr>
              <w:t>Bulgu alanı</w:t>
            </w:r>
          </w:p>
        </w:tc>
        <w:tc>
          <w:tcPr>
            <w:tcW w:type="dxa" w:w="1935"/>
          </w:tcPr>
          <w:p>
            <w:pPr>
              <w:spacing w:line="252" w:lineRule="auto" w:before="40" w:after="60"/>
            </w:pPr>
            <w:r>
              <w:rPr>
                <w:rFonts w:ascii="Times New Roman" w:hAnsi="Times New Roman"/>
                <w:sz w:val="20"/>
              </w:rPr>
              <w:t>Nicel bulgu</w:t>
            </w:r>
          </w:p>
        </w:tc>
        <w:tc>
          <w:tcPr>
            <w:tcW w:type="dxa" w:w="2212"/>
          </w:tcPr>
          <w:p>
            <w:pPr>
              <w:spacing w:line="252" w:lineRule="auto" w:before="40" w:after="60"/>
            </w:pPr>
            <w:r>
              <w:rPr>
                <w:rFonts w:ascii="Times New Roman" w:hAnsi="Times New Roman"/>
                <w:sz w:val="20"/>
              </w:rPr>
              <w:t>Nitel karşılık</w:t>
            </w:r>
          </w:p>
        </w:tc>
        <w:tc>
          <w:tcPr>
            <w:tcW w:type="dxa" w:w="1548"/>
          </w:tcPr>
          <w:p>
            <w:pPr>
              <w:spacing w:line="252" w:lineRule="auto" w:before="40" w:after="60"/>
            </w:pPr>
            <w:r>
              <w:rPr>
                <w:rFonts w:ascii="Times New Roman" w:hAnsi="Times New Roman"/>
                <w:sz w:val="20"/>
              </w:rPr>
              <w:t>Birlikte okuma</w:t>
            </w:r>
          </w:p>
        </w:tc>
        <w:tc>
          <w:tcPr>
            <w:tcW w:type="dxa" w:w="2212"/>
          </w:tcPr>
          <w:p>
            <w:pPr>
              <w:spacing w:line="252" w:lineRule="auto" w:before="40" w:after="60"/>
            </w:pPr>
            <w:r>
              <w:rPr>
                <w:rFonts w:ascii="Times New Roman" w:hAnsi="Times New Roman"/>
                <w:sz w:val="20"/>
              </w:rPr>
              <w:t>Yorum sınırı</w:t>
            </w:r>
          </w:p>
        </w:tc>
      </w:tr>
      <w:tr>
        <w:trPr>
          <w:cantSplit/>
        </w:trPr>
        <w:tc>
          <w:tcPr>
            <w:tcW w:type="dxa" w:w="1106"/>
          </w:tcPr>
          <w:p>
            <w:pPr>
              <w:spacing w:line="252" w:lineRule="auto" w:before="40" w:after="60"/>
            </w:pPr>
            <w:r>
              <w:rPr>
                <w:rFonts w:ascii="Times New Roman" w:hAnsi="Times New Roman"/>
                <w:sz w:val="20"/>
              </w:rPr>
              <w:t>Problem çözme toplam puanı</w:t>
            </w:r>
          </w:p>
        </w:tc>
        <w:tc>
          <w:tcPr>
            <w:tcW w:type="dxa" w:w="1935"/>
          </w:tcPr>
          <w:p>
            <w:pPr>
              <w:spacing w:line="252" w:lineRule="auto" w:before="40" w:after="60"/>
            </w:pPr>
            <w:r>
              <w:rPr>
                <w:rFonts w:ascii="Times New Roman" w:hAnsi="Times New Roman"/>
                <w:sz w:val="20"/>
              </w:rPr>
              <w:t>Mevcut analizde N=40; ön 2.904, son 2.741; t(39)=2.372, p=.023, d_z=.375. Bu puanlamada düşük puan daha olumlu algıdır.</w:t>
            </w:r>
          </w:p>
        </w:tc>
        <w:tc>
          <w:tcPr>
            <w:tcW w:type="dxa" w:w="2212"/>
          </w:tcPr>
          <w:p>
            <w:pPr>
              <w:spacing w:line="252" w:lineRule="auto" w:before="40" w:after="60"/>
            </w:pPr>
            <w:r>
              <w:rPr>
                <w:rFonts w:ascii="Times New Roman" w:hAnsi="Times New Roman"/>
                <w:sz w:val="20"/>
              </w:rPr>
              <w:t>Dört görüşmede problem çözmeye katkı algısı vardır (P11). K1 problemi değiştirmeyi; K2, K3 ve K4 alternatif/çözüm üzerinde çalışmayı anlatır.</w:t>
            </w:r>
          </w:p>
        </w:tc>
        <w:tc>
          <w:tcPr>
            <w:tcW w:type="dxa" w:w="1548"/>
          </w:tcPr>
          <w:p>
            <w:pPr>
              <w:spacing w:line="252" w:lineRule="auto" w:before="40" w:after="60"/>
            </w:pPr>
            <w:r>
              <w:rPr>
                <w:rFonts w:ascii="Times New Roman" w:hAnsi="Times New Roman"/>
                <w:sz w:val="20"/>
              </w:rPr>
              <w:t>Genel yön bakımından uyum; deneyimlerde çeşitlilik.</w:t>
            </w:r>
          </w:p>
        </w:tc>
        <w:tc>
          <w:tcPr>
            <w:tcW w:type="dxa" w:w="2212"/>
          </w:tcPr>
          <w:p>
            <w:pPr>
              <w:spacing w:line="252" w:lineRule="auto" w:before="40" w:after="60"/>
            </w:pPr>
            <w:r>
              <w:rPr>
                <w:rFonts w:ascii="Times New Roman" w:hAnsi="Times New Roman"/>
                <w:sz w:val="20"/>
              </w:rPr>
              <w:t>Görüşmeler puan değişiminin nedeni veya bağımsız doğrulaması değildir. Dört görüşmeciyle 40 kişilik eşleşmiş örneklem arasında bireysel puan eşleştirmesi yapılmadı.</w:t>
            </w:r>
          </w:p>
        </w:tc>
      </w:tr>
      <w:tr>
        <w:trPr>
          <w:cantSplit/>
        </w:trPr>
        <w:tc>
          <w:tcPr>
            <w:tcW w:type="dxa" w:w="1106"/>
          </w:tcPr>
          <w:p>
            <w:pPr>
              <w:spacing w:line="252" w:lineRule="auto" w:before="40" w:after="60"/>
            </w:pPr>
            <w:r>
              <w:rPr>
                <w:rFonts w:ascii="Times New Roman" w:hAnsi="Times New Roman"/>
                <w:sz w:val="20"/>
              </w:rPr>
              <w:t>Problem çözmede alt boyutlar</w:t>
            </w:r>
          </w:p>
        </w:tc>
        <w:tc>
          <w:tcPr>
            <w:tcW w:type="dxa" w:w="1935"/>
          </w:tcPr>
          <w:p>
            <w:pPr>
              <w:spacing w:line="252" w:lineRule="auto" w:before="40" w:after="60"/>
            </w:pPr>
            <w:r>
              <w:rPr>
                <w:rFonts w:ascii="Times New Roman" w:hAnsi="Times New Roman"/>
                <w:sz w:val="20"/>
              </w:rPr>
              <w:t>Mevcut analizde Güvenme: p&lt;.001; Kişisel Kontrol: p=.013; Yaklaşma–Kaçınma: p=.584. Düzeltilmemiş p değerleri.</w:t>
            </w:r>
          </w:p>
        </w:tc>
        <w:tc>
          <w:tcPr>
            <w:tcW w:type="dxa" w:w="2212"/>
          </w:tcPr>
          <w:p>
            <w:pPr>
              <w:spacing w:line="252" w:lineRule="auto" w:before="40" w:after="60"/>
            </w:pPr>
            <w:r>
              <w:rPr>
                <w:rFonts w:ascii="Times New Roman" w:hAnsi="Times New Roman"/>
                <w:sz w:val="20"/>
              </w:rPr>
              <w:t>K1 çözüm bulamayınca problemi değiştirir (3-b). K2/K3 tasarım sorununda alternatif dener; K4 çözümün probleme yanıtını sorgular (3-b).</w:t>
            </w:r>
          </w:p>
        </w:tc>
        <w:tc>
          <w:tcPr>
            <w:tcW w:type="dxa" w:w="1548"/>
          </w:tcPr>
          <w:p>
            <w:pPr>
              <w:spacing w:line="252" w:lineRule="auto" w:before="40" w:after="60"/>
            </w:pPr>
            <w:r>
              <w:rPr>
                <w:rFonts w:ascii="Times New Roman" w:hAnsi="Times New Roman"/>
                <w:sz w:val="20"/>
              </w:rPr>
              <w:t>Nitel veriler tek tip olmayan süreç deneyimleri ekler.</w:t>
            </w:r>
          </w:p>
        </w:tc>
        <w:tc>
          <w:tcPr>
            <w:tcW w:type="dxa" w:w="2212"/>
          </w:tcPr>
          <w:p>
            <w:pPr>
              <w:spacing w:line="252" w:lineRule="auto" w:before="40" w:after="60"/>
            </w:pPr>
            <w:r>
              <w:rPr>
                <w:rFonts w:ascii="Times New Roman" w:hAnsi="Times New Roman"/>
                <w:sz w:val="20"/>
              </w:rPr>
              <w:t>Bu anlatılar ölçek alt boyutlarıyla birebir eşitlenemez; anlamlı/anlamsız sonuçların nedenini kanıtladığı söylenemez.</w:t>
            </w:r>
          </w:p>
        </w:tc>
      </w:tr>
      <w:tr>
        <w:trPr>
          <w:cantSplit/>
        </w:trPr>
        <w:tc>
          <w:tcPr>
            <w:tcW w:type="dxa" w:w="1106"/>
          </w:tcPr>
          <w:p>
            <w:pPr>
              <w:spacing w:line="252" w:lineRule="auto" w:before="40" w:after="60"/>
            </w:pPr>
            <w:r>
              <w:rPr>
                <w:rFonts w:ascii="Times New Roman" w:hAnsi="Times New Roman"/>
                <w:sz w:val="20"/>
              </w:rPr>
              <w:t>İletişim toplam puanı</w:t>
            </w:r>
          </w:p>
        </w:tc>
        <w:tc>
          <w:tcPr>
            <w:tcW w:type="dxa" w:w="1935"/>
          </w:tcPr>
          <w:p>
            <w:pPr>
              <w:spacing w:line="252" w:lineRule="auto" w:after="60"/>
            </w:pPr>
            <w:r>
              <w:rPr>
                <w:rFonts w:ascii="Times New Roman" w:hAnsi="Times New Roman"/>
                <w:sz w:val="20"/>
              </w:rPr>
              <w:t>Ortak analizde N=40; ön 3.828, son 3.923; t(39)=1.695, p=.098, d_z=.268. Anlamlı fark saptanmadı.</w:t>
            </w:r>
          </w:p>
        </w:tc>
        <w:tc>
          <w:tcPr>
            <w:tcW w:type="dxa" w:w="2212"/>
          </w:tcPr>
          <w:p>
            <w:pPr>
              <w:spacing w:line="252" w:lineRule="auto" w:before="40" w:after="60"/>
            </w:pPr>
            <w:r>
              <w:rPr>
                <w:rFonts w:ascii="Times New Roman" w:hAnsi="Times New Roman"/>
                <w:sz w:val="20"/>
              </w:rPr>
              <w:t>Dördü de rahat ifade ortamı anlatır (C01). K2, K3, K4 iletişim katkısı bildirir (C10); K2 büyüklükte temkinlidir (C12). K1’in 5-b yanıtı özgül beceri gelişimini adlandırmaz.</w:t>
            </w:r>
          </w:p>
        </w:tc>
        <w:tc>
          <w:tcPr>
            <w:tcW w:type="dxa" w:w="1548"/>
          </w:tcPr>
          <w:p>
            <w:pPr>
              <w:spacing w:line="252" w:lineRule="auto" w:before="40" w:after="60"/>
            </w:pPr>
            <w:r>
              <w:rPr>
                <w:rFonts w:ascii="Times New Roman" w:hAnsi="Times New Roman"/>
                <w:sz w:val="20"/>
              </w:rPr>
              <w:t>Veri türleri arasında görünüm farklılığı; rahat ortam ve gelişim ayrımı.</w:t>
            </w:r>
          </w:p>
        </w:tc>
        <w:tc>
          <w:tcPr>
            <w:tcW w:type="dxa" w:w="2212"/>
          </w:tcPr>
          <w:p>
            <w:pPr>
              <w:spacing w:line="252" w:lineRule="auto" w:before="40" w:after="60"/>
            </w:pPr>
            <w:r>
              <w:rPr>
                <w:rFonts w:ascii="Times New Roman" w:hAnsi="Times New Roman"/>
                <w:sz w:val="20"/>
              </w:rPr>
              <w:t>Olumlu deneyimler nicel anlamsız farkı geçersiz kılmaz. Önceden tanışıklık bağlam olarak anlatılabilir; farkın nedeninin bu olduğu gösterilmiş değildir.</w:t>
            </w:r>
          </w:p>
        </w:tc>
      </w:tr>
      <w:tr>
        <w:trPr>
          <w:cantSplit/>
        </w:trPr>
        <w:tc>
          <w:tcPr>
            <w:tcW w:type="dxa" w:w="1106"/>
          </w:tcPr>
          <w:p>
            <w:pPr>
              <w:spacing w:line="252" w:lineRule="auto" w:before="40" w:after="60"/>
            </w:pPr>
            <w:r>
              <w:rPr>
                <w:rFonts w:ascii="Times New Roman" w:hAnsi="Times New Roman"/>
                <w:sz w:val="20"/>
              </w:rPr>
              <w:t>Öğrenme ve süreç yönetimi</w:t>
            </w:r>
          </w:p>
        </w:tc>
        <w:tc>
          <w:tcPr>
            <w:tcW w:type="dxa" w:w="1935"/>
          </w:tcPr>
          <w:p>
            <w:pPr>
              <w:spacing w:line="252" w:lineRule="auto" w:before="40" w:after="60"/>
            </w:pPr>
            <w:r>
              <w:rPr>
                <w:rFonts w:ascii="Times New Roman" w:hAnsi="Times New Roman"/>
                <w:sz w:val="20"/>
              </w:rPr>
              <w:t>Bu çalışma için eldeki iki ölçek, afet bilgisinde gecikmeli kalıcılığı, maliyeti veya ders içi beklemeyi doğrudan ölçmemektedir.</w:t>
            </w:r>
          </w:p>
        </w:tc>
        <w:tc>
          <w:tcPr>
            <w:tcW w:type="dxa" w:w="2212"/>
          </w:tcPr>
          <w:p>
            <w:pPr>
              <w:spacing w:line="252" w:lineRule="auto" w:before="40" w:after="60"/>
            </w:pPr>
            <w:r>
              <w:rPr>
                <w:rFonts w:ascii="Times New Roman" w:hAnsi="Times New Roman"/>
                <w:sz w:val="20"/>
              </w:rPr>
              <w:t>Dördü kalıcılık algısı bildirir (L02). Maliyet K1/K2/K4’te (L10); bekleme K2/K3’te (L12); planlama ve rehberlik önerileri R kodlarında yer alır.</w:t>
            </w:r>
          </w:p>
        </w:tc>
        <w:tc>
          <w:tcPr>
            <w:tcW w:type="dxa" w:w="1548"/>
          </w:tcPr>
          <w:p>
            <w:pPr>
              <w:spacing w:line="252" w:lineRule="auto" w:before="40" w:after="60"/>
            </w:pPr>
            <w:r>
              <w:rPr>
                <w:rFonts w:ascii="Times New Roman" w:hAnsi="Times New Roman"/>
                <w:sz w:val="20"/>
              </w:rPr>
              <w:t>Nitel verilerin kapsamı genişletici katkısı; doğrudan nicel eşdeğer yok.</w:t>
            </w:r>
          </w:p>
        </w:tc>
        <w:tc>
          <w:tcPr>
            <w:tcW w:type="dxa" w:w="2212"/>
          </w:tcPr>
          <w:p>
            <w:pPr>
              <w:spacing w:line="252" w:lineRule="auto" w:before="40" w:after="60"/>
            </w:pPr>
            <w:r>
              <w:rPr>
                <w:rFonts w:ascii="Times New Roman" w:hAnsi="Times New Roman"/>
                <w:sz w:val="20"/>
              </w:rPr>
              <w:t>Öğrenme kalıcılığı nesnel olarak ölçülmüş sayılmaz. Doğrudan nicel karşılığı olmayan bu deneyimler bulgu olarak korunur; yapay bir sayı veya ölçek puanı üretilmez.</w:t>
            </w:r>
          </w:p>
        </w:tc>
      </w:tr>
    </w:tbl>
    <w:p>
      <w:pPr>
        <w:widowControl/>
        <w:spacing w:after="100" w:line="252" w:lineRule="auto"/>
        <w:jc w:val="both"/>
      </w:pPr>
      <w:r>
        <w:rPr>
          <w:rFonts w:ascii="Times New Roman" w:hAnsi="Times New Roman"/>
          <w:sz w:val="24"/>
        </w:rPr>
        <w:t>Not. Nicel değerler, her iki ölçeğin ön ve son ölçümlerinde ortak olan aynı 40 kişinin güncel analiz sonuçlarıdır. Puanlama düzeni korunmuştur. Çoklu karşılaştırma düzeltmesi uygulanmamıştır. Birlikte okuma, temalarla ölçek sonuçlarının betimsel değerlendirmesidir; bireysel puan–kod ilişki analizi veya nedensel doğrulama değildir.</w:t>
      </w:r>
    </w:p>
    <w:p>
      <w:pPr>
        <w:widowControl/>
        <w:spacing w:after="100" w:line="312" w:lineRule="auto"/>
        <w:jc w:val="both"/>
      </w:pPr>
      <w:r>
        <w:rPr>
          <w:rFonts w:ascii="Times New Roman" w:hAnsi="Times New Roman"/>
          <w:sz w:val="24"/>
        </w:rPr>
        <w:t>Problem çözme toplam puanında son test lehine gözlenen değişim ile dört katılımcının problem çözmeye ilişkin katkı algıları genel yön bakımından benzerlik göstermektedir. Bununla birlikte görüşmeler aynı deneyimin dört kez tekrarlandığı bir örüntü sunmamıştır. Problemi değiştirme, çözümü sorgulama, tasarım sorunlarıyla uğraşma ve alternatif yolları sürdürme gibi farklı süreçler anlatılmıştır. Bu çeşitlilik, toplam puandaki değişimin bütün katılımcılarda aynı biçimde gerçekleştiği sonucuna dönüştürülmemiştir.</w:t>
      </w:r>
    </w:p>
    <w:p>
      <w:pPr>
        <w:widowControl/>
        <w:spacing w:after="100" w:line="312" w:lineRule="auto"/>
        <w:jc w:val="both"/>
      </w:pPr>
      <w:r>
        <w:rPr>
          <w:rFonts w:ascii="Times New Roman" w:hAnsi="Times New Roman"/>
          <w:sz w:val="24"/>
        </w:rPr>
        <w:t>İletişim alanında nicel toplam puandaki ortalama artış istatistiksel olarak anlamlı bulunmamıştır. Buna karşılık görüşmelerde rahat ifade ortamı ve üç katılımcının iletişime ilişkin katkı algıları yer almaktadır. Rahat konuşabilme, iletişim becerisinin zaman içinde geliştiğini söylemekle aynı olmadığı için iki tür ifade analizde ayrılmıştır. Böylece olumlu görüşme anlatımları, nicel ölçümde anlamlı fark bulunduğu iddiası olarak kullanılmamıştır. Nicel ve nitel verilerin farklı kapsam ve ölçüm özellikleri, birlikte değerlendirmenin sınırları içinde korunmuştur.</w:t>
      </w:r>
    </w:p>
    <w:p>
      <w:pPr>
        <w:widowControl/>
        <w:spacing w:after="100" w:line="312" w:lineRule="auto"/>
        <w:jc w:val="both"/>
      </w:pPr>
      <w:r>
        <w:rPr>
          <w:rFonts w:ascii="Times New Roman" w:hAnsi="Times New Roman"/>
          <w:sz w:val="24"/>
        </w:rPr>
        <w:t>Öğrenme kalıcılığı algısı, maliyet, bekleme ve ders zamanının düzenlenmesi gibi konular, eldeki iki ölçeğin doğrudan değerlendirmediği süreç boyutlarını görünür kılmıştır. Katılımcıların bu konulardaki ifadeleri nitel bulgu olarak sunulmuş; nesnel öğrenme kalıcılığı, başarı puanı veya ölçülmemiş başka bir değişken üretilmemiştir. Bulguların bu birlikte sunumu, izleyen sonuç ve tartışma bölümüne veri temeli oluşturmaktadır; uygulamanın etkisini tek başına kanıtlayan bir neden-sonuç açıklaması değildir.</w:t>
      </w:r>
    </w:p>
    <w:p>
      <w:bookmarkStart w:id="8070" w:name="Ortak40_8070"/>
      <w:bookmarkStart w:id="5070" w:name="Birlesik_5070"/>
      <w:pPr>
        <w:pStyle w:val="Balk1"/>
        <w:keepNext/>
        <w:pageBreakBefore/>
        <w:widowControl/>
      </w:pPr>
      <w:r>
        <w:rPr>
          <w:rFonts w:ascii="Times New Roman" w:hAnsi="Times New Roman"/>
        </w:rPr>
        <w:t>5. SONUÇ, TARTIŞMA VE ÖNERİLER</w:t>
      </w:r>
      <w:bookmarkEnd w:id="5070"/>
      <w:bookmarkEnd w:id="8070"/>
    </w:p>
    <w:p>
      <w:pPr>
        <w:widowControl/>
        <w:jc w:val="both"/>
      </w:pPr>
      <w:r>
        <w:rPr>
          <w:rFonts w:ascii="Times New Roman" w:hAnsi="Times New Roman"/>
          <w:sz w:val="24"/>
        </w:rPr>
        <w:t>Bu bölümde doğal afetler temalı proje tabanlı öğrenme sürecinin nicel ve nitel bulguları birlikte değerlendirilmiştir. Her iki ölçeğin ön test–son test karşılaştırmaları aynı 40 öğretmen adayına, nitel değerlendirmeler ise bu grubun içindeki dört katılımcının görüşmelerine dayanmaktadır. Problem çözme ve iletişim sonuçları, ölçülen özelliklerin niteliği ve araştırmanın sınırları gözetilerek tartışılmış; uygulayıcılara ve araştırmacılara öneriler geliştirilmiştir.</w:t>
      </w:r>
    </w:p>
    <w:p>
      <w:bookmarkStart w:id="8071" w:name="Ortak40_8071"/>
      <w:bookmarkStart w:id="5071" w:name="Birlesik_5071"/>
      <w:pPr>
        <w:pStyle w:val="Balk2"/>
        <w:keepNext/>
        <w:widowControl/>
      </w:pPr>
      <w:r>
        <w:rPr>
          <w:rFonts w:ascii="Times New Roman" w:hAnsi="Times New Roman"/>
        </w:rPr>
        <w:t>5.1. Sonuçlar ve Tartışma</w:t>
      </w:r>
      <w:bookmarkEnd w:id="5071"/>
      <w:bookmarkEnd w:id="8071"/>
    </w:p>
    <w:p>
      <w:bookmarkStart w:id="8072" w:name="Ortak40_8072"/>
      <w:bookmarkStart w:id="5072" w:name="Birlesik_5072"/>
      <w:pPr>
        <w:pStyle w:val="Balk3"/>
        <w:keepNext/>
        <w:widowControl/>
      </w:pPr>
      <w:r>
        <w:rPr>
          <w:rFonts w:ascii="Times New Roman" w:hAnsi="Times New Roman"/>
        </w:rPr>
        <w:t>5.1.1. Problem çözmeye ilişkin sonuçlar ve tartışma</w:t>
      </w:r>
      <w:bookmarkEnd w:id="5072"/>
      <w:bookmarkEnd w:id="8072"/>
    </w:p>
    <w:p>
      <w:pPr>
        <w:widowControl/>
        <w:jc w:val="both"/>
      </w:pPr>
      <w:r>
        <w:rPr>
          <w:rFonts w:ascii="Times New Roman" w:hAnsi="Times New Roman"/>
          <w:b w:val="0"/>
        </w:rPr>
        <w:t xml:space="preserve">Araştırmada kullanılan mevcut puanlama düzenine göre Problem Çözme Becerileri Ölçeği toplam puan ortalaması ön testte 2,904 iken son testte 2,741 olmuştur. Düşük puanın daha olumlu problem çözme algısını gösterdiği bu değerlendirmede, toplam puandaki azalma son test lehine anlamlı bulunmuştur [t(39)=2,372; p=,023; </w:t>
      </w:r>
      <w:r>
        <w:rPr>
          <w:rFonts w:ascii="Times New Roman" w:hAnsi="Times New Roman"/>
          <w:i/>
        </w:rPr>
        <w:t>d</w:t>
      </w:r>
      <w:r>
        <w:rPr>
          <w:rFonts w:ascii="Times New Roman" w:hAnsi="Times New Roman"/>
          <w:i/>
          <w:vertAlign w:val="subscript"/>
        </w:rPr>
        <w:t>z</w:t>
      </w:r>
      <w:r>
        <w:rPr>
          <w:rFonts w:ascii="Times New Roman" w:hAnsi="Times New Roman"/>
          <w:b w:val="0"/>
        </w:rPr>
        <w:t>=,375]. Sonuç, katılımcıların uygulama sonrasında problem çözme yeterliklerini daha olumlu değerlendirdiklerine işaret etmektedir. Bununla birlikte etki büyüklüğünün küçük olması, değişimin büyüklüğü konusunda ölçülü bir değerlendirme yapılmasını gerektirmektedir. İstatistiksel anlamlılık, tek başına güçlü bir eğitimsel etki olarak yorumlanmamıştır.</w:t>
      </w:r>
    </w:p>
    <w:p>
      <w:pPr>
        <w:widowControl/>
        <w:jc w:val="both"/>
      </w:pPr>
      <w:r>
        <w:rPr>
          <w:rFonts w:ascii="Times New Roman" w:hAnsi="Times New Roman"/>
          <w:b w:val="0"/>
        </w:rPr>
        <w:t xml:space="preserve">Alt boyutlar aynı değişim örüntüsünü göstermemiştir. Problem Çözmeye Güvenme ortalaması 2,659’dan 2,386’ya düşmüş; bu değişim anlamlı ve orta büyüklükte bulunmuştur [t(39)=3,885; p&lt;,001; </w:t>
      </w:r>
      <w:r>
        <w:rPr>
          <w:rFonts w:ascii="Times New Roman" w:hAnsi="Times New Roman"/>
          <w:i/>
        </w:rPr>
        <w:t>d</w:t>
      </w:r>
      <w:r>
        <w:rPr>
          <w:rFonts w:ascii="Times New Roman" w:hAnsi="Times New Roman"/>
          <w:i/>
          <w:vertAlign w:val="subscript"/>
        </w:rPr>
        <w:t>z</w:t>
      </w:r>
      <w:r>
        <w:rPr>
          <w:rFonts w:ascii="Times New Roman" w:hAnsi="Times New Roman"/>
          <w:b w:val="0"/>
        </w:rPr>
        <w:t xml:space="preserve">=,614]. Kişisel Kontrol ortalaması 2,815’ten 2,525’e düşmüş ve değişim anlamlı bulunmuştur [t(39)=2,609; p=,013; </w:t>
      </w:r>
      <w:r>
        <w:rPr>
          <w:rFonts w:ascii="Times New Roman" w:hAnsi="Times New Roman"/>
          <w:i/>
        </w:rPr>
        <w:t>d</w:t>
      </w:r>
      <w:r>
        <w:rPr>
          <w:rFonts w:ascii="Times New Roman" w:hAnsi="Times New Roman"/>
          <w:i/>
          <w:vertAlign w:val="subscript"/>
        </w:rPr>
        <w:t>z</w:t>
      </w:r>
      <w:r>
        <w:rPr>
          <w:rFonts w:ascii="Times New Roman" w:hAnsi="Times New Roman"/>
          <w:b w:val="0"/>
        </w:rPr>
        <w:t xml:space="preserve">=,412]. Yaklaşma–Kaçınma Stili ortalamaları ise 3,033 ve 2,986 olup anlamlı farklılık göstermemiştir [t(39)=,553; p=,584; </w:t>
      </w:r>
      <w:r>
        <w:rPr>
          <w:rFonts w:ascii="Times New Roman" w:hAnsi="Times New Roman"/>
          <w:i/>
        </w:rPr>
        <w:t>d</w:t>
      </w:r>
      <w:r>
        <w:rPr>
          <w:rFonts w:ascii="Times New Roman" w:hAnsi="Times New Roman"/>
          <w:i/>
          <w:vertAlign w:val="subscript"/>
        </w:rPr>
        <w:t>z</w:t>
      </w:r>
      <w:r>
        <w:rPr>
          <w:rFonts w:ascii="Times New Roman" w:hAnsi="Times New Roman"/>
          <w:b w:val="0"/>
        </w:rPr>
        <w:t>=,087]. Dolayısıyla toplam puandaki olumlu değişim, problem çözmenin incelenen bütün boyutlarında eşit ölçüde gelişim gerçekleştiği anlamına gelmemektedir. Alt boyut sonuçları, çoklu karşılaştırmaların da dikkate alınması gereken ikincil bulgular olarak yorumlanmalıdır.</w:t>
      </w:r>
    </w:p>
    <w:p>
      <w:pPr>
        <w:widowControl/>
        <w:jc w:val="both"/>
      </w:pPr>
      <w:r>
        <w:rPr>
          <w:rFonts w:ascii="Times New Roman" w:hAnsi="Times New Roman"/>
          <w:b w:val="0"/>
        </w:rPr>
        <w:t>Görüşme verileri, bu sayısal sonuçların uygulama bağlamındaki karşılığını anlamaya yardımcı olmaktadır. Dört öğretmen adayı da problem çözme becerilerine katkı algısı bildirmiştir. Üç katılımcı yaratıcı düşünmeye, üç katılımcı araştırma becerisine ve bir katılımcı analitik düşünmeye ilişkin katkıdan açıkça söz etmiştir. Bu anlatılar, araştırma yapma, uygulanabilir bir fikir geliştirme ve tasarım sırasında ortaya çıkan engelleri ele alma deneyimlerini görünür kılmaktadır. Özellikle problem çözmeye güvenme boyutundaki değişim ile katılımcıların çözüm üretme konusunda kendilerini daha yeterli değerlendirmeleri arasında yorum düzeyinde bir uyum bulunmaktadır. Ancak görüşme kodları ile ölçek alt boyutları bire bir eşdeğer değildir; bireysel puanlar ile görüşmeler arasında ayrıca bir ilişki analizi yapılmadığından bu uyum, kişi düzeyinde doğrulanmış bir bağlantı olarak sunulamaz.</w:t>
      </w:r>
    </w:p>
    <w:p>
      <w:pPr>
        <w:widowControl/>
        <w:jc w:val="both"/>
      </w:pPr>
      <w:r>
        <w:rPr>
          <w:rFonts w:ascii="Times New Roman" w:hAnsi="Times New Roman"/>
          <w:b w:val="0"/>
        </w:rPr>
        <w:t>Problem belirleme ve çözüm geliştirme bütün katılımcılar için aynı biçimde ilerlememiştir. K1, K3 ve K4 uygun problem belirlemekte zorlandıklarını açıklarken K2 bu aşamayı daha kolay deneyimlemiştir. Dört görüşmede de tasarım veya uygulama güçlükleri bulunmakla birlikte güçlüklerle başa çıkma yolları farklılaşmıştır. K1 çözüm üretemediğinde problemi değiştirdiğini; diğer katılımcılar farklı bilgi, seçenek veya çözüm yollarıyla ilerlediklerini anlatmıştır. K4’ün çözümü değiştirmesi, başlangıçtaki problemi bırakmakla aynı davranış olarak değerlendirilmemiştir. Bu ayrımlar, ortalama puandaki değişimin tek ve ortak bir öğrenme yoluna indirgenemeyeceğini göstermektedir.</w:t>
      </w:r>
    </w:p>
    <w:p>
      <w:pPr>
        <w:widowControl/>
        <w:jc w:val="both"/>
      </w:pPr>
      <w:r>
        <w:rPr>
          <w:rFonts w:ascii="Times New Roman" w:hAnsi="Times New Roman"/>
          <w:b w:val="0"/>
        </w:rPr>
        <w:t>Yaklaşma–Kaçınma Stili boyutunda anlamlı değişim bulunmaması da bu çeşitlilikle birlikte düşünülmelidir. Bazı katılımcıların güçlük karşısında alternatifler üretmesi, bütün grubun problem durumlarına yaklaşma eğiliminin değiştiğini göstermemektedir. Görüşmelerin yalnızca dört kişiden alınması ve belirli proje deneyimlerine odaklanması, bu anlatılardan ölçek kapsamındaki genel eğilimlere doğrudan geçiş yapılmasını sınırlar. Sonuç olarak problem çözmeye ilişkin nicel ve nitel veriler, olumlu öz değerlendirmeler bakımından birbirini tamamlamakta; buna karşılık bütün katılımcılarda ve bütün boyutlarda aynı düzeyde bir gelişimi doğrulamamaktadır.</w:t>
      </w:r>
    </w:p>
    <w:p>
      <w:pPr>
        <w:widowControl/>
        <w:jc w:val="both"/>
      </w:pPr>
      <w:r>
        <w:rPr>
          <w:rFonts w:ascii="Times New Roman" w:hAnsi="Times New Roman"/>
          <w:b w:val="0"/>
        </w:rPr>
        <w:t>Araştırmada kontrol grubu bulunmadığından gözlenen değişim yalnızca proje tabanlı öğrenmeye bağlanamaz. Dersin diğer yaşantıları, zaman içinde oluşabilecek değişimler ve aynı ölçme aracının yeniden uygulanması gibi alternatif açıklamalar dışlanmamıştır. Ayrıca ölçek puanları, bir afet problemine verilen çözümün bilimsel doğruluğunu veya gerçek yaşamda problem çözme başarısını doğrudan ölçmemektedir. Bu nedenle ulaşılan sonuç, uygulama sürecine eşlik eden olumlu problem çözme algısı değişimiyle sınırlandırılmıştır.</w:t>
      </w:r>
    </w:p>
    <w:p>
      <w:bookmarkStart w:id="8073" w:name="Ortak40_8073"/>
      <w:bookmarkStart w:id="5073" w:name="Birlesik_5073"/>
      <w:pPr>
        <w:pStyle w:val="Balk3"/>
        <w:keepNext/>
        <w:widowControl/>
      </w:pPr>
      <w:r>
        <w:rPr>
          <w:rFonts w:ascii="Times New Roman" w:hAnsi="Times New Roman"/>
        </w:rPr>
        <w:t>5.1.2. İletişime ilişkin sonuçlar ve tartışma</w:t>
      </w:r>
      <w:bookmarkEnd w:id="5073"/>
      <w:bookmarkEnd w:id="8073"/>
    </w:p>
    <w:p>
      <w:pPr>
        <w:widowControl/>
        <w:jc w:val="both"/>
      </w:pPr>
      <w:r>
        <w:rPr>
          <w:rFonts w:ascii="Times New Roman" w:hAnsi="Times New Roman"/>
          <w:sz w:val="24"/>
        </w:rPr>
        <w:t xml:space="preserve">İletişim ölçeği toplam puan ortalaması ortak 40 kişilik grupta ön testte 3,828, son testte 3,923’tür. Ortalama artışına karşın fark anlamlı değildir [t(39)=1,695; p=,098; </w:t>
      </w:r>
      <w:r>
        <w:rPr>
          <w:i/>
        </w:rPr>
        <w:t>d</w:t>
      </w:r>
      <w:r>
        <w:rPr>
          <w:i/>
          <w:vertAlign w:val="subscript"/>
        </w:rPr>
        <w:t>z</w:t>
      </w:r>
      <w:r>
        <w:rPr/>
        <w:t>=,268]. İletişim İlkeleri ve Temel Beceriler, Kendini İfade Etme, Etkin Dinleme ve Sözel Olmayan İletişim ile İletişim Kurmaya İsteklilik boyutlarının hiçbirinde anlamlı fark saptanmamıştır. Dolayısıyla nicel sonuçlardan uygulamanın iletişim becerilerini anlamlı biçimde geliştirdiği sonucu çıkarılamaz.</w:t>
      </w:r>
    </w:p>
    <w:p>
      <w:pPr>
        <w:widowControl/>
        <w:jc w:val="both"/>
      </w:pPr>
      <w:r>
        <w:rPr>
          <w:rFonts w:ascii="Times New Roman" w:hAnsi="Times New Roman"/>
          <w:b w:val="0"/>
        </w:rPr>
        <w:t>Anlamlı fark bulunmaması, iletişimde hiçbir değişimin mümkün olmadığı veya uygulamanın her koşulda etkisiz olduğu anlamına da gelmemektedir. Bu araştırmada elde edilen veriler, kullanılan ölçüm ve analiz koşullarında anlamlı bir değişim ortaya koymamıştır. Ön test ortalamasının beşli puanlama sisteminde görece olumlu bir düzeyde olması değişim alanıyla ilgili bir soru doğurabilir; ancak bu durum tek başına tavan etkisini kanıtlamaz. Benzer biçimde sürenin yetersizliği, örneklem büyüklüğü veya katılımcıların önceki deneyimleri olası açıklamalar olarak düşünülebilir; bunlar ayrıca sınanmadığı için araştırmanın belirlenmiş nedenleri olarak sunulamaz.</w:t>
      </w:r>
    </w:p>
    <w:p>
      <w:pPr>
        <w:widowControl/>
        <w:jc w:val="both"/>
      </w:pPr>
      <w:r>
        <w:rPr>
          <w:rFonts w:ascii="Times New Roman" w:hAnsi="Times New Roman"/>
          <w:b w:val="0"/>
        </w:rPr>
        <w:t>Korkut Owen ve Bugay’ın (2014) geliştirme çalışmasında iletişim becerileri 25 maddeli ve dört faktörlü bir yapı içinde ele alınmaktadır. Bu kapsam, iletişimin tek bir davranıştan ibaret olmadığını dikkate almayı gerektirir. Grup içinde rahat konuşmak, başkasını dinlemek, sözsüz iletişim kurmak ve iletişim başlatmaya istekli olmak aynı özelliği bütünüyle temsil etmez. Dolayısıyla proje sırasında konuşma ve ortak karar verme fırsatlarının bulunması, ölçeğin bütün boyutlarında değişim oluştuğunun yeterli göstergesi değildir. Ölçek geliştirme çalışması, bu araştırmadaki uygulamanın etkililiğine ilişkin kanıt olarak değil, kullanılan ölçümün kapsamını açıklamak için değerlendirilmiştir.</w:t>
      </w:r>
    </w:p>
    <w:p>
      <w:pPr>
        <w:widowControl/>
        <w:jc w:val="both"/>
      </w:pPr>
      <w:r>
        <w:rPr>
          <w:rFonts w:ascii="Times New Roman" w:hAnsi="Times New Roman"/>
          <w:b w:val="0"/>
        </w:rPr>
        <w:t>Görüşmeler, iletişimle ilgili olumlu deneyimlerin nicel olarak anlamlı değişimden ayrılması gerektiğini göstermektedir. Dört katılımcı fikirlerini rahatça ifade edebildiklerini belirtmiş; arkadaşlarını tanımayı veya proje gruplarını kendilerinin oluşturmasını iletişimi kolaylaştıran koşullar arasında saymıştır. Bu ifadeler, uygulama sırasında destekleyici bir ortam bulunduğunu göstermektedir. Ancak başlangıçta da var olabilecek bir rahatlık durumundan hareketle iletişim becerisinin süreç içinde geliştiği söylenemez. Grup arkadaşlarını seçmek ile görüşmeye katılacak kişilerin rastgele seçilmesi farklı süreçlerdir.</w:t>
      </w:r>
    </w:p>
    <w:p>
      <w:pPr>
        <w:widowControl/>
        <w:jc w:val="both"/>
      </w:pPr>
      <w:r>
        <w:rPr>
          <w:rFonts w:ascii="Times New Roman" w:hAnsi="Times New Roman"/>
          <w:b w:val="0"/>
        </w:rPr>
        <w:t>K2, K3 ve K4 iletişimle ilgili katkıdan açıkça söz etmiştir. K3’ün başlangıçtaki çekingenliğini anlatarak süreçte daha fazla iletişim kurduğunu değerlendirmesi, katkının kişisel deneyim düzeyindeki bir örneğidir. Buna karşılık K2 belirli bir becerinin ne ölçüde geliştiği konusunda kesin yargıda bulunmamıştır. K1 ise fikir çeşitliliği, yardımlaşma ve ortak çözüm aramanın çalışmayı kolaylaştırmasına odaklanmıştır. K1’in yanıtı boş veri değildir; ancak açıkça adlandırılmayan bir iletişim gelişimi de bu yanıta eklenmemiştir. Böylece olumlu görüşler kadar katkının kapsamına ilişkin belirsizlikler de değerlendirmede korunmuştur.</w:t>
      </w:r>
    </w:p>
    <w:p>
      <w:pPr>
        <w:widowControl/>
        <w:jc w:val="both"/>
      </w:pPr>
      <w:r>
        <w:rPr>
          <w:rFonts w:ascii="Times New Roman" w:hAnsi="Times New Roman"/>
          <w:b w:val="0"/>
        </w:rPr>
        <w:t>İletişim konusunda iki veri türü aynı soruya bütünüyle aynı biçimde yanıt vermemektedir. Nicel ölçüm, daha geniş bir grubun ölçek puanlarının zaman içindeki değişimini; görüşmeler ise dört kişinin belirli bir proje sürecini nasıl deneyimlediğini göstermektedir. Görüşmelerde dinleme, tartışma, gerekçe sunma, oylama ve uzlaşma örneklerinin bulunması, iletişim pratiklerinin nasıl yaşandığını açıklamaktadır. Bu örnekler, anlamlı bulunmayan ölçek sonucunu anlamlı hâle getirmez. Araştırmada iletişim için ulaşılan temel sonuç, olumlu grup deneyimlerine ve bazı bireysel katkı algılarına karşın grup düzeyinde anlamlı bir ölçek değişiminin gösterilememiş olmasıdır.</w:t>
      </w:r>
    </w:p>
    <w:p>
      <w:bookmarkStart w:id="8074" w:name="Ortak40_8074"/>
      <w:bookmarkStart w:id="5074" w:name="Birlesik_5074"/>
      <w:pPr>
        <w:pStyle w:val="Balk3"/>
        <w:keepNext/>
        <w:widowControl/>
      </w:pPr>
      <w:r>
        <w:rPr>
          <w:rFonts w:ascii="Times New Roman" w:hAnsi="Times New Roman"/>
        </w:rPr>
        <w:t>5.1.3. Öğrenme deneyimleri ve uygulama güçlüklerine ilişkin tartışma</w:t>
      </w:r>
      <w:bookmarkEnd w:id="5074"/>
      <w:bookmarkEnd w:id="8074"/>
    </w:p>
    <w:p>
      <w:pPr>
        <w:widowControl/>
        <w:jc w:val="both"/>
      </w:pPr>
      <w:r>
        <w:rPr>
          <w:rFonts w:ascii="Times New Roman" w:hAnsi="Times New Roman"/>
          <w:b w:val="0"/>
        </w:rPr>
        <w:t>Dört görüşmede de doğal afetleri araştırma, edinilen bilgiyi projede kullanma ve bir ürün geliştirme yoluyla öğrenmeye ilişkin olumlu değerlendirmeler bulunmaktadır. Katılımcılar bilgilerin daha fazla akıllarında kaldığını düşündüklerini belirtmiştir. K2 ve K4, diğer grupların sunumlarından da yararlandıklarını açıklamıştır. Bu sonuçlar, doğal afetler temasının yalnızca bilgi edinme değil, bilgiyi bir problem ve ürün etrafında kullanma bağlamı sağladığını düşündürmektedir. Bununla birlikte doğal afet bilgisi, kavramsal başarı veya afet anında uygun davranış bu araştırmada ayrı bir performans ölçümüyle değerlendirilmediğinden bunların arttığı ileri sürülemez.</w:t>
      </w:r>
    </w:p>
    <w:p>
      <w:pPr>
        <w:widowControl/>
        <w:jc w:val="both"/>
      </w:pPr>
      <w:r>
        <w:rPr>
          <w:rFonts w:ascii="Times New Roman" w:hAnsi="Times New Roman"/>
          <w:b w:val="0"/>
        </w:rPr>
        <w:t>Kalıcılıkla ilgili sonuçların kapsamı özellikle korunmalıdır. Katılımcıların öğrenmeyi daha kalıcı bulması, kendi öğrenme deneyimlerine ilişkin anlamlı bir değerlendirmedir. Ancak gecikmeli test uygulanmadığından bu algı, bilginin belirli bir süre sonra ne kadar korunduğunu göstermez. Benzer biçimde K1’in yöntemi öğretmenliğe hazırlayıcı bulması, mesleki hazırlığa ilişkin kişisel bir değerlendirmedir; bütün öğretmen adaylarının öğretim yeterliğinin geliştiğini gösteren bir sonuç değildir. Bu ayrım, görüşmelerin değerini azaltmadan hangi sorulara yanıt verebildiklerini açıklamaktadır.</w:t>
      </w:r>
    </w:p>
    <w:p>
      <w:pPr>
        <w:widowControl/>
        <w:jc w:val="both"/>
      </w:pPr>
      <w:r>
        <w:rPr>
          <w:rFonts w:ascii="Times New Roman" w:hAnsi="Times New Roman"/>
          <w:b w:val="0"/>
        </w:rPr>
        <w:t>Benzer bir ders bağlamında yürütülen Çokyaşar Özdemir’in (2023) araştırmasında, fen bilgisi öğretmen adaylarının bilim tarihi temelli dijital hikâye hazırlama sürecini öğretici bulmalarıyla birlikte hazırlık, teknik uygulama ve zaman kullanımıyla ilgili güçlükler yaşadıkları bildirilmiştir. Mevcut çalışmada ürün geliştirmeye yönelik olumlu değerlendirmelerin uygulama güçlükleriyle birlikte bulunması, bu araştırmayla deneyimin niteliği bakımından benzerlik göstermektedir. Bununla birlikte dijital hikâye hazırlama ile doğal afetler temalı proje tabanlı öğrenme aynı uygulama değildir. Bu karşılaştırma, yöntemlerin eşdeğer etki ürettiği veya mevcut problem çözme sonucunun başka bir çalışmayla doğrulandığı anlamına gelmemektedir.</w:t>
      </w:r>
    </w:p>
    <w:p>
      <w:pPr>
        <w:widowControl/>
        <w:jc w:val="both"/>
      </w:pPr>
      <w:r>
        <w:rPr>
          <w:rFonts w:ascii="Times New Roman" w:hAnsi="Times New Roman"/>
          <w:b w:val="0"/>
        </w:rPr>
        <w:t>Yer bilimi dersinde öğrenme ürünleri geliştirmek, katılımcıların araştırma ve üretim deneyimlerini görünür kılarken teknik ve örgütsel gereksinimleri de ortaya çıkarabilmektedir. Çokyaşar Özdemir’in (2023) çalışmasındaki hazırlama ve dijitalleştirme güçlükleri ile bu çalışmadaki tasarım ve malzeme güçlükleri aynı sorunlar değildir; ancak her iki bağlamda da ürünün ortaya çıkması için içerik bilgisinin yanında uygulama desteğine ihtiyaç duyulmaktadır. Bu nedenle olumlu öğrenme algılarının varlığı, rehberlik ve kaynak gereksinimlerinin ortadan kalktığı biçiminde yorumlanmamalıdır.</w:t>
      </w:r>
    </w:p>
    <w:p>
      <w:pPr>
        <w:widowControl/>
        <w:jc w:val="both"/>
      </w:pPr>
      <w:r>
        <w:rPr>
          <w:rFonts w:ascii="Times New Roman" w:hAnsi="Times New Roman"/>
          <w:b w:val="0"/>
        </w:rPr>
        <w:t>Mevcut araştırmada K1, K2 ve K4 maliyet veya bütçe sınırlılığından söz etmiş; K1 ve K3 süreci yorucu bulmuştur. K4 tasarımın beklediğinden uzun sürdüğünü, K2 ve K3 bekleme nedeniyle zaman kaybı yaşadıklarını belirtmiştir. K2 ve K4 grupların farklı hızlarda ilerlemesine dikkat çekmiştir. Bu sonuçlar, zamanla ilgili güçlüğün yalnızca uygulamaya ayrılan toplam hafta sayısından kaynaklanmadığını göstermektedir. Tasarım için gereken süre, öğretim elemanından geri bildirim bekleme ve başka grupların ilerlemesine bağlı bekleme birbirinden ayrılmalıdır. Yalnızca toplam süreyi artırmak bu sorunların hepsini çözmeyebilir.</w:t>
      </w:r>
    </w:p>
    <w:p>
      <w:pPr>
        <w:widowControl/>
        <w:jc w:val="both"/>
      </w:pPr>
      <w:r>
        <w:rPr>
          <w:rFonts w:ascii="Times New Roman" w:hAnsi="Times New Roman"/>
          <w:b w:val="0"/>
        </w:rPr>
        <w:t>Başlangıçta daha fazla örnek ve rehberlik istemek de öğrencilere hazır problem veya hazır çözüm verilmesini istemekle eş tutulmamalıdır. K4’ün anlatımı, problem seçme sorumluluğunu korurken uygun bir problemin özelliklerini daha iyi anlamaya yönelik destek beklentisi içermektedir. Buradan hareketle rehberlik, öğrencinin kararını devralmak yerine özgünlük, yapılabilirlik, kaynak kullanımı ve problem–çözüm ilişkisini sorgulamasını sağlayacak biçimde düzenlenebilir. Bu yorum, araştırmada böyle bir rehberlik modelinin etkililiğinin sınandığı anlamına gelmemekte; katılımcı görüşlerinden geliştirilen bir uygulama önerisi oluşturmaktadır.</w:t>
      </w:r>
    </w:p>
    <w:p>
      <w:bookmarkStart w:id="8075" w:name="Ortak40_8075"/>
      <w:bookmarkStart w:id="5075" w:name="Birlesik_5075"/>
      <w:pPr>
        <w:pStyle w:val="Balk3"/>
        <w:keepNext/>
        <w:widowControl/>
      </w:pPr>
      <w:r>
        <w:rPr>
          <w:rFonts w:ascii="Times New Roman" w:hAnsi="Times New Roman"/>
        </w:rPr>
        <w:t>5.1.4. Nicel ve nitel sonuçların birlikte değerlendirilmesi</w:t>
      </w:r>
      <w:bookmarkEnd w:id="5075"/>
      <w:bookmarkEnd w:id="8075"/>
    </w:p>
    <w:p>
      <w:pPr>
        <w:widowControl/>
        <w:jc w:val="both"/>
      </w:pPr>
      <w:r>
        <w:rPr>
          <w:rFonts w:ascii="Times New Roman" w:hAnsi="Times New Roman"/>
          <w:b w:val="0"/>
        </w:rPr>
        <w:t>Veriler birlikte ele alındığında problem çözme ile iletişim bakımından farklı bir sonuç örüntüsü ortaya çıkmaktadır. Problem çözmede, ölçek toplam puanındaki olumlu değişim ile dört görüşmedeki katkı algıları genel yön bakımından örtüşmektedir. Görüşmeler, nicel değişimin gerçekleşmiş olabileceği deneyim alanlarını; araştırma, fikir geliştirme, seçenekleri değerlendirme ve tasarım güçlükleriyle başa çıkma üzerinden ayrıntılandırmaktadır. Ancak bu deneyimler ile puan değişimi arasında nedensel bir mekanizma doğrudan sınanmamıştır.</w:t>
      </w:r>
    </w:p>
    <w:p>
      <w:pPr>
        <w:widowControl/>
        <w:jc w:val="both"/>
      </w:pPr>
      <w:r>
        <w:rPr>
          <w:rFonts w:ascii="Times New Roman" w:hAnsi="Times New Roman"/>
          <w:b w:val="0"/>
        </w:rPr>
        <w:t>İletişimde ise olumlu süreç anlatıları ile anlamlı olmayan ölçek değişimi birlikte korunmaktadır. Bu durum, araştırmanın tek bir olumlu etki cümlesiyle özetlenmesini engellemektedir. Grup çalışması iletişim için bir bağlam sunmuş; bazı katılımcılar bu bağlamda kişisel katkı algısı bildirmiştir. Buna karşılık toplam puanda ve alt boyutlarda anlamlı değişim gösterilememiştir. Bu ayrım, grup çalışmasına katılmanın ve grup çalışmasını yararlı bulmanın iletişim gelişimiyle eşdeğer kabul edilmemesi gerektiğini ortaya koymaktadır.</w:t>
      </w:r>
    </w:p>
    <w:p>
      <w:pPr>
        <w:widowControl/>
        <w:jc w:val="both"/>
      </w:pPr>
      <w:r>
        <w:rPr>
          <w:rFonts w:ascii="Times New Roman" w:hAnsi="Times New Roman"/>
          <w:b w:val="0"/>
        </w:rPr>
        <w:t>Öğrenme ve süreç yönetimiyle ilgili nitel bulgular, nicel ölçeklerin kapsamı dışında kalan alanları da açıklamaktadır. Öğrenmenin kalıcılığına ilişkin algılar, maliyet, rehberlik gereksinimi ve bekleme süreleri, ölçeklerde doğrudan sınanmayan uygulama boyutlarıdır. Dolayısıyla nitel verilerin katkısı yalnızca nicel bulgulara destek sağlamak değildir; uygulamanın hangi koşullarda kolaylaştığını veya güçleştiğini de görünür kılmaktadır. Bulguların birlikte değerlendirilmesi, sonraki uygulamalarda hem öğrenme hedeflerinin hem süreç koşullarının planlanmasına yardımcı olmaktadır.</w:t>
      </w:r>
    </w:p>
    <w:p>
      <w:pPr>
        <w:widowControl/>
        <w:jc w:val="both"/>
      </w:pPr>
      <w:r>
        <w:rPr>
          <w:rFonts w:ascii="Times New Roman" w:hAnsi="Times New Roman"/>
          <w:b w:val="0"/>
        </w:rPr>
        <w:t>Araştırmanın genel sonucu, incelenen uygulama sürecinde problem çözme algısında küçük büyüklükte anlamlı bir olumlu değişim bulunduğu; iletişim ölçeğinde anlamlı değişim saptanmadığı; görüşmelerde ise problem çözme, ortak çalışma ve öğrenme deneyimleriyle ilgili olumlu değerlendirmelerin kaynak ve süreç yönetimi güçlükleriyle birlikte yer aldığıdır. Bu sonuçlar, uygulamanın bütün becerileri aynı ölçüde geliştirdiğini söylemek yerine kazanım alanlarını ve destek gereksinimlerini ayrı ayrı değerlendirmeyi gerektirmektedir.</w:t>
      </w:r>
    </w:p>
    <w:p>
      <w:bookmarkStart w:id="8076" w:name="Ortak40_8076"/>
      <w:bookmarkStart w:id="5076" w:name="Birlesik_5076"/>
      <w:pPr>
        <w:pStyle w:val="Balk3"/>
        <w:keepNext/>
        <w:widowControl/>
      </w:pPr>
      <w:r>
        <w:rPr>
          <w:rFonts w:ascii="Times New Roman" w:hAnsi="Times New Roman"/>
        </w:rPr>
        <w:t>5.1.5. Sonuçların yorumlanmasına ilişkin sınırlılıklar</w:t>
      </w:r>
      <w:bookmarkEnd w:id="5076"/>
      <w:bookmarkEnd w:id="8076"/>
    </w:p>
    <w:p>
      <w:pPr>
        <w:widowControl/>
        <w:jc w:val="both"/>
      </w:pPr>
      <w:r>
        <w:rPr>
          <w:rFonts w:ascii="Times New Roman" w:hAnsi="Times New Roman"/>
          <w:b w:val="0"/>
        </w:rPr>
        <w:t>Araştırma bir üniversitede, belirli bir sınıf ve ders bağlamında yürütülmüştür. Tek gruplu ön test–son test yapısı, sonuçların yalnızca uygulamaya bağlanmasını ve geniş öğretmen adayı topluluklarına genellenmesini sınırlar. Dersin sekiz haftalık akışı içinde ilk haftalarda tanıtım ve kuramsal hazırlık yapılmış, ön test ikinci haftada uygulanmıştır. Bu nedenle ön test, bütün ders yaşantılarından önce alınmış bir başlangıç ölçümü olarak düşünülmemelidir. Gelecek araştırmalarda başlangıç ölçümünün zamanlaması uygulamanın hangi bölümünün değerlendirildiğiyle açıkça ilişkilendirilmelidir.</w:t>
      </w:r>
    </w:p>
    <w:p>
      <w:pPr>
        <w:widowControl/>
        <w:jc w:val="both"/>
      </w:pPr>
      <w:r>
        <w:rPr>
          <w:rFonts w:ascii="Times New Roman" w:hAnsi="Times New Roman"/>
          <w:sz w:val="24"/>
        </w:rPr>
        <w:t>Nicel çalışma grubunun dört ölçümde ortak ve eksiksiz verisi bulunan 40 kişiyle sınırlandırılması, ölçümleri eşleşmeyen veya kullanılabilir kaydı bulunmayan kişiler için sonuç üretmeye olanak vermemektedir. Bu seçim veri bütünlüğü ölçütüne dayanmaktadır; sonuç puanlarına veya anlamlılık elde etme amacına göre yapılmamıştır. Bulgular ortak analiz grubuyla sınırlı tutulmuş; analiz dışında kalan kişilerle karşılaştırmalı bir farklılık incelemesi yapılmadığından olası seçilim etkileri dışlanmamıştır.</w:t>
      </w:r>
    </w:p>
    <w:p>
      <w:pPr>
        <w:widowControl/>
        <w:jc w:val="both"/>
      </w:pPr>
      <w:r>
        <w:rPr>
          <w:rFonts w:ascii="Times New Roman" w:hAnsi="Times New Roman"/>
          <w:sz w:val="24"/>
        </w:rPr>
        <w:t>Ölçekler öz değerlendirmeye dayalıdır; algılanan yeterlikteki değişim doğrudan gözlenen performansa eşit değildir. Bazı alt boyutlardaki sınırlı iç tutarlılık ve çoklu karşılaştırma durumu ayrıntılı sonuçların ihtiyatla yorumlanmasını gerektirir. Ana sonuçlar ortak 40 kişinin eşleştirilmiş analizlerine dayanmaktadır. Normal dağılımdan sapan farklar için yapılan Wilcoxon duyarlılık incelemeleri ana anlamlılık örüntüsünü değiştirmemiştir. Anlamlı olmayan sonuçlar, eşdeğerlik veya etkisizlik testi yapılmış gibi yorumlanmamıştır.</w:t>
      </w:r>
    </w:p>
    <w:p>
      <w:pPr>
        <w:widowControl/>
        <w:jc w:val="both"/>
      </w:pPr>
      <w:r>
        <w:rPr>
          <w:rFonts w:ascii="Times New Roman" w:hAnsi="Times New Roman"/>
          <w:b w:val="0"/>
        </w:rPr>
        <w:t>Görüşmeler dört öğretmen adayıyla, çalışma tamamlandıktan sonra gerçekleştirilmiştir. Katılımcılar rastgele seçilmiş olsa da dört görüşme bütün çalışma grubunun deneyimlerini temsil ettiği iddiası için yeterli değildir. Görüşmeler uygulama sırasındaki deneyimlerin sonradan anlatımına dayanmaktadır. Nitel frekanslar yalnızca ilgili görüşü dile getiren farklı katılımcı sayısını göstermekte, görüşün önemini veya bütün gruptaki yaygınlığını ölçmemektedir. Aynı kişinin birden fazla kodda yer alması nedeniyle kod frekansları toplanarak kişi sayısı hesaplanamaz.</w:t>
      </w:r>
    </w:p>
    <w:p>
      <w:pPr>
        <w:widowControl/>
        <w:jc w:val="both"/>
      </w:pPr>
      <w:r>
        <w:rPr>
          <w:rFonts w:ascii="Times New Roman" w:hAnsi="Times New Roman"/>
          <w:b w:val="0"/>
        </w:rPr>
        <w:t>Danışmanın K1’e ilişkin notları, ilgili yanıtların kodlanmasını karşılaştırmak için kullanılabilmiştir; bu notlar dört görüşmenin tamamında bağımsız ikinci kodlayıcı analizi yapıldığı anlamına gelmemektedir. Kodlayıcılar arası uyum katsayısı, katılımcı teyidi veya veri doygunluğu bu süreçte gösterilmediğinden bunlara dayanılarak güvenirlik iddiası kurulmamıştır. Ayrıca gecikmeli ölçüm, doğal afetlere ilişkin başarı testi ve yapılandırılmış beceri gözlemi bulunmaması, kalıcılık ve gerçek yaşam performansına ilişkin sonuçları sınırlandırmaktadır.</w:t>
      </w:r>
    </w:p>
    <w:p>
      <w:bookmarkStart w:id="8077" w:name="Ortak40_8077"/>
      <w:bookmarkStart w:id="5077" w:name="Birlesik_5077"/>
      <w:pPr>
        <w:pStyle w:val="Balk2"/>
        <w:keepNext/>
        <w:widowControl/>
      </w:pPr>
      <w:r>
        <w:rPr>
          <w:rFonts w:ascii="Times New Roman" w:hAnsi="Times New Roman"/>
        </w:rPr>
        <w:t>5.2. Öneriler</w:t>
      </w:r>
      <w:bookmarkEnd w:id="5077"/>
      <w:bookmarkEnd w:id="8077"/>
    </w:p>
    <w:p>
      <w:pPr>
        <w:widowControl/>
        <w:jc w:val="both"/>
      </w:pPr>
      <w:r>
        <w:rPr>
          <w:rFonts w:ascii="Times New Roman" w:hAnsi="Times New Roman"/>
          <w:b w:val="0"/>
        </w:rPr>
        <w:t>Öneriler araştırmada ortaya çıkan sonuç ve sınırlılıklardan hareketle geliştirilmiştir. Uygulamaya ilişkin öneriler, bu araştırmada etkililiği ayrıca sınanmış müdahaleler olarak değil, sonraki ders tasarımlarında değerlendirilmesi gereken düzenlemeler olarak ele alınmalıdır.</w:t>
      </w:r>
    </w:p>
    <w:p>
      <w:bookmarkStart w:id="8078" w:name="Ortak40_8078"/>
      <w:bookmarkStart w:id="5078" w:name="Birlesik_5078"/>
      <w:pPr>
        <w:pStyle w:val="Balk3"/>
        <w:keepNext/>
        <w:widowControl/>
      </w:pPr>
      <w:r>
        <w:rPr>
          <w:rFonts w:ascii="Times New Roman" w:hAnsi="Times New Roman"/>
        </w:rPr>
        <w:t>5.2.1. Uygulayıcılara yönelik öneriler</w:t>
      </w:r>
      <w:bookmarkEnd w:id="5078"/>
      <w:bookmarkEnd w:id="8078"/>
    </w:p>
    <w:p>
      <w:pPr>
        <w:widowControl/>
        <w:jc w:val="both"/>
      </w:pPr>
      <w:r>
        <w:rPr>
          <w:rFonts w:ascii="Times New Roman" w:hAnsi="Times New Roman"/>
          <w:b w:val="0"/>
        </w:rPr>
      </w:r>
      <w:r>
        <w:rPr>
          <w:rFonts w:ascii="Times New Roman" w:hAnsi="Times New Roman"/>
          <w:b/>
        </w:rPr>
        <w:t>Problem belirleme aşaması için ölçütlere dayalı rehberlik sağlanmalıdır.</w:t>
      </w:r>
      <w:r>
        <w:rPr>
          <w:rFonts w:ascii="Times New Roman" w:hAnsi="Times New Roman"/>
          <w:b w:val="0"/>
        </w:rPr>
        <w:t xml:space="preserve"> Üç katılımcının problem belirlemekte zorlanması dikkate alınarak başlangıçta özgünlük, bilimsel uygunluk, yapılabilirlik, süre ve kaynak gereksinimini sorgulatan kısa bir kontrol listesi kullanılabilir. Farklı nitelikte proje örnekleri, öğrencileri tek bir çözüme yöneltmeden tartışılabilir. Öğretim elemanı hazır problem vermek yerine adayların seçtikleri problemi gerekçelendirmelerini destekleyebilir.</w:t>
      </w:r>
    </w:p>
    <w:p>
      <w:pPr>
        <w:widowControl/>
        <w:jc w:val="both"/>
      </w:pPr>
      <w:r>
        <w:rPr>
          <w:rFonts w:ascii="Times New Roman" w:hAnsi="Times New Roman"/>
          <w:b w:val="0"/>
        </w:rPr>
      </w:r>
      <w:r>
        <w:rPr>
          <w:rFonts w:ascii="Times New Roman" w:hAnsi="Times New Roman"/>
          <w:b/>
        </w:rPr>
        <w:t>Tasarım süreci ara ürünler ve kısa geri bildirimlerle izlenmelidir.</w:t>
      </w:r>
      <w:r>
        <w:rPr>
          <w:rFonts w:ascii="Times New Roman" w:hAnsi="Times New Roman"/>
          <w:b w:val="0"/>
        </w:rPr>
        <w:t xml:space="preserve"> Dört görüşmede de uygulama veya tasarım güçlükleri bulunması nedeniyle proje tek bir son teslim tarihine bırakılmamalıdır. Problem tanımı, kaynak incelemesi, çözüm taslağı, prototip ve revizyon gibi ara ürünler belirlenebilir. Güçlükle karşılaşıldığında problemin mi, çözümün mü veya uygulama aracının mı değiştirilmesi gerektiği tartışılarak değişiklik kararlarının gerekçeleri kaydedilebilir.</w:t>
      </w:r>
    </w:p>
    <w:p>
      <w:pPr>
        <w:widowControl/>
        <w:jc w:val="both"/>
      </w:pPr>
      <w:r>
        <w:rPr>
          <w:rFonts w:ascii="Times New Roman" w:hAnsi="Times New Roman"/>
          <w:b w:val="0"/>
        </w:rPr>
      </w:r>
      <w:r>
        <w:rPr>
          <w:rFonts w:ascii="Times New Roman" w:hAnsi="Times New Roman"/>
          <w:b/>
        </w:rPr>
        <w:t>İletişim hedefleri grup çalışmasının içine açıkça yerleştirilmelidir.</w:t>
      </w:r>
      <w:r>
        <w:rPr>
          <w:rFonts w:ascii="Times New Roman" w:hAnsi="Times New Roman"/>
          <w:b w:val="0"/>
        </w:rPr>
        <w:t xml:space="preserve"> İletişim ölçeğinde anlamlı değişim bulunmaması dikkate alınarak yalnızca grup oluşturmakla yetinilmemelidir. Toplantılarda söz hakkının paylaşılması, önerilerin gerekçelendirilmesi, karşıt görüşün doğru biçimde özetlenmesi ve eleştiriye alternatif öneri eklenmesi gibi davranışlar açık hedefler hâline getirilebilir. Dönüşümlü kolaylaştırıcı ve raporlayıcı rolleriyle her öğrencinin katılımı izlenebilir; bu düzenlemelerin yararı ayrıca değerlendirilmelidir.</w:t>
      </w:r>
    </w:p>
    <w:p>
      <w:pPr>
        <w:widowControl/>
        <w:jc w:val="both"/>
      </w:pPr>
      <w:r>
        <w:rPr>
          <w:rFonts w:ascii="Times New Roman" w:hAnsi="Times New Roman"/>
          <w:b w:val="0"/>
        </w:rPr>
      </w:r>
      <w:r>
        <w:rPr>
          <w:rFonts w:ascii="Times New Roman" w:hAnsi="Times New Roman"/>
          <w:b/>
        </w:rPr>
        <w:t>Grup büyüklüğü görevlerin paylaşılabilirliğine göre planlanmalıdır.</w:t>
      </w:r>
      <w:r>
        <w:rPr>
          <w:rFonts w:ascii="Times New Roman" w:hAnsi="Times New Roman"/>
          <w:b w:val="0"/>
        </w:rPr>
        <w:t xml:space="preserve"> K2’nin küçük gruplara ilişkin tercihi ve ortak karar anlatıları dikkate alınarak her üyenin anlamlı sorumluluk alabildiği gruplar oluşturulabilir. Ancak tek bir katılımcının tercihinden hareketle üç veya dört kişinin her bağlamda en uygun büyüklük olduğu ileri sürülmemelidir. Grup büyüklüğü; görev kapsamı, malzeme, ders süresi ve katılım gözlemleriyle birlikte değerlendirilmelidir.</w:t>
      </w:r>
    </w:p>
    <w:p>
      <w:pPr>
        <w:widowControl/>
        <w:jc w:val="both"/>
      </w:pPr>
      <w:r>
        <w:rPr>
          <w:rFonts w:ascii="Times New Roman" w:hAnsi="Times New Roman"/>
          <w:b w:val="0"/>
        </w:rPr>
      </w:r>
      <w:r>
        <w:rPr>
          <w:rFonts w:ascii="Times New Roman" w:hAnsi="Times New Roman"/>
          <w:b/>
        </w:rPr>
        <w:t>Ders içi zaman, grupların bulunduğu aşamaya göre düzenlenmelidir.</w:t>
      </w:r>
      <w:r>
        <w:rPr>
          <w:rFonts w:ascii="Times New Roman" w:hAnsi="Times New Roman"/>
          <w:b w:val="0"/>
        </w:rPr>
        <w:t xml:space="preserve"> Bekleme ve farklı ilerleme hızlarına ilişkin görüşler doğrultusunda, erken tamamlayan gruplara kaynak doğrulama, çözümünü test etme veya akran geri bildirimi gibi görevler verilebilir. Geri bildirim saatleri ve ara teslimler önceden duyurulabilir. Serbest çalışma süresi kaldırılmak yerine amaçları ve beklenen çıktıları belirlenerek kullanılabilir.</w:t>
      </w:r>
    </w:p>
    <w:p>
      <w:pPr>
        <w:widowControl/>
        <w:jc w:val="both"/>
      </w:pPr>
      <w:r>
        <w:rPr>
          <w:rFonts w:ascii="Times New Roman" w:hAnsi="Times New Roman"/>
          <w:b w:val="0"/>
        </w:rPr>
      </w:r>
      <w:r>
        <w:rPr>
          <w:rFonts w:ascii="Times New Roman" w:hAnsi="Times New Roman"/>
          <w:b/>
        </w:rPr>
        <w:t>Malzeme ve bütçe gereksinimleri başlangıçta görünür kılınmalıdır.</w:t>
      </w:r>
      <w:r>
        <w:rPr>
          <w:rFonts w:ascii="Times New Roman" w:hAnsi="Times New Roman"/>
          <w:b w:val="0"/>
        </w:rPr>
        <w:t xml:space="preserve"> Üç katılımcının maliyet veya bütçe güçlüğü belirtmesi nedeniyle ortak malzeme havuzu, yeniden kullanılabilir araçlar ve düşük maliyetli alternatifler planlanabilir. Değerlendirmede ürünün pahalı veya gösterişli olması yerine bilimsel gerekçesi, probleme uygunluğu ve geliştirme süreci esas alınabilir. Böylece kaynak farklılıklarının öğrenme fırsatlarını sınırlaması azaltılmaya çalışılabilir.</w:t>
      </w:r>
    </w:p>
    <w:p>
      <w:pPr>
        <w:widowControl/>
        <w:jc w:val="both"/>
      </w:pPr>
      <w:r>
        <w:rPr>
          <w:rFonts w:ascii="Times New Roman" w:hAnsi="Times New Roman"/>
          <w:b w:val="0"/>
        </w:rPr>
      </w:r>
      <w:r>
        <w:rPr>
          <w:rFonts w:ascii="Times New Roman" w:hAnsi="Times New Roman"/>
          <w:b/>
        </w:rPr>
        <w:t>Doğal afet projelerinde bilgi doğruluğu ve öğrenme paylaşımı gözetilmelidir.</w:t>
      </w:r>
      <w:r>
        <w:rPr>
          <w:rFonts w:ascii="Times New Roman" w:hAnsi="Times New Roman"/>
          <w:b w:val="0"/>
        </w:rPr>
        <w:t xml:space="preserve"> Adaylardan kullandıkları bilgilerin kaynağını açıklamaları ve önerdikleri çözümün hangi koşullarda işe yarayabileceğini tartışmaları istenebilir. Diğer grupların sunumlarından öğrenmeye ilişkin görüşler doğrultusunda sunumlar soru, geri bildirim ve karşılaştırma etkinlikleriyle desteklenebilir. Proje başarısından doğrudan afet anında doğru davranış yeterliği sonucu çıkarılmamalıdır.</w:t>
      </w:r>
    </w:p>
    <w:p>
      <w:pPr>
        <w:widowControl/>
        <w:jc w:val="both"/>
      </w:pPr>
      <w:r>
        <w:rPr>
          <w:rFonts w:ascii="Times New Roman" w:hAnsi="Times New Roman"/>
          <w:b w:val="0"/>
        </w:rPr>
      </w:r>
      <w:r>
        <w:rPr>
          <w:rFonts w:ascii="Times New Roman" w:hAnsi="Times New Roman"/>
          <w:b/>
        </w:rPr>
        <w:t>Öz değerlendirmeler süreç kanıtlarıyla birlikte kullanılmalıdır.</w:t>
      </w:r>
      <w:r>
        <w:rPr>
          <w:rFonts w:ascii="Times New Roman" w:hAnsi="Times New Roman"/>
          <w:b w:val="0"/>
        </w:rPr>
        <w:t xml:space="preserve"> Proje günlükleri, taslaklar, revizyon gerekçeleri ve kısa gözlem notları öğrencilerin kendi değerlendirmelerine eşlik edebilir. Problem çözme algısındaki olumlu değişim desteklenirken iletişim becerileri için başlangıç ve süreç hedefleri ayrı ayrı izlenebilir. Bu araçlar ölçme amacına uygun hazırlanmalı; kullanılmadan önce öğrencilere ölçütleri açıklanmalıdır.</w:t>
      </w:r>
    </w:p>
    <w:p>
      <w:bookmarkStart w:id="8079" w:name="Ortak40_8079"/>
      <w:bookmarkStart w:id="5079" w:name="Birlesik_5079"/>
      <w:pPr>
        <w:pStyle w:val="Balk3"/>
        <w:keepNext/>
        <w:widowControl/>
      </w:pPr>
      <w:r>
        <w:rPr>
          <w:rFonts w:ascii="Times New Roman" w:hAnsi="Times New Roman"/>
        </w:rPr>
        <w:t>5.2.2. Araştırmacılara yönelik öneriler</w:t>
      </w:r>
      <w:bookmarkEnd w:id="5079"/>
      <w:bookmarkEnd w:id="8079"/>
    </w:p>
    <w:p>
      <w:pPr>
        <w:widowControl/>
        <w:jc w:val="both"/>
      </w:pPr>
      <w:r>
        <w:rPr>
          <w:rFonts w:ascii="Times New Roman" w:hAnsi="Times New Roman"/>
          <w:b w:val="0"/>
        </w:rPr>
      </w:r>
      <w:r>
        <w:rPr>
          <w:rFonts w:ascii="Times New Roman" w:hAnsi="Times New Roman"/>
          <w:b/>
        </w:rPr>
        <w:t>Karşılaştırmalı araştırmalar tasarlanmalıdır.</w:t>
      </w:r>
      <w:r>
        <w:rPr>
          <w:rFonts w:ascii="Times New Roman" w:hAnsi="Times New Roman"/>
          <w:b w:val="0"/>
        </w:rPr>
        <w:t xml:space="preserve"> Uygulamanın katkısını zamanın ve dersin diğer etkilerinden ayırmak için uygun bir karşılaştırma grubunun bulunduğu çalışmalar yürütülebilir. Başlangıç düzeyleri ve ders koşulları dikkate alınmalı, mümkün olduğunda gruplara atama rastgele yapılmalıdır. Farklı kurum ve sınıflarda yürütülecek tekrar çalışmalarında örneklemin özellikleri açıkça raporlanmalıdır.</w:t>
      </w:r>
    </w:p>
    <w:p>
      <w:pPr>
        <w:widowControl/>
        <w:jc w:val="both"/>
      </w:pPr>
      <w:r>
        <w:rPr>
          <w:rFonts w:ascii="Times New Roman" w:hAnsi="Times New Roman"/>
          <w:b w:val="0"/>
        </w:rPr>
      </w:r>
      <w:r>
        <w:rPr>
          <w:rFonts w:ascii="Times New Roman" w:hAnsi="Times New Roman"/>
          <w:b/>
        </w:rPr>
        <w:t>Başlangıç, süreç ve izleme ölçümleri birlikte planlanmalıdır.</w:t>
      </w:r>
      <w:r>
        <w:rPr>
          <w:rFonts w:ascii="Times New Roman" w:hAnsi="Times New Roman"/>
          <w:b w:val="0"/>
        </w:rPr>
        <w:t xml:space="preserve"> Ön testin uygulamanın hangi aşamasından önce alındığı açıkça belirlenmeli; gecikmeli ölçümlerle değişimin sürüp sürmediği incelenmelidir. Kalıcılık iddiası araştırılacaksa doğal afetlere ilişkin öğrenme, uygun başarı veya performans araçlarıyla ve belirli bir izleme aralığında değerlendirilmelidir. Tek bir uygulama sonrası görüşme, gecikmeli öğrenme ölçümünün yerine kullanılmamalıdır.</w:t>
      </w:r>
    </w:p>
    <w:p>
      <w:pPr>
        <w:widowControl/>
        <w:jc w:val="both"/>
      </w:pPr>
      <w:r>
        <w:rPr>
          <w:rFonts w:ascii="Times New Roman" w:hAnsi="Times New Roman"/>
          <w:b w:val="0"/>
        </w:rPr>
      </w:r>
      <w:r>
        <w:rPr>
          <w:rFonts w:ascii="Times New Roman" w:hAnsi="Times New Roman"/>
          <w:b/>
        </w:rPr>
        <w:t>Algılanan beceri ile gösterilen performans ayrıştırılmalıdır.</w:t>
      </w:r>
      <w:r>
        <w:rPr>
          <w:rFonts w:ascii="Times New Roman" w:hAnsi="Times New Roman"/>
          <w:b w:val="0"/>
        </w:rPr>
        <w:t xml:space="preserve"> Problem çözme için yeni bir probleme çözüm üretme, alternatifleri gerekçelendirme ve çözümü gözden geçirme görevleri kullanılabilir. İletişim için yapılandırılmış grup gözlemleri, akran değerlendirmeleri ve görev temelli ölçümlerden yararlanılabilir. Böylece öz değerlendirme puanlarının gözlenen davranışlarla ne ölçüde örtüştüğü incelenebilir.</w:t>
      </w:r>
    </w:p>
    <w:p>
      <w:pPr>
        <w:widowControl/>
        <w:jc w:val="both"/>
      </w:pPr>
      <w:r>
        <w:rPr>
          <w:rFonts w:ascii="Times New Roman" w:hAnsi="Times New Roman"/>
          <w:b w:val="0"/>
        </w:rPr>
      </w:r>
      <w:r>
        <w:rPr>
          <w:rFonts w:ascii="Times New Roman" w:hAnsi="Times New Roman"/>
          <w:b/>
        </w:rPr>
        <w:t>İletişim için hedeflenmiş destekler ayrıca sınanmalıdır.</w:t>
      </w:r>
      <w:r>
        <w:rPr>
          <w:rFonts w:ascii="Times New Roman" w:hAnsi="Times New Roman"/>
          <w:b w:val="0"/>
        </w:rPr>
        <w:t xml:space="preserve"> Grup çalışması ile yapılandırılmış iletişim öğretiminin katkıları karşılaştırılabilir. Gerekçeli tartışma, etkin dinleme, rol dönüşümü ve akran geri bildirimi gibi bileşenlerin uygulandığı ve uygulanmadığı koşullar incelenebilir. Bu araştırmada anlamlı fark bulunmaması, yeni çalışmalarda önceden belirlenmiş iletişim hedefleri ve uygun örneklem planlaması yapılmasına gerekçe oluşturmaktadır.</w:t>
      </w:r>
    </w:p>
    <w:p>
      <w:pPr>
        <w:widowControl/>
        <w:jc w:val="both"/>
      </w:pPr>
      <w:r>
        <w:rPr>
          <w:rFonts w:ascii="Times New Roman" w:hAnsi="Times New Roman"/>
          <w:b w:val="0"/>
        </w:rPr>
      </w:r>
      <w:r>
        <w:rPr>
          <w:rFonts w:ascii="Times New Roman" w:hAnsi="Times New Roman"/>
          <w:b/>
        </w:rPr>
        <w:t>Puanlama ve analiz kararları önceden açıklaştırılmalıdır.</w:t>
      </w:r>
      <w:r>
        <w:rPr>
          <w:rFonts w:ascii="Times New Roman" w:hAnsi="Times New Roman"/>
          <w:b w:val="0"/>
        </w:rPr>
        <w:t xml:space="preserve"> Kullanılan ölçek sürümü, ters puanlanan ve puanlamaya alınmayan maddeler, alt boyut yapısı ve eksik veri işlemleri kaynaklarıyla birlikte belirtilmelidir. Eşleştirilmiş ölçümlerin analizinde fark puanlarına ilişkin varsayımlar değerlendirilmeli; gerekli durumlarda uygun alternatif veya duyarlılık analizleri planlanmalıdır. Alt boyut karşılaştırmaları için çoklu test yaklaşımı önceden belirlenmeli; etki büyüklükleri ve güven aralıkları raporlanmalıdır.</w:t>
      </w:r>
    </w:p>
    <w:p>
      <w:pPr>
        <w:widowControl/>
        <w:jc w:val="both"/>
      </w:pPr>
      <w:r>
        <w:rPr>
          <w:rFonts w:ascii="Times New Roman" w:hAnsi="Times New Roman"/>
          <w:b w:val="0"/>
        </w:rPr>
      </w:r>
      <w:r>
        <w:rPr>
          <w:rFonts w:ascii="Times New Roman" w:hAnsi="Times New Roman"/>
          <w:b/>
        </w:rPr>
        <w:t>Eşleşmeyen veriler ve güvenirlik ayrı olarak değerlendirilmelidir.</w:t>
      </w:r>
      <w:r>
        <w:rPr>
          <w:rFonts w:ascii="Times New Roman" w:hAnsi="Times New Roman"/>
          <w:b w:val="0"/>
        </w:rPr>
        <w:t xml:space="preserve"> Ön test ve son teste katılım akışı, yinelenen kayıtların ele alınışı ve analiz dışı bırakma nedenleri şeffaf biçimde sunulmalıdır. Ölçeklerin güvenirliği kullanılan örneklem ve ölçüm zamanları için incelenmeli; aynı kişilerin tekrarlı ölçümleri bağımsız gözlemler gibi birleştirilerek yorumlanmamalıdır. Planlanan örneklem büyüklüğü, araştırmanın temel sonucu ve beklenen değişim dikkate alınarak gerekçelendirilmelidir.</w:t>
      </w:r>
    </w:p>
    <w:p>
      <w:pPr>
        <w:widowControl/>
        <w:jc w:val="both"/>
      </w:pPr>
      <w:r>
        <w:rPr>
          <w:rFonts w:ascii="Times New Roman" w:hAnsi="Times New Roman"/>
          <w:b w:val="0"/>
        </w:rPr>
      </w:r>
      <w:r>
        <w:rPr>
          <w:rFonts w:ascii="Times New Roman" w:hAnsi="Times New Roman"/>
          <w:b/>
        </w:rPr>
        <w:t>Nitel örnekleme araştırma sorusuyla ilişkilendirilmelidir.</w:t>
      </w:r>
      <w:r>
        <w:rPr>
          <w:rFonts w:ascii="Times New Roman" w:hAnsi="Times New Roman"/>
          <w:b w:val="0"/>
        </w:rPr>
        <w:t xml:space="preserve"> Daha fazla sayıda ve farklı deneyimlere sahip öğretmen adaylarıyla görüşülerek olumlu, sınırlı ve olumsuz deneyimler birlikte incelenebilir. Nicel değişimin açıklanması amaçlanıyorsa değişim örüntülerine göre amaçlı seçim yapılabilir; böyle bir seçim kullanıldığında mevcut araştırmadaki rastgele görüşmeci seçiminden farklı olduğu açıkça belirtilmelidir. Görüşmeler uygulamanın farklı aşamalarına yayılarak sonradan hatırlamaya dayalı anlatımlar süreç verileriyle karşılaştırılabilir.</w:t>
      </w:r>
    </w:p>
    <w:p>
      <w:pPr>
        <w:widowControl/>
        <w:jc w:val="both"/>
      </w:pPr>
      <w:r>
        <w:rPr>
          <w:rFonts w:ascii="Times New Roman" w:hAnsi="Times New Roman"/>
          <w:b w:val="0"/>
        </w:rPr>
      </w:r>
      <w:r>
        <w:rPr>
          <w:rFonts w:ascii="Times New Roman" w:hAnsi="Times New Roman"/>
          <w:b/>
        </w:rPr>
        <w:t>Kodlama ve veri bütünleştirme süreçleri geliştirilebilir.</w:t>
      </w:r>
      <w:r>
        <w:rPr>
          <w:rFonts w:ascii="Times New Roman" w:hAnsi="Times New Roman"/>
          <w:b w:val="0"/>
        </w:rPr>
        <w:t xml:space="preserve"> Açık kod tanımları ve karşıt örnekler korunmalı; bağımsız ikinci kodlayıcı kullanılıyorsa kapsanan veri, uzlaşma süreci ve uygun uyum göstergeleri raporlanmalıdır. Nicel ölçümler ile nitel deneyimler kişi düzeyinde ilişkilendirilecekse kimlik gizliliği korunarak eşleştirme yapılmalıdır. Araştırma deseni, veri toplama sırası kadar bir veri türünün diğerinin seçimini, sorularını veya yorumunu nasıl etkilediği açıklanarak adlandırılmalıdır.</w:t>
      </w:r>
    </w:p>
    <w:p>
      <w:pPr>
        <w:widowControl/>
        <w:jc w:val="both"/>
      </w:pPr>
      <w:r>
        <w:rPr>
          <w:rFonts w:ascii="Times New Roman" w:hAnsi="Times New Roman"/>
          <w:b w:val="0"/>
        </w:rPr>
      </w:r>
      <w:r>
        <w:rPr>
          <w:rFonts w:ascii="Times New Roman" w:hAnsi="Times New Roman"/>
          <w:b/>
        </w:rPr>
        <w:t>Uygulama koşulları ayrıca araştırılmalıdır.</w:t>
      </w:r>
      <w:r>
        <w:rPr>
          <w:rFonts w:ascii="Times New Roman" w:hAnsi="Times New Roman"/>
          <w:b w:val="0"/>
        </w:rPr>
        <w:t xml:space="preserve"> Başlangıç rehberliği, malzeme desteği, grup büyüklüğü ve aşamaya göre görev düzenlemesinin öğrenme deneyimlerine nasıl yansıdığı karşılaştırmalı veya süreç odaklı araştırmalarla incelenebilir. Böylece mevcut görüşmelerde dile getirilen düzenleme beklentilerinin farklı öğrenci gruplarında da karşılığı olup olmadığı ve hangi desteklerin hangi güçlükleri azalttığı değerlendirilebilir.</w:t>
      </w:r>
    </w:p>
    <w:p w14:paraId="7E8B3D49" w14:textId="08256E42" w:rsidR="000F625B" w:rsidRDefault="000F625B" w:rsidP="000F625B">
      <w:bookmarkStart w:id="8080" w:name="Ortak40_8080"/>
      <w:bookmarkStart w:id="5080" w:name="Birlesik_5080"/>
      <w:pPr>
        <w:pStyle w:val="Balk1"/>
        <w:keepNext/>
        <w:pageBreakBefore/>
        <w:widowControl/>
      </w:pPr>
      <w:bookmarkStart w:id="38" w:name="_Toc236354044"/>
      <w:r>
        <w:t>KAYNAKÇA</w:t>
      </w:r>
      <w:bookmarkEnd w:id="38"/>
      <w:bookmarkEnd w:id="5080"/>
      <w:bookmarkEnd w:id="8080"/>
    </w:p>
    <w:p w14:paraId="08F863B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Bell, S. (2010). Project-based learning for the 21st century: Skills for the future. </w:t>
      </w:r>
      <w:r>
        <w:rPr>
          <w:i/>
        </w:rPr>
        <w:t>The Clearing House: A Journal of Educational Strategies, Issues and Ideas, 83</w:t>
      </w:r>
      <w:r>
        <w:t>(2), 39-43.</w:t>
      </w:r>
    </w:p>
    <w:p w14:paraId="3C16312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Benzer, E. (2010). </w:t>
      </w:r>
      <w:r>
        <w:rPr>
          <w:i/>
        </w:rPr>
        <w:t>Proje tabanlı öğrenme yaklaşımıyla hazırlanan çevre eğitimi dersinin fen bilgisi öğretmen adaylarının çevre okuryazarlığına etkisi</w:t>
      </w:r>
      <w:r>
        <w:t xml:space="preserve"> [Yayımlanmamış doktora tezi]. Marmara Üniversitesi, Eğitim Bilimleri Enstitüsü.</w:t>
      </w:r>
    </w:p>
    <w:p w14:paraId="3A69996A"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Büyüköztürk, Ş., Kılıç Çakmak, E., Akgün, Ö. E., Karadeniz, Ş., &amp; Demirel, F. (2018). </w:t>
      </w:r>
      <w:r>
        <w:rPr>
          <w:i/>
        </w:rPr>
        <w:t>Bilimsel araştırma yöntemleri</w:t>
      </w:r>
      <w:r>
        <w:t>. Pegem Akademi.</w:t>
      </w:r>
    </w:p>
    <w:p w14:paraId="2ECFBD5B"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Çalışkan, C. (2019). </w:t>
      </w:r>
      <w:r>
        <w:rPr>
          <w:i/>
        </w:rPr>
        <w:t>Afet risk azaltımı eğitimi ve yönetimi açısından ilkokul ve ortaokul öğretim programlarının değerlendirilmesi</w:t>
      </w:r>
      <w:r>
        <w:t xml:space="preserve"> [Yayımlanmamış yüksek lisans tezi]. Çanakkale Onsekiz Mart Üniversitesi.</w:t>
      </w:r>
    </w:p>
    <w:p>
      <w:pPr>
        <w:widowControl/>
        <w:spacing w:line="276" w:lineRule="auto" w:after="160"/>
        <w:ind w:left="709" w:hanging="709"/>
      </w:pPr>
      <w:r>
        <w:t xml:space="preserve">Çokyaşar Özdemir, G. (2023). </w:t>
      </w:r>
      <w:r>
        <w:rPr>
          <w:i/>
        </w:rPr>
        <w:t>Yer bilimi dersinde bilim tarihi temelli dijital hikâye uygulamalarının etkililiğinin incelenmesi: Fen bilgisi öğretmen adayları örneği</w:t>
      </w:r>
      <w:r>
        <w:t xml:space="preserve"> [Yüksek lisans tezi, Marmara Üniversitesi]. YÖK Ulusal Tez Merkezi. (Tez No. 830106).</w:t>
      </w:r>
    </w:p>
    <w:p w14:paraId="0200A97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Heppner, P. P., &amp; Petersen, C. H. (1982). The development and implications of a personal problem-solving inventory. </w:t>
      </w:r>
      <w:r>
        <w:rPr>
          <w:i/>
        </w:rPr>
        <w:t>Journal of Counseling Psychology, 29</w:t>
      </w:r>
      <w:r>
        <w:t>(1), 66-75. https://doi.org/10.1037/0022-0167.29.1.66</w:t>
      </w:r>
    </w:p>
    <w:p w14:paraId="2493809A"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Holm, M. (2011). Project-based instruction: A review of the literature on effectiveness in prekindergarten through 12th grade classrooms. </w:t>
      </w:r>
      <w:r>
        <w:rPr>
          <w:i/>
        </w:rPr>
        <w:t>Rivier Academic Journal, 7</w:t>
      </w:r>
      <w:r>
        <w:t>(2), 1-13.</w:t>
      </w:r>
    </w:p>
    <w:p w14:paraId="4F9288D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Jonassen, D. H. (1999). Designing constructivist learning environments. In C. M. Reigeluth (Ed.), </w:t>
      </w:r>
      <w:r>
        <w:rPr>
          <w:i/>
        </w:rPr>
        <w:t>Instructional-design theories and models: A new paradigm of instructional theory</w:t>
      </w:r>
      <w:r>
        <w:t xml:space="preserve"> (Vol. 2, pp. 215-239). Lawrence Erlbaum Associates.</w:t>
      </w:r>
    </w:p>
    <w:p w14:paraId="44CB7850"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Kitagawa, K. (2021). Conceptualising disaster education. </w:t>
      </w:r>
      <w:r>
        <w:rPr>
          <w:i/>
        </w:rPr>
        <w:t>Education Sciences, 11</w:t>
      </w:r>
      <w:r>
        <w:t>(5), Article 233. https://doi.org/10.3390/educsci11050233</w:t>
      </w:r>
    </w:p>
    <w:p w14:paraId="4CD35D9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Kokotsaki, D., Menzies, V., &amp; Wiggins, A. (2016). Project-based learning: A review of the literature. </w:t>
      </w:r>
      <w:r>
        <w:rPr>
          <w:i/>
        </w:rPr>
        <w:t>Improving Schools, 19</w:t>
      </w:r>
      <w:r>
        <w:t>(3), 267-277.</w:t>
      </w:r>
    </w:p>
    <w:p w14:paraId="63BA637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Korkut Owen, F., &amp; Bugay, A. (2014). İletişim Becerileri Ölçeği’nin geliştirilmesi: Geçerlik ve güvenirlik çalışması. </w:t>
      </w:r>
      <w:r>
        <w:rPr>
          <w:i/>
        </w:rPr>
        <w:t>Mersin Üniversitesi Eğitim Fakültesi Dergisi, 10</w:t>
      </w:r>
      <w:r>
        <w:t>(2), 51-64. https://doi.org/10.17860/efd.95021</w:t>
      </w:r>
    </w:p>
    <w:p w14:paraId="00869E82"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Krajcik, J. S., &amp; Blumenfeld, P. C. (2006). Project-based learning. In R. K. Sawyer (Ed.), </w:t>
      </w:r>
      <w:r>
        <w:rPr>
          <w:i/>
        </w:rPr>
        <w:t>The Cambridge handbook of the learning sciences</w:t>
      </w:r>
      <w:r>
        <w:t xml:space="preserve"> (pp. 317-334). Cambridge University Press.</w:t>
      </w:r>
    </w:p>
    <w:p w14:paraId="477B7F4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Krajcik, J. S., &amp; Shin, N. (2014). Project-based learning. In R. K. Sawyer (Ed.), </w:t>
      </w:r>
      <w:r>
        <w:rPr>
          <w:i/>
        </w:rPr>
        <w:t>The Cambridge handbook of the learning sciences</w:t>
      </w:r>
      <w:r>
        <w:t xml:space="preserve"> (2nd ed., pp. 275-297). Cambridge University Press.</w:t>
      </w:r>
    </w:p>
    <w:p w14:paraId="67CE740C"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(2013). </w:t>
      </w:r>
      <w:r>
        <w:rPr>
          <w:i/>
        </w:rPr>
        <w:t>Fen bilimleri dersi öğretim programı</w:t>
      </w:r>
      <w:r>
        <w:t>. Millî Eğitim Bakanlığı.</w:t>
      </w:r>
    </w:p>
    <w:p w14:paraId="7646F0E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(2018). </w:t>
      </w:r>
      <w:r>
        <w:rPr>
          <w:i/>
        </w:rPr>
        <w:t>Fen bilimleri dersi öğretim programı (İlkokul ve ortaokul 3, 4, 5, 6, 7 ve 8</w:t>
      </w:r>
      <w:r>
        <w:t>. sınıflar). Millî Eğitim Bakanlığı.</w:t>
      </w:r>
    </w:p>
    <w:p w14:paraId="1A95F55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(2024). </w:t>
      </w:r>
      <w:r>
        <w:rPr>
          <w:i/>
        </w:rPr>
        <w:t>Türkiye Yüzyılı Maarif Modeli fen bilimleri dersi öğretim programı</w:t>
      </w:r>
      <w:r>
        <w:t>. Millî Eğitim Bakanlığı.</w:t>
      </w:r>
    </w:p>
    <w:p w14:paraId="05F1CF7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Nacaroğlu, O. (2015). </w:t>
      </w:r>
      <w:r>
        <w:rPr>
          <w:i/>
        </w:rPr>
        <w:t>Proje tabanlı öğrenmenin fen bilgisi öğretmen adaylarının fotosentez konusundaki akademik başarısına etkisi</w:t>
      </w:r>
      <w:r>
        <w:t xml:space="preserve"> [Yayımlanmamış yüksek lisans tezi]. İnönü Üniversitesi.</w:t>
      </w:r>
    </w:p>
    <w:p w14:paraId="247342F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Organisation for Economic Co-operation and Development. (2018). </w:t>
      </w:r>
      <w:r>
        <w:rPr>
          <w:i/>
        </w:rPr>
        <w:t>The future of education and skills: Education 2030</w:t>
      </w:r>
      <w:r>
        <w:t>. OECD Publishing.</w:t>
      </w:r>
    </w:p>
    <w:p w14:paraId="74DE090D"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Organisation for Economic Co-operation and Development. (2019). </w:t>
      </w:r>
      <w:r>
        <w:rPr>
          <w:i/>
        </w:rPr>
        <w:t>PISA 2018 results (Volume I): What students know and can do</w:t>
      </w:r>
      <w:r>
        <w:t>. OECD Publishing.</w:t>
      </w:r>
    </w:p>
    <w:p w14:paraId="09B2FCD2"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Piyadeoğlu Kaya, O. (2019). </w:t>
      </w:r>
      <w:r>
        <w:rPr>
          <w:i/>
        </w:rPr>
        <w:t>Ortaokul öğrencilerine verilen afet bilinci eğitiminin öğrencilerin bilgi düzeyleri üzerine etkisi: Gümüşhane örneği</w:t>
      </w:r>
      <w:r>
        <w:t xml:space="preserve"> [Yayımlanmamış yüksek lisans tezi]. Gümüşhane Üniversitesi.</w:t>
      </w:r>
    </w:p>
    <w:p w14:paraId="4C68602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Seyihoglu, A., Kartal, A., Tekbiyik, A., Sezen Vekli, G., &amp; Birinci Konur, K. (2021). The design and implementation of a teacher training program for improving teachers' disaster literacy: Interdisciplinary Disaster Education Program (IDEP). </w:t>
      </w:r>
      <w:r>
        <w:rPr>
          <w:i/>
        </w:rPr>
        <w:t>Problems of Education in the 21st Century, 79</w:t>
      </w:r>
      <w:r>
        <w:t>(5), 781-803.</w:t>
      </w:r>
    </w:p>
    <w:p w14:paraId="0B7DC299"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Shiwaku, K., &amp; Shaw, R. (2016). Local governance and school disaster education. In R. Shaw, Y. Takeuchi, &amp; M. Shiwaku Kato (Eds.), </w:t>
      </w:r>
      <w:r>
        <w:rPr>
          <w:i/>
        </w:rPr>
        <w:t>Disaster resilience of education systems</w:t>
      </w:r>
      <w:r>
        <w:t xml:space="preserve"> (pp. 25-37). Springer.</w:t>
      </w:r>
    </w:p>
    <w:p w14:paraId="729F1CC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Sözcü, U. (2019). </w:t>
      </w:r>
      <w:r>
        <w:rPr>
          <w:i/>
        </w:rPr>
        <w:t>Öğretmen adaylarının doğal afet okuryazarlık düzeylerinin belirlenmesi</w:t>
      </w:r>
      <w:r>
        <w:t xml:space="preserve"> [Yayımlanmamış doktora tezi]. Kastamonu Üniversitesi, Sosyal Bilimler Enstitüsü.</w:t>
      </w:r>
    </w:p>
    <w:p w14:paraId="5B3E98E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Şahin, N., Şahin, N. H., &amp; Heppner, P. P. (1993). Psychometric properties of the Problem Solving Inventory in a group of Turkish university students. </w:t>
      </w:r>
      <w:r>
        <w:rPr>
          <w:i/>
        </w:rPr>
        <w:t>Cognitive Therapy and Research, 17</w:t>
      </w:r>
      <w:r>
        <w:t>(4), 379-396.</w:t>
      </w:r>
    </w:p>
    <w:p w14:paraId="5D1FFD25"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Thomas, J. W. (2000). </w:t>
      </w:r>
      <w:r>
        <w:rPr>
          <w:i/>
        </w:rPr>
        <w:t>A review of research on project-based learning</w:t>
      </w:r>
      <w:r>
        <w:t>. Autodesk Foundation.</w:t>
      </w:r>
    </w:p>
    <w:p w14:paraId="2F3F623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Trilling, B., &amp; Fadel, C. (2009). </w:t>
      </w:r>
      <w:r>
        <w:rPr>
          <w:i/>
        </w:rPr>
        <w:t>21st century skills: Learning for life in our times</w:t>
      </w:r>
      <w:r>
        <w:t>. Jossey-Bass.</w:t>
      </w:r>
    </w:p>
    <w:p w14:paraId="2DA78F6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United Nations Educational, Scientific and Cultural Organization. (2015). </w:t>
      </w:r>
      <w:r>
        <w:rPr>
          <w:i/>
        </w:rPr>
        <w:t>Education for sustainable development and disaster risk reduction</w:t>
      </w:r>
      <w:r>
        <w:t>. UNESCO.</w:t>
      </w:r>
    </w:p>
    <w:p w14:paraId="10363253"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United Nations Office for Disaster Risk Reduction. (2015). </w:t>
      </w:r>
      <w:r>
        <w:rPr>
          <w:i/>
        </w:rPr>
        <w:t>Sendai framework for disaster risk reduction 2015-2030</w:t>
      </w:r>
      <w:r>
        <w:t>. UNDRR.</w:t>
      </w:r>
    </w:p>
    <w:p>
      <w:bookmarkStart w:id="8081" w:name="Ortak40_8081"/>
      <w:bookmarkStart w:id="5081" w:name="Birlesik_5081"/>
      <w:pPr>
        <w:pStyle w:val="Balk1"/>
        <w:keepNext/>
        <w:pageBreakBefore/>
        <w:widowControl/>
      </w:pPr>
      <w:r>
        <w:t>EKLER</w:t>
      </w:r>
      <w:bookmarkEnd w:id="5081"/>
      <w:bookmarkEnd w:id="8081"/>
    </w:p>
    <w:p>
      <w:bookmarkStart w:id="8082" w:name="Ortak40_8082"/>
      <w:bookmarkStart w:id="5082" w:name="Birlesik_5082"/>
      <w:pPr>
        <w:pStyle w:val="Balk2"/>
        <w:keepNext/>
        <w:pageBreakBefore w:val="0"/>
        <w:widowControl/>
      </w:pPr>
      <w:r>
        <w:t>Ek 1. İletişim Becerileri Ölçeği</w:t>
      </w:r>
      <w:bookmarkEnd w:id="5082"/>
      <w:bookmarkEnd w:id="8082"/>
    </w:p>
    <w:p>
      <w:pPr>
        <w:widowControl/>
      </w:pPr>
      <w:r>
        <w:t>Kaynak: Korkut Owen ve Bugay (2014). Aşağıda araştırmacının paylaştığı uygulama formundaki 25 madde ve yanıt seçenekleri aktarılmıştır. Ölçek maddeleri özgün araştırma bulgusu değil, kaynaklı ölçme aracı metnidir.</w:t>
      </w:r>
    </w:p>
    <w:p>
      <w:pPr>
        <w:widowControl/>
      </w:pPr>
      <w:r>
        <w:t>Yanıt seçenekleri: 1 = Hiçbir zaman; 2 = Nadiren; 3 = Bazen; 4 = Sık sık; 5 = Her zaman.</w:t>
      </w:r>
    </w:p>
    <w:p>
      <w:pPr>
        <w:widowControl/>
      </w:pPr>
      <w:r>
        <w:t>1. İnsanları oldukları gibi kabul ederim.</w:t>
      </w:r>
    </w:p>
    <w:p>
      <w:pPr>
        <w:widowControl/>
      </w:pPr>
      <w:r>
        <w:t>2. Düşüncelerimi istediğim zaman anlaşılır biçimde ifade edebilirim.</w:t>
      </w:r>
    </w:p>
    <w:p>
      <w:pPr>
        <w:widowControl/>
      </w:pPr>
      <w:r>
        <w:t>3. Başkalarını önyargısız dinlerim.</w:t>
      </w:r>
    </w:p>
    <w:p>
      <w:pPr>
        <w:widowControl/>
      </w:pPr>
      <w:r>
        <w:t>4. Yaşadığım olaylardaki duygularımı sözlerimle ve beden dilimle başkalarına iletebilirim.</w:t>
      </w:r>
    </w:p>
    <w:p>
      <w:pPr>
        <w:widowControl/>
      </w:pPr>
      <w:r>
        <w:t>5. Karşımdakini dinlerken anlamadığım bir ayrıntı olduğunda konunun açığa kavuşması için sorular sorarım.</w:t>
      </w:r>
    </w:p>
    <w:p>
      <w:pPr>
        <w:widowControl/>
      </w:pPr>
      <w:r>
        <w:t>6. Birisi ile iletişim içindeyken sakin bir ses tonuyla konuşurum</w:t>
      </w:r>
    </w:p>
    <w:p>
      <w:pPr>
        <w:widowControl/>
      </w:pPr>
      <w:r>
        <w:t>7. İnsanlara yakın ilgi duyarım.</w:t>
      </w:r>
    </w:p>
    <w:p>
      <w:pPr>
        <w:widowControl/>
      </w:pPr>
      <w:r>
        <w:t>8. Diğer insanlarla kolaylıkla sohbet başlatabilirim.</w:t>
      </w:r>
    </w:p>
    <w:p>
      <w:pPr>
        <w:widowControl/>
      </w:pPr>
      <w:r>
        <w:t>9. İlişkide bulunduğum kişilerin anlatmak istediklerini dinlemek için onlara zaman ayırırım.</w:t>
      </w:r>
    </w:p>
    <w:p>
      <w:pPr>
        <w:widowControl/>
      </w:pPr>
      <w:r>
        <w:t>10. Konuşurken söylediklerimle beden dilimin uyuşmasına dikkat ederim.</w:t>
      </w:r>
    </w:p>
    <w:p>
      <w:pPr>
        <w:widowControl/>
      </w:pPr>
      <w:r>
        <w:t>11. Birini dinlerken ne karşılık vereceğimden çok onun ne demek istediğini anlamaya çalışırım.</w:t>
      </w:r>
    </w:p>
    <w:p>
      <w:pPr>
        <w:widowControl/>
      </w:pPr>
      <w:r>
        <w:t>12. Konuşmaları dinlerken, içerikle yüz ifadesinin ya da beden duruşunun uyumuna dikkat ederim.</w:t>
      </w:r>
    </w:p>
    <w:p>
      <w:pPr>
        <w:widowControl/>
      </w:pPr>
      <w:r>
        <w:t>13. Benimle herhangi bir konuda konuşmayı istemeyen birisini konuşmaya zorlamam.</w:t>
      </w:r>
    </w:p>
    <w:p>
      <w:pPr>
        <w:widowControl/>
      </w:pPr>
      <w:r>
        <w:t>14. Başkalarına içtenlikle iltifat ederim.</w:t>
      </w:r>
    </w:p>
    <w:p>
      <w:pPr>
        <w:widowControl/>
      </w:pPr>
      <w:r>
        <w:t>15. Başkaları konuşurken yanıt vermeden önce onların sözlerini bitirmelerini beklerim.</w:t>
      </w:r>
    </w:p>
    <w:p>
      <w:pPr>
        <w:widowControl/>
      </w:pPr>
      <w:r>
        <w:t>16. Birileriyle konuşurken onları rahatsız edebilecek kadar yakınlarında olmamaya özen gösteririm.</w:t>
      </w:r>
    </w:p>
    <w:p>
      <w:pPr>
        <w:widowControl/>
      </w:pPr>
      <w:r>
        <w:t>17. Duygularımı rahatlıkla dile getirebilirim.</w:t>
      </w:r>
    </w:p>
    <w:p>
      <w:pPr>
        <w:widowControl/>
      </w:pPr>
      <w:r>
        <w:t>18. Birisini dinlerken söylenenlerin altında yatan duyguları anlayabilirim.</w:t>
      </w:r>
    </w:p>
    <w:p>
      <w:pPr>
        <w:widowControl/>
      </w:pPr>
      <w:r>
        <w:t>19. Yüz yüze olmasak da konuştuğum kişinin duygusunu ses tonundan anlayabilirim.</w:t>
      </w:r>
    </w:p>
    <w:p>
      <w:pPr>
        <w:widowControl/>
      </w:pPr>
      <w:r>
        <w:t>20. Düşüncelerimi sözel olarak ifade edebilirim</w:t>
      </w:r>
    </w:p>
    <w:p>
      <w:pPr>
        <w:widowControl/>
      </w:pPr>
      <w:r>
        <w:t>21. Birisiyle konuşurken ona yanıt vermeden önce onu doğru anlayıp anlamadığımı yoklarım.</w:t>
      </w:r>
    </w:p>
    <w:p>
      <w:pPr>
        <w:widowControl/>
      </w:pPr>
      <w:r>
        <w:t>22. Yazışırken seçilen sözcüklerin de önemli olduğunu aklımda tutarım</w:t>
      </w:r>
    </w:p>
    <w:p>
      <w:pPr>
        <w:widowControl/>
      </w:pPr>
      <w:r>
        <w:t>23. Karşımdakini dinlerken onu anladığımı uygun bir dille ifade ederim.</w:t>
      </w:r>
    </w:p>
    <w:p>
      <w:pPr>
        <w:widowControl/>
      </w:pPr>
      <w:r>
        <w:t>24. Birisine bir öneride bulunmadan önce, onun öneri vermemi isteyip istemediğine dikkat ederim.</w:t>
      </w:r>
    </w:p>
    <w:p>
      <w:pPr>
        <w:widowControl/>
      </w:pPr>
      <w:r>
        <w:t>25. Eğer karşımdakinin işine yarayacaksa yaşadığım benzer deneyimleri onunla paylaşırım.</w:t>
      </w:r>
    </w:p>
    <w:p>
      <w:bookmarkStart w:id="8083" w:name="Ortak40_8083"/>
      <w:bookmarkStart w:id="5083" w:name="Birlesik_5083"/>
      <w:pPr>
        <w:pStyle w:val="Balk2"/>
        <w:keepNext/>
        <w:pageBreakBefore/>
        <w:widowControl/>
      </w:pPr>
      <w:r>
        <w:t>Ek 2. Problem Çözme Becerileri Ölçeği</w:t>
      </w:r>
      <w:bookmarkEnd w:id="5083"/>
      <w:bookmarkEnd w:id="8083"/>
    </w:p>
    <w:p>
      <w:pPr>
        <w:widowControl/>
      </w:pPr>
      <w:r>
        <w:t>Kaynak: Heppner ve Petersen (1982); Türkçe uyarlama: Şahin, Şahin ve Heppner (1993). Maddeler araştırmacının paylaştığı uygulama formundan aktarılmıştır. Formdaki yıldız ve Ω işaretleri korunmuştur; bu işaretler burada yeniden oluşturulmuş bir puanlama anahtarı olarak sunulmamıştır.</w:t>
      </w:r>
    </w:p>
    <w:p>
      <w:pPr>
        <w:widowControl/>
      </w:pPr>
      <w:r>
        <w:t>Yanıt seçenekleri: 1 = Hep böyle davranırım; 2 = Çoğunlukla böyle davranırım; 3 = Sıklıkla böyle davranırım; 4 = Arada sırada böyle davranırım; 5 = Ender olarak böyle davranırım; 6 = Hiç böyle davranmam.</w:t>
      </w:r>
    </w:p>
    <w:p>
      <w:pPr>
        <w:widowControl/>
      </w:pPr>
      <w:r>
        <w:t>1. Bir sorunumu çözmek için kullandığım çözüm yolları başarısız ise bunların neden başarısız olduğunu araştırmam*</w:t>
      </w:r>
    </w:p>
    <w:p>
      <w:pPr>
        <w:widowControl/>
      </w:pPr>
      <w:r>
        <w:t>2. Zor bir sorunla karşılaştığımda ne olduğunu tam olarak belirleyebilmek için nasıl bilgi toplayacağımı uzun boylu düşünmem.*</w:t>
      </w:r>
    </w:p>
    <w:p>
      <w:pPr>
        <w:widowControl/>
      </w:pPr>
      <w:r>
        <w:t>3. Bir sorunumu çözmek için gösterdiğim ilk çabalar başarısız olursa o sorun ile başa çıkabileceğimden şüpheye düşerim. *</w:t>
      </w:r>
    </w:p>
    <w:p>
      <w:pPr>
        <w:widowControl/>
      </w:pPr>
      <w:r>
        <w:t>4. Bir sorunumu çözdükten sonra bu sorunu çözerken neyin işe yaradığını, neyin yaramadığını ayrıntılı olarak düşünmem.*</w:t>
      </w:r>
    </w:p>
    <w:p>
      <w:pPr>
        <w:widowControl/>
      </w:pPr>
      <w:r>
        <w:t>5. Sorunlarımı çözme konusunda genellikle yaratıcı ve etkili çözümler üretebilirim.</w:t>
      </w:r>
    </w:p>
    <w:p>
      <w:pPr>
        <w:widowControl/>
      </w:pPr>
      <w:r>
        <w:t>6. Bir sorunumu çözmek için belli bir yolu denedikten sonra durur ve ortaya çıkan sonuç ile olması gerektiğini düşündüğüm sonucu karşılaştırırım.</w:t>
      </w:r>
    </w:p>
    <w:p>
      <w:pPr>
        <w:widowControl/>
      </w:pPr>
      <w:r>
        <w:t>7. Bir sorunum olduğunda onu çözebilmek için başvurabileceğim yolların hepsini düşünmeye çalışırım.</w:t>
      </w:r>
    </w:p>
    <w:p>
      <w:pPr>
        <w:widowControl/>
      </w:pPr>
      <w:r>
        <w:t>8. Bir sorunla karşılaştığımda neler hissettiğimi anlamak için duygularımı incelerim.</w:t>
      </w:r>
    </w:p>
    <w:p>
      <w:pPr>
        <w:widowControl/>
      </w:pPr>
      <w:r>
        <w:t>9. Bir sorun kafamı karıştırdığında duygu ve düşüncelerimi somut ve açık seçik terimlerle ifade etmeye uğraşmam. Ω</w:t>
      </w:r>
    </w:p>
    <w:p>
      <w:pPr>
        <w:widowControl/>
      </w:pPr>
      <w:r>
        <w:t>10. Başlangıçta çözümünü fark etmesem de sorunlarımın çoğunu çözme yeteneğim vardır.</w:t>
      </w:r>
    </w:p>
    <w:p>
      <w:pPr>
        <w:widowControl/>
      </w:pPr>
      <w:r>
        <w:t>11. Karşılaştığım sorunların çoğu, çözebileceğimden daha zor ve karmaşıktır.</w:t>
      </w:r>
    </w:p>
    <w:p>
      <w:pPr>
        <w:widowControl/>
      </w:pPr>
      <w:r>
        <w:t>12. Genellikle kendimle ilgili kararları verebilirim ve bu kararlardan hoşnut olurum.</w:t>
      </w:r>
    </w:p>
    <w:p>
      <w:pPr>
        <w:widowControl/>
      </w:pPr>
      <w:r>
        <w:t>13. Bir sorunla karşılaştığımda onu çözmek için genellikle aklıma gelen ilk yolu izlerim.*</w:t>
      </w:r>
    </w:p>
    <w:p>
      <w:pPr>
        <w:widowControl/>
      </w:pPr>
      <w:r>
        <w:t>14. Bazen durup sorunlarım üzerinde düşünmek yerine, gelişigüzel sürüklenip giderim.*</w:t>
      </w:r>
    </w:p>
    <w:p>
      <w:pPr>
        <w:widowControl/>
      </w:pPr>
      <w:r>
        <w:t>15. Bir sorunla ilgili olası bir çözüm yolu üzerinde karar vermeye çalışırken seçeneklerimin başarı olasılığını tek tek değerlendirmem.*</w:t>
      </w:r>
    </w:p>
    <w:p>
      <w:pPr>
        <w:widowControl/>
      </w:pPr>
      <w:r>
        <w:t>16. Bir sorunla karşılaştığımda, başka konuya geçmeden önce durur ve o sorun üzerinde düşünürüm.</w:t>
      </w:r>
    </w:p>
    <w:p>
      <w:pPr>
        <w:widowControl/>
      </w:pPr>
      <w:r>
        <w:t>17. Genellikle aklıma ilk gelen fikir doğrultusunda hareket ederim.*</w:t>
      </w:r>
    </w:p>
    <w:p>
      <w:pPr>
        <w:widowControl/>
      </w:pPr>
      <w:r>
        <w:t>18. Bir karar vermeye çalışırken her seçeneğin sonuçlarını ölçer, tartar, birbirleriyle karşılaştırır, sonra karar veririm.</w:t>
      </w:r>
    </w:p>
    <w:p>
      <w:pPr>
        <w:widowControl/>
      </w:pPr>
      <w:r>
        <w:t>19. Bir sorunumu çözmek üzere plan yaparken o planı yürütebileceğime güvenirim.</w:t>
      </w:r>
    </w:p>
    <w:p>
      <w:pPr>
        <w:widowControl/>
      </w:pPr>
      <w:r>
        <w:t>20. Belli bir çözüm planını uygulamaya koymadan önce, nasıl bir sonuç vereceğini tahmin etmeye çalışırım.</w:t>
      </w:r>
    </w:p>
    <w:p>
      <w:pPr>
        <w:widowControl/>
      </w:pPr>
      <w:r>
        <w:t>21. Bir soruna yönelik olası çözüm yollarını düşünürken çok fazla seçenek üretmem.*</w:t>
      </w:r>
    </w:p>
    <w:p>
      <w:pPr>
        <w:widowControl/>
      </w:pPr>
      <w:r>
        <w:t>22. Bir sorunumu çözmeye çalışırken sıklıkla kullandığım bir yöntem, daha önce başıma gelmiş benzer sorunları düşünmektir. Ω</w:t>
      </w:r>
    </w:p>
    <w:p>
      <w:pPr>
        <w:widowControl/>
      </w:pPr>
      <w:r>
        <w:t>23. Yeterince zamanım olur ve çaba gösterirsem karşılaştığım sorunların çoğunu çözebileceğime inanıyorum.</w:t>
      </w:r>
    </w:p>
    <w:p>
      <w:pPr>
        <w:widowControl/>
      </w:pPr>
      <w:r>
        <w:t>24. Yeni bir durumla karşılaştığımda ortaya çıkabilecek sorunları çözebileceğime inancım vardır.</w:t>
      </w:r>
    </w:p>
    <w:p>
      <w:pPr>
        <w:widowControl/>
      </w:pPr>
      <w:r>
        <w:t>25. Bazen bir sorunu çözmek için çabaladığım halde, bir türlü esas konuya giremediğim ve gereksiz ayrıntılarla uğraştığım duygusunu yaşarım.*</w:t>
      </w:r>
    </w:p>
    <w:p>
      <w:pPr>
        <w:widowControl/>
      </w:pPr>
      <w:r>
        <w:t>26. Ani kararlar verir ve sonra pişmanlık duyarım.*</w:t>
      </w:r>
    </w:p>
    <w:p>
      <w:pPr>
        <w:widowControl/>
      </w:pPr>
      <w:r>
        <w:t>27. Yeni ve zor sorunları çözebilme yeteneğime güveniyorum.</w:t>
      </w:r>
    </w:p>
    <w:p>
      <w:pPr>
        <w:widowControl/>
      </w:pPr>
      <w:r>
        <w:t>28. Elimdeki seçenekleri karşılaştırırken ve karar verirken kullandığım sistematik bir yöntem vardır.</w:t>
      </w:r>
    </w:p>
    <w:p>
      <w:pPr>
        <w:widowControl/>
      </w:pPr>
      <w:r>
        <w:t>29. Bir sorunla başa çıkma yollarını düşünürken çeşitli fikirleri birleştirmeye çalışmam. Ω</w:t>
      </w:r>
    </w:p>
    <w:p>
      <w:pPr>
        <w:widowControl/>
      </w:pPr>
      <w:r>
        <w:t>30. Bir sorunla karşılaştığımda, bu sorunun çıkmasında katkısı olabilecek benim dışımdaki etmenleri genellikle dikkate almam.*</w:t>
      </w:r>
    </w:p>
    <w:p>
      <w:pPr>
        <w:widowControl/>
      </w:pPr>
      <w:r>
        <w:t>31. Bir konuyla karşılaştığımda, ilk yaptığım şeylerden biri, durumu gözden geçirmek ve konuyla ilgili olabilecek her türlü bilgiyi dikkate almaktır.</w:t>
      </w:r>
    </w:p>
    <w:p>
      <w:pPr>
        <w:widowControl/>
      </w:pPr>
      <w:r>
        <w:t>32. Bazen duygusal olarak öylesine etkilenirim ki, sorunumla başa çıkma yollarından pek çoğunu dikkate bile almam.*</w:t>
      </w:r>
    </w:p>
    <w:p>
      <w:pPr>
        <w:widowControl/>
      </w:pPr>
      <w:r>
        <w:t>33. Bir karar verdikten sonra, ortaya çıkan sonuç genellikle benim beklediğim sonuca uyar.</w:t>
      </w:r>
    </w:p>
    <w:p>
      <w:pPr>
        <w:widowControl/>
      </w:pPr>
      <w:r>
        <w:t>34. Bir sorunla karşılaştığımda, o durumla başa çıkabileceğimden genellikle emin olamam*</w:t>
      </w:r>
    </w:p>
    <w:p>
      <w:pPr>
        <w:widowControl/>
      </w:pPr>
      <w:r>
        <w:t>35. Bir sorunun farkına vardığımda, ilk yaptığım şeylerden biri, sorunun tam olarak ne olduğunu anlamaya çalışmaktır.</w:t>
      </w:r>
    </w:p>
    <w:p>
      <w:bookmarkStart w:id="8084" w:name="Ortak40_8084"/>
      <w:bookmarkStart w:id="5084" w:name="Birlesik_5084"/>
      <w:pPr>
        <w:pStyle w:val="Balk2"/>
        <w:keepNext/>
        <w:pageBreakBefore/>
        <w:widowControl/>
      </w:pPr>
      <w:r>
        <w:t>Ek 3. Yarı yapılandırılmış görüşme formu</w:t>
      </w:r>
      <w:bookmarkEnd w:id="5084"/>
      <w:bookmarkEnd w:id="8084"/>
    </w:p>
    <w:p>
      <w:pPr>
        <w:widowControl/>
      </w:pPr>
      <w:r>
        <w:t>Araştırmada kullanılan güncel görüşme soruları aşağıda verilmiştir. Yedi ana soru, alt sorularıyla birlikte 11 yanıt başlığı içermektedir. Metin, araştırmacının paylaştığı form esas alınarak numaralandırılmıştır; yazım ve noktalama dışında içerik değiştirilmemiştir.</w:t>
      </w:r>
    </w:p>
    <w:p>
      <w:pPr>
        <w:widowControl/>
      </w:pPr>
      <w:r>
        <w:t>1-a. Size verilen konu bağlamında problem ararken zorlandınız mı? Yoksa sizin açınızdan kolay bir süreç miydi? Neden bu şekilde düşünüyorsunuz?</w:t>
      </w:r>
    </w:p>
    <w:p>
      <w:pPr>
        <w:widowControl/>
      </w:pPr>
      <w:r>
        <w:t>1-b. Grup çalışması yapmak problem belirleme ve çözme sürecinde bir katkı sağladı mı?</w:t>
      </w:r>
    </w:p>
    <w:p>
      <w:pPr>
        <w:widowControl/>
      </w:pPr>
      <w:r>
        <w:t>2-a. Problemin belirlenmesi ve çözümü sürecinde olası önerileri değerlendirirken, kendi fikirlerinizi rahatça dile getirebildiniz mi?</w:t>
      </w:r>
    </w:p>
    <w:p>
      <w:pPr>
        <w:widowControl/>
      </w:pPr>
      <w:r>
        <w:t>2-b. Arkadaşlarınızla uyumlu olmayan görüşleriniz olduğunda nasıl fikir birliği sağladınız? Bu süreçteki iletişim becerilerinizi düşünerek yanıtlayınız.</w:t>
      </w:r>
    </w:p>
    <w:p>
      <w:pPr>
        <w:widowControl/>
      </w:pPr>
      <w:r>
        <w:t>3-a. Problemin çözümü sürecinde nasıl bir yol izlediniz? (Bu süreçte neler yaptığınızı düşünerek kısaca açıklayınız.)</w:t>
      </w:r>
    </w:p>
    <w:p>
      <w:pPr>
        <w:widowControl/>
      </w:pPr>
      <w:r>
        <w:t>3-b. Çözümü ararken problem ve çözümün uyumlu olmadığı durumlarda nasıl bir yol izlediniz? Grup çalışması bağlamında düşünerek yanıtlayınız.</w:t>
      </w:r>
    </w:p>
    <w:p>
      <w:pPr>
        <w:widowControl/>
      </w:pPr>
      <w:r>
        <w:t>4. Doğal afetler konusunun projeler bağlamında ele alınmasının konuyu öğrenme konusunda katkı sağladığını düşünüyor musunuz?</w:t>
      </w:r>
    </w:p>
    <w:p>
      <w:pPr>
        <w:widowControl/>
      </w:pPr>
      <w:r>
        <w:t>5-a. Kendi probleminizi ve çözüm yolunu aramak hangi becerilerinizin gelişmesine katkı sağlamış olabilir? Neden?</w:t>
      </w:r>
    </w:p>
    <w:p>
      <w:pPr>
        <w:widowControl/>
      </w:pPr>
      <w:r>
        <w:t>5-b. Bu sürecin grupça yapılması beceri bağlamında ek bir katkı sağlamış mıdır?</w:t>
      </w:r>
    </w:p>
    <w:p>
      <w:pPr>
        <w:widowControl/>
      </w:pPr>
      <w:r>
        <w:t>6. Proje tabanlı öğrenme sürecinin sizce olumlu ve olumsuz yönleri nelerdir?</w:t>
      </w:r>
    </w:p>
    <w:p>
      <w:pPr>
        <w:widowControl/>
      </w:pPr>
      <w:r>
        <w:t>7. Proje tabanlı öğretim sürecinde dersin öğretimi bağlamında ele aldığınızda düzenlenmesi gereken kısımlar var mıydı? Var ise nelerdir?</w:t>
      </w:r>
    </w:p>
    <w:p>
      <w:bookmarkStart w:id="8085" w:name="Ortak40_8085"/>
      <w:bookmarkStart w:id="5085" w:name="Birlesik_5085"/>
      <w:pPr>
        <w:pStyle w:val="Balk2"/>
        <w:keepNext/>
        <w:pageBreakBefore/>
        <w:widowControl/>
      </w:pPr>
      <w:r>
        <w:t>Ek 4. Nitel içerik analizi kod kitabı</w:t>
      </w:r>
      <w:bookmarkEnd w:id="5085"/>
      <w:bookmarkEnd w:id="8085"/>
    </w:p>
    <w:p>
      <w:pPr>
        <w:widowControl/>
      </w:pPr>
      <w:r>
        <w:t>Kod kitabı, dört görüşmenin analizinde kullanılan 53 kodu kapsamaktadır. Kodlar araştırmacının görüşme verileri üzerinde gerçekleştirilen çözümlemeye aittir. Bir yanıt birimi birden fazla kod içerebilir. Frekans, ilgili kodu dile getiren farklı katılımcı sayısıdır; kod frekansları toplanarak kişi sayısı hesaplanmaz. Kapsama ve dışlama ölçütleri aşağıda birlikte verilmiştir.</w:t>
      </w:r>
    </w:p>
    <w:p>
      <w:bookmarkStart w:id="8086" w:name="Ortak40_8086"/>
      <w:bookmarkStart w:id="5086" w:name="Birlesik_5086"/>
      <w:pPr>
        <w:pStyle w:val="Balk3"/>
        <w:keepNext/>
        <w:widowControl/>
      </w:pPr>
      <w:r>
        <w:t>T1. Problem belirleme, çözüm geliştirme ve algılanan beceri katkıları</w:t>
      </w:r>
      <w:bookmarkEnd w:id="5086"/>
      <w:bookmarkEnd w:id="8086"/>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P01 — Problem belirlemede zorlanma</w:t>
              <w:br/>
              <w:t>Problem belirleme</w:t>
            </w:r>
          </w:p>
        </w:tc>
        <w:tc>
          <w:tcPr>
            <w:tcW w:type="dxa" w:w="3005"/>
          </w:tcPr>
          <w:p>
            <w:pPr>
              <w:spacing w:line="252" w:lineRule="auto" w:after="60" w:before="40"/>
            </w:pPr>
            <w:r>
              <w:rPr>
                <w:rFonts w:ascii="Times New Roman" w:hAnsi="Times New Roman"/>
                <w:sz w:val="20"/>
              </w:rPr>
              <w:t>Problem seçmenin zor olduğunun açıkça belirtilmesi</w:t>
            </w:r>
          </w:p>
        </w:tc>
        <w:tc>
          <w:tcPr>
            <w:tcW w:type="dxa" w:w="3005"/>
          </w:tcPr>
          <w:p>
            <w:pPr>
              <w:spacing w:line="252" w:lineRule="auto" w:after="60" w:before="40"/>
            </w:pPr>
            <w:r>
              <w:rPr>
                <w:rFonts w:ascii="Times New Roman" w:hAnsi="Times New Roman"/>
                <w:sz w:val="20"/>
              </w:rPr>
              <w:t>Zorlanma belirtilmeyen araştırma anlatımı tek başına yeterli değildir.</w:t>
            </w:r>
          </w:p>
        </w:tc>
      </w:tr>
      <w:tr>
        <w:trPr>
          <w:cantSplit/>
        </w:trPr>
        <w:tc>
          <w:tcPr>
            <w:tcW w:type="dxa" w:w="3005"/>
          </w:tcPr>
          <w:p>
            <w:pPr>
              <w:spacing w:line="252" w:lineRule="auto" w:after="60" w:before="40"/>
            </w:pPr>
            <w:r>
              <w:rPr>
                <w:rFonts w:ascii="Times New Roman" w:hAnsi="Times New Roman"/>
                <w:sz w:val="20"/>
              </w:rPr>
              <w:t>P02 — Problem belirlemede zorlanmama</w:t>
              <w:br/>
              <w:t>Problem belirleme</w:t>
            </w:r>
          </w:p>
        </w:tc>
        <w:tc>
          <w:tcPr>
            <w:tcW w:type="dxa" w:w="3005"/>
          </w:tcPr>
          <w:p>
            <w:pPr>
              <w:spacing w:line="252" w:lineRule="auto" w:after="60" w:before="40"/>
            </w:pPr>
            <w:r>
              <w:rPr>
                <w:rFonts w:ascii="Times New Roman" w:hAnsi="Times New Roman"/>
                <w:sz w:val="20"/>
              </w:rPr>
              <w:t>Problem seçmenin kolay olduğunun veya zorlanılmadığının açıkça belirtilmesi</w:t>
            </w:r>
          </w:p>
        </w:tc>
        <w:tc>
          <w:tcPr>
            <w:tcW w:type="dxa" w:w="3005"/>
          </w:tcPr>
          <w:p>
            <w:pPr>
              <w:spacing w:line="252" w:lineRule="auto" w:after="60" w:before="40"/>
            </w:pPr>
            <w:r>
              <w:rPr>
                <w:rFonts w:ascii="Times New Roman" w:hAnsi="Times New Roman"/>
                <w:sz w:val="20"/>
              </w:rPr>
              <w:t>Teorik çözüm uyumu, problem aramanın kolaylığına eşit değildir.</w:t>
            </w:r>
          </w:p>
        </w:tc>
      </w:tr>
      <w:tr>
        <w:trPr>
          <w:cantSplit/>
        </w:trPr>
        <w:tc>
          <w:tcPr>
            <w:tcW w:type="dxa" w:w="3005"/>
          </w:tcPr>
          <w:p>
            <w:pPr>
              <w:spacing w:line="252" w:lineRule="auto" w:after="60" w:before="40"/>
            </w:pPr>
            <w:r>
              <w:rPr>
                <w:rFonts w:ascii="Times New Roman" w:hAnsi="Times New Roman"/>
                <w:sz w:val="20"/>
              </w:rPr>
              <w:t>P03 — Özgünlük arayışının güçlük oluşturması</w:t>
              <w:br/>
              <w:t>Problem belirleme</w:t>
            </w:r>
          </w:p>
        </w:tc>
        <w:tc>
          <w:tcPr>
            <w:tcW w:type="dxa" w:w="3005"/>
          </w:tcPr>
          <w:p>
            <w:pPr>
              <w:spacing w:line="252" w:lineRule="auto" w:after="60" w:before="40"/>
            </w:pPr>
            <w:r>
              <w:rPr>
                <w:rFonts w:ascii="Times New Roman" w:hAnsi="Times New Roman"/>
                <w:sz w:val="20"/>
              </w:rPr>
              <w:t>Yeni, yaratıcı veya daha önce yapılmamış problem/proje bulmanın zorlayıcılığı</w:t>
            </w:r>
          </w:p>
        </w:tc>
        <w:tc>
          <w:tcPr>
            <w:tcW w:type="dxa" w:w="3005"/>
          </w:tcPr>
          <w:p>
            <w:pPr>
              <w:spacing w:line="252" w:lineRule="auto" w:after="60" w:before="40"/>
            </w:pPr>
            <w:r>
              <w:rPr>
                <w:rFonts w:ascii="Times New Roman" w:hAnsi="Times New Roman"/>
                <w:sz w:val="20"/>
              </w:rPr>
              <w:t>Yaratıcı düşünmede gelişim iddiası ayrı kodlanır.</w:t>
            </w:r>
          </w:p>
        </w:tc>
      </w:tr>
      <w:tr>
        <w:trPr>
          <w:cantSplit/>
        </w:trPr>
        <w:tc>
          <w:tcPr>
            <w:tcW w:type="dxa" w:w="3005"/>
          </w:tcPr>
          <w:p>
            <w:pPr>
              <w:spacing w:line="252" w:lineRule="auto" w:after="60" w:before="40"/>
            </w:pPr>
            <w:r>
              <w:rPr>
                <w:rFonts w:ascii="Times New Roman" w:hAnsi="Times New Roman"/>
                <w:sz w:val="20"/>
              </w:rPr>
              <w:t>P04 — Uygulanabilir ve çözülebilir problem seçme güçlüğü</w:t>
              <w:br/>
              <w:t>Problem belirleme</w:t>
            </w:r>
          </w:p>
        </w:tc>
        <w:tc>
          <w:tcPr>
            <w:tcW w:type="dxa" w:w="3005"/>
          </w:tcPr>
          <w:p>
            <w:pPr>
              <w:spacing w:line="252" w:lineRule="auto" w:after="60" w:before="40"/>
            </w:pPr>
            <w:r>
              <w:rPr>
                <w:rFonts w:ascii="Times New Roman" w:hAnsi="Times New Roman"/>
                <w:sz w:val="20"/>
              </w:rPr>
              <w:t>Problemin öğrencilerin üretebileceği çözüm ya da proje kapsamıyla uyumunu seçme güçlüğü</w:t>
            </w:r>
          </w:p>
        </w:tc>
        <w:tc>
          <w:tcPr>
            <w:tcW w:type="dxa" w:w="3005"/>
          </w:tcPr>
          <w:p>
            <w:pPr>
              <w:spacing w:line="252" w:lineRule="auto" w:after="60" w:before="40"/>
            </w:pPr>
            <w:r>
              <w:rPr>
                <w:rFonts w:ascii="Times New Roman" w:hAnsi="Times New Roman"/>
                <w:sz w:val="20"/>
              </w:rPr>
              <w:t>Her problem seçimi bu kodu almaz.</w:t>
            </w:r>
          </w:p>
        </w:tc>
      </w:tr>
      <w:tr>
        <w:trPr>
          <w:cantSplit/>
        </w:trPr>
        <w:tc>
          <w:tcPr>
            <w:tcW w:type="dxa" w:w="3005"/>
          </w:tcPr>
          <w:p>
            <w:pPr>
              <w:spacing w:line="252" w:lineRule="auto" w:after="60" w:before="40"/>
            </w:pPr>
            <w:r>
              <w:rPr>
                <w:rFonts w:ascii="Times New Roman" w:hAnsi="Times New Roman"/>
                <w:sz w:val="20"/>
              </w:rPr>
              <w:t>P05 — Problem ve çözümü birlikte ele alma</w:t>
              <w:br/>
              <w:t>Çözüm stratejileri</w:t>
            </w:r>
          </w:p>
        </w:tc>
        <w:tc>
          <w:tcPr>
            <w:tcW w:type="dxa" w:w="3005"/>
          </w:tcPr>
          <w:p>
            <w:pPr>
              <w:spacing w:line="252" w:lineRule="auto" w:after="60" w:before="40"/>
            </w:pPr>
            <w:r>
              <w:rPr>
                <w:rFonts w:ascii="Times New Roman" w:hAnsi="Times New Roman"/>
                <w:sz w:val="20"/>
              </w:rPr>
              <w:t>Problemi belirlerken çözümünü de eş zamanlı düşünme</w:t>
            </w:r>
          </w:p>
        </w:tc>
        <w:tc>
          <w:tcPr>
            <w:tcW w:type="dxa" w:w="3005"/>
          </w:tcPr>
          <w:p>
            <w:pPr>
              <w:spacing w:line="252" w:lineRule="auto" w:after="60" w:before="40"/>
            </w:pPr>
            <w:r>
              <w:rPr>
                <w:rFonts w:ascii="Times New Roman" w:hAnsi="Times New Roman"/>
                <w:sz w:val="20"/>
              </w:rPr>
              <w:t>Sonradan sırayla araştırma ve çözüm geliştirme ayrı kodlanır.</w:t>
            </w:r>
          </w:p>
        </w:tc>
      </w:tr>
      <w:tr>
        <w:trPr>
          <w:cantSplit/>
        </w:trPr>
        <w:tc>
          <w:tcPr>
            <w:tcW w:type="dxa" w:w="3005"/>
          </w:tcPr>
          <w:p>
            <w:pPr>
              <w:spacing w:line="252" w:lineRule="auto" w:after="60" w:before="40"/>
            </w:pPr>
            <w:r>
              <w:rPr>
                <w:rFonts w:ascii="Times New Roman" w:hAnsi="Times New Roman"/>
                <w:sz w:val="20"/>
              </w:rPr>
              <w:t>P06 — Aşamalı araştırma–değerlendirme–uygulama</w:t>
              <w:br/>
              <w:t>Çözüm stratejileri</w:t>
            </w:r>
          </w:p>
        </w:tc>
        <w:tc>
          <w:tcPr>
            <w:tcW w:type="dxa" w:w="3005"/>
          </w:tcPr>
          <w:p>
            <w:pPr>
              <w:spacing w:line="252" w:lineRule="auto" w:after="60" w:before="40"/>
            </w:pPr>
            <w:r>
              <w:rPr>
                <w:rFonts w:ascii="Times New Roman" w:hAnsi="Times New Roman"/>
                <w:sz w:val="20"/>
              </w:rPr>
              <w:t>Araştırma, seçenekleri tartma, karar ve uygulamayı sıralı anlatma</w:t>
            </w:r>
          </w:p>
        </w:tc>
        <w:tc>
          <w:tcPr>
            <w:tcW w:type="dxa" w:w="3005"/>
          </w:tcPr>
          <w:p>
            <w:pPr>
              <w:spacing w:line="252" w:lineRule="auto" w:after="60" w:before="40"/>
            </w:pPr>
            <w:r>
              <w:rPr>
                <w:rFonts w:ascii="Times New Roman" w:hAnsi="Times New Roman"/>
                <w:sz w:val="20"/>
              </w:rPr>
              <w:t>Yalnızca araştırma yaptığını söylemek yeterli değildir.</w:t>
            </w:r>
          </w:p>
        </w:tc>
      </w:tr>
      <w:tr>
        <w:trPr>
          <w:cantSplit/>
        </w:trPr>
        <w:tc>
          <w:tcPr>
            <w:tcW w:type="dxa" w:w="3005"/>
          </w:tcPr>
          <w:p>
            <w:pPr>
              <w:spacing w:line="252" w:lineRule="auto" w:after="60" w:before="40"/>
            </w:pPr>
            <w:r>
              <w:rPr>
                <w:rFonts w:ascii="Times New Roman" w:hAnsi="Times New Roman"/>
                <w:sz w:val="20"/>
              </w:rPr>
              <w:t>P07 — Tasarım ve uygulama güçlüğü</w:t>
              <w:br/>
              <w:t>Çözüm stratejileri</w:t>
            </w:r>
          </w:p>
        </w:tc>
        <w:tc>
          <w:tcPr>
            <w:tcW w:type="dxa" w:w="3005"/>
          </w:tcPr>
          <w:p>
            <w:pPr>
              <w:spacing w:line="252" w:lineRule="auto" w:after="60" w:before="40"/>
            </w:pPr>
            <w:r>
              <w:rPr>
                <w:rFonts w:ascii="Times New Roman" w:hAnsi="Times New Roman"/>
                <w:sz w:val="20"/>
              </w:rPr>
              <w:t>Maket, materyal veya uygulama aşamasındaki güçlük/engel</w:t>
            </w:r>
          </w:p>
        </w:tc>
        <w:tc>
          <w:tcPr>
            <w:tcW w:type="dxa" w:w="3005"/>
          </w:tcPr>
          <w:p>
            <w:pPr>
              <w:spacing w:line="252" w:lineRule="auto" w:after="60" w:before="40"/>
            </w:pPr>
            <w:r>
              <w:rPr>
                <w:rFonts w:ascii="Times New Roman" w:hAnsi="Times New Roman"/>
                <w:sz w:val="20"/>
              </w:rPr>
              <w:t>Yalnızca başlangıçta problem seçme güçlüğü ayrı tutulur.</w:t>
            </w:r>
          </w:p>
        </w:tc>
      </w:tr>
      <w:tr>
        <w:trPr>
          <w:cantSplit/>
        </w:trPr>
        <w:tc>
          <w:tcPr>
            <w:tcW w:type="dxa" w:w="3005"/>
          </w:tcPr>
          <w:p>
            <w:pPr>
              <w:spacing w:line="252" w:lineRule="auto" w:after="60" w:before="40"/>
            </w:pPr>
            <w:r>
              <w:rPr>
                <w:rFonts w:ascii="Times New Roman" w:hAnsi="Times New Roman"/>
                <w:sz w:val="20"/>
              </w:rPr>
              <w:t>P08 — Çözüm üretilemeyen problemi değiştirme</w:t>
              <w:br/>
              <w:t>Çözüm stratejileri</w:t>
            </w:r>
          </w:p>
        </w:tc>
        <w:tc>
          <w:tcPr>
            <w:tcW w:type="dxa" w:w="3005"/>
          </w:tcPr>
          <w:p>
            <w:pPr>
              <w:spacing w:line="252" w:lineRule="auto" w:after="60" w:before="40"/>
            </w:pPr>
            <w:r>
              <w:rPr>
                <w:rFonts w:ascii="Times New Roman" w:hAnsi="Times New Roman"/>
                <w:sz w:val="20"/>
              </w:rPr>
              <w:t>Çözüm bulunamayınca problemi bırakıp başka problem seçme</w:t>
            </w:r>
          </w:p>
        </w:tc>
        <w:tc>
          <w:tcPr>
            <w:tcW w:type="dxa" w:w="3005"/>
          </w:tcPr>
          <w:p>
            <w:pPr>
              <w:spacing w:line="252" w:lineRule="auto" w:after="60" w:before="40"/>
            </w:pPr>
            <w:r>
              <w:rPr>
                <w:rFonts w:ascii="Times New Roman" w:hAnsi="Times New Roman"/>
                <w:sz w:val="20"/>
              </w:rPr>
              <w:t>Aynı problemin çözümünü revize etmek ayrı kodlanır.</w:t>
            </w:r>
          </w:p>
        </w:tc>
      </w:tr>
      <w:tr>
        <w:trPr>
          <w:cantSplit/>
        </w:trPr>
        <w:tc>
          <w:tcPr>
            <w:tcW w:type="dxa" w:w="3005"/>
          </w:tcPr>
          <w:p>
            <w:pPr>
              <w:spacing w:line="252" w:lineRule="auto" w:after="60" w:before="40"/>
            </w:pPr>
            <w:r>
              <w:rPr>
                <w:rFonts w:ascii="Times New Roman" w:hAnsi="Times New Roman"/>
                <w:sz w:val="20"/>
              </w:rPr>
              <w:t>P09 — Çözümü sorgulama ve revize etme</w:t>
              <w:br/>
              <w:t>Çözüm stratejileri</w:t>
            </w:r>
          </w:p>
        </w:tc>
        <w:tc>
          <w:tcPr>
            <w:tcW w:type="dxa" w:w="3005"/>
          </w:tcPr>
          <w:p>
            <w:pPr>
              <w:spacing w:line="252" w:lineRule="auto" w:after="60" w:before="40"/>
            </w:pPr>
            <w:r>
              <w:rPr>
                <w:rFonts w:ascii="Times New Roman" w:hAnsi="Times New Roman"/>
                <w:sz w:val="20"/>
              </w:rPr>
              <w:t>Çözümün probleme yanıtını kontrol etme ve çözümü/uygulamayı değiştirme</w:t>
            </w:r>
          </w:p>
        </w:tc>
        <w:tc>
          <w:tcPr>
            <w:tcW w:type="dxa" w:w="3005"/>
          </w:tcPr>
          <w:p>
            <w:pPr>
              <w:spacing w:line="252" w:lineRule="auto" w:after="60" w:before="40"/>
            </w:pPr>
            <w:r>
              <w:rPr>
                <w:rFonts w:ascii="Times New Roman" w:hAnsi="Times New Roman"/>
                <w:sz w:val="20"/>
              </w:rPr>
              <w:t>Problemi tamamen bırakma bu kod değildir.</w:t>
            </w:r>
          </w:p>
        </w:tc>
      </w:tr>
      <w:tr>
        <w:trPr>
          <w:cantSplit/>
        </w:trPr>
        <w:tc>
          <w:tcPr>
            <w:tcW w:type="dxa" w:w="3005"/>
          </w:tcPr>
          <w:p>
            <w:pPr>
              <w:spacing w:line="252" w:lineRule="auto" w:after="60" w:before="40"/>
            </w:pPr>
            <w:r>
              <w:rPr>
                <w:rFonts w:ascii="Times New Roman" w:hAnsi="Times New Roman"/>
                <w:sz w:val="20"/>
              </w:rPr>
              <w:t>P10 — Alternatif deneme ve sürdürme</w:t>
              <w:br/>
              <w:t>Çözüm stratejileri</w:t>
            </w:r>
          </w:p>
        </w:tc>
        <w:tc>
          <w:tcPr>
            <w:tcW w:type="dxa" w:w="3005"/>
          </w:tcPr>
          <w:p>
            <w:pPr>
              <w:spacing w:line="252" w:lineRule="auto" w:after="60" w:before="40"/>
            </w:pPr>
            <w:r>
              <w:rPr>
                <w:rFonts w:ascii="Times New Roman" w:hAnsi="Times New Roman"/>
                <w:sz w:val="20"/>
              </w:rPr>
              <w:t>Güçlüğün üzerine gitme, farklı yollar deneme veya işe yaramayan yola alternatif arama</w:t>
            </w:r>
          </w:p>
        </w:tc>
        <w:tc>
          <w:tcPr>
            <w:tcW w:type="dxa" w:w="3005"/>
          </w:tcPr>
          <w:p>
            <w:pPr>
              <w:spacing w:line="252" w:lineRule="auto" w:after="60" w:before="40"/>
            </w:pPr>
            <w:r>
              <w:rPr>
                <w:rFonts w:ascii="Times New Roman" w:hAnsi="Times New Roman"/>
                <w:sz w:val="20"/>
              </w:rPr>
              <w:t>Yalnızca farklı fikirlerin bulunması yeterli değildir.</w:t>
            </w:r>
          </w:p>
        </w:tc>
      </w:tr>
      <w:tr>
        <w:trPr>
          <w:cantSplit/>
        </w:trPr>
        <w:tc>
          <w:tcPr>
            <w:tcW w:type="dxa" w:w="3005"/>
          </w:tcPr>
          <w:p>
            <w:pPr>
              <w:spacing w:line="252" w:lineRule="auto" w:after="60" w:before="40"/>
            </w:pPr>
            <w:r>
              <w:rPr>
                <w:rFonts w:ascii="Times New Roman" w:hAnsi="Times New Roman"/>
                <w:sz w:val="20"/>
              </w:rPr>
              <w:t>P11 — Problem çözme becerisine katkı algısı</w:t>
              <w:br/>
              <w:t>Algılanan beceriler</w:t>
            </w:r>
          </w:p>
        </w:tc>
        <w:tc>
          <w:tcPr>
            <w:tcW w:type="dxa" w:w="3005"/>
          </w:tcPr>
          <w:p>
            <w:pPr>
              <w:spacing w:line="252" w:lineRule="auto" w:after="60" w:before="40"/>
            </w:pPr>
            <w:r>
              <w:rPr>
                <w:rFonts w:ascii="Times New Roman" w:hAnsi="Times New Roman"/>
                <w:sz w:val="20"/>
              </w:rPr>
              <w:t>Katılımcının kendi problem çözme becerisinin geliştiğini/katkı gördüğünü söylemesi</w:t>
            </w:r>
          </w:p>
        </w:tc>
        <w:tc>
          <w:tcPr>
            <w:tcW w:type="dxa" w:w="3005"/>
          </w:tcPr>
          <w:p>
            <w:pPr>
              <w:spacing w:line="252" w:lineRule="auto" w:after="60" w:before="40"/>
            </w:pPr>
            <w:r>
              <w:rPr>
                <w:rFonts w:ascii="Times New Roman" w:hAnsi="Times New Roman"/>
                <w:sz w:val="20"/>
              </w:rPr>
              <w:t>Nesnel beceri ölçümü ya da neden-sonuç kanıtı olarak yorumlanmaz.</w:t>
            </w:r>
          </w:p>
        </w:tc>
      </w:tr>
      <w:tr>
        <w:trPr>
          <w:cantSplit/>
        </w:trPr>
        <w:tc>
          <w:tcPr>
            <w:tcW w:type="dxa" w:w="3005"/>
          </w:tcPr>
          <w:p>
            <w:pPr>
              <w:spacing w:line="252" w:lineRule="auto" w:after="60" w:before="40"/>
            </w:pPr>
            <w:r>
              <w:rPr>
                <w:rFonts w:ascii="Times New Roman" w:hAnsi="Times New Roman"/>
                <w:sz w:val="20"/>
              </w:rPr>
              <w:t>P12 — Yaratıcı düşünmeye katkı algısı</w:t>
              <w:br/>
              <w:t>Algılanan beceriler</w:t>
            </w:r>
          </w:p>
        </w:tc>
        <w:tc>
          <w:tcPr>
            <w:tcW w:type="dxa" w:w="3005"/>
          </w:tcPr>
          <w:p>
            <w:pPr>
              <w:spacing w:line="252" w:lineRule="auto" w:after="60" w:before="40"/>
            </w:pPr>
            <w:r>
              <w:rPr>
                <w:rFonts w:ascii="Times New Roman" w:hAnsi="Times New Roman"/>
                <w:sz w:val="20"/>
              </w:rPr>
              <w:t>Yaratıcı düşünmenin geliştiğinin açıkça ifade edilmesi</w:t>
            </w:r>
          </w:p>
        </w:tc>
        <w:tc>
          <w:tcPr>
            <w:tcW w:type="dxa" w:w="3005"/>
          </w:tcPr>
          <w:p>
            <w:pPr>
              <w:spacing w:line="252" w:lineRule="auto" w:after="60" w:before="40"/>
            </w:pPr>
            <w:r>
              <w:rPr>
                <w:rFonts w:ascii="Times New Roman" w:hAnsi="Times New Roman"/>
                <w:sz w:val="20"/>
              </w:rPr>
              <w:t>Özgün problem bulmanın zor olması tek başına gelişim değildir.</w:t>
            </w:r>
          </w:p>
        </w:tc>
      </w:tr>
      <w:tr>
        <w:trPr>
          <w:cantSplit/>
        </w:trPr>
        <w:tc>
          <w:tcPr>
            <w:tcW w:type="dxa" w:w="3005"/>
          </w:tcPr>
          <w:p>
            <w:pPr>
              <w:spacing w:line="252" w:lineRule="auto" w:after="60" w:before="40"/>
            </w:pPr>
            <w:r>
              <w:rPr>
                <w:rFonts w:ascii="Times New Roman" w:hAnsi="Times New Roman"/>
                <w:sz w:val="20"/>
              </w:rPr>
              <w:t>P13 — Araştırma becerisine katkı algısı</w:t>
              <w:br/>
              <w:t>Algılanan beceriler</w:t>
            </w:r>
          </w:p>
        </w:tc>
        <w:tc>
          <w:tcPr>
            <w:tcW w:type="dxa" w:w="3005"/>
          </w:tcPr>
          <w:p>
            <w:pPr>
              <w:spacing w:line="252" w:lineRule="auto" w:after="60" w:before="40"/>
            </w:pPr>
            <w:r>
              <w:rPr>
                <w:rFonts w:ascii="Times New Roman" w:hAnsi="Times New Roman"/>
                <w:sz w:val="20"/>
              </w:rPr>
              <w:t>Araştırma becerisinin geliştiğinin açıkça söylenmesi</w:t>
            </w:r>
          </w:p>
        </w:tc>
        <w:tc>
          <w:tcPr>
            <w:tcW w:type="dxa" w:w="3005"/>
          </w:tcPr>
          <w:p>
            <w:pPr>
              <w:spacing w:line="252" w:lineRule="auto" w:after="60" w:before="40"/>
            </w:pPr>
            <w:r>
              <w:rPr>
                <w:rFonts w:ascii="Times New Roman" w:hAnsi="Times New Roman"/>
                <w:sz w:val="20"/>
              </w:rPr>
              <w:t>Araştırma etkinliği anlatımı tek başına gelişim kodu almaz.</w:t>
            </w:r>
          </w:p>
        </w:tc>
      </w:tr>
      <w:tr>
        <w:trPr>
          <w:cantSplit/>
        </w:trPr>
        <w:tc>
          <w:tcPr>
            <w:tcW w:type="dxa" w:w="3005"/>
          </w:tcPr>
          <w:p>
            <w:pPr>
              <w:spacing w:line="252" w:lineRule="auto" w:after="60" w:before="40"/>
            </w:pPr>
            <w:r>
              <w:rPr>
                <w:rFonts w:ascii="Times New Roman" w:hAnsi="Times New Roman"/>
                <w:sz w:val="20"/>
              </w:rPr>
              <w:t>P14 — Analitik düşünmeye katkı algısı</w:t>
              <w:br/>
              <w:t>Algılanan beceriler</w:t>
            </w:r>
          </w:p>
        </w:tc>
        <w:tc>
          <w:tcPr>
            <w:tcW w:type="dxa" w:w="3005"/>
          </w:tcPr>
          <w:p>
            <w:pPr>
              <w:spacing w:line="252" w:lineRule="auto" w:after="60" w:before="40"/>
            </w:pPr>
            <w:r>
              <w:rPr>
                <w:rFonts w:ascii="Times New Roman" w:hAnsi="Times New Roman"/>
                <w:sz w:val="20"/>
              </w:rPr>
              <w:t>Analitik düşünmede katkının açıkça adlandırılması</w:t>
            </w:r>
          </w:p>
        </w:tc>
        <w:tc>
          <w:tcPr>
            <w:tcW w:type="dxa" w:w="3005"/>
          </w:tcPr>
          <w:p>
            <w:pPr>
              <w:spacing w:line="252" w:lineRule="auto" w:after="60" w:before="40"/>
            </w:pPr>
            <w:r>
              <w:rPr>
                <w:rFonts w:ascii="Times New Roman" w:hAnsi="Times New Roman"/>
                <w:sz w:val="20"/>
              </w:rPr>
              <w:t>Genel düşünme ifadeleri otomatik olarak analitik düşünme sayılmaz.</w:t>
            </w:r>
          </w:p>
        </w:tc>
      </w:tr>
      <w:tr>
        <w:trPr>
          <w:cantSplit/>
        </w:trPr>
        <w:tc>
          <w:tcPr>
            <w:tcW w:type="dxa" w:w="3005"/>
          </w:tcPr>
          <w:p>
            <w:pPr>
              <w:spacing w:line="252" w:lineRule="auto" w:after="60" w:before="40"/>
            </w:pPr>
            <w:r>
              <w:rPr>
                <w:rFonts w:ascii="Times New Roman" w:hAnsi="Times New Roman"/>
                <w:sz w:val="20"/>
              </w:rPr>
              <w:t>P15 — Bilgiyi seçme ve değerlendirme</w:t>
              <w:br/>
              <w:t>Çözüm stratejileri</w:t>
            </w:r>
          </w:p>
        </w:tc>
        <w:tc>
          <w:tcPr>
            <w:tcW w:type="dxa" w:w="3005"/>
          </w:tcPr>
          <w:p>
            <w:pPr>
              <w:spacing w:line="252" w:lineRule="auto" w:after="60" w:before="40"/>
            </w:pPr>
            <w:r>
              <w:rPr>
                <w:rFonts w:ascii="Times New Roman" w:hAnsi="Times New Roman"/>
                <w:sz w:val="20"/>
              </w:rPr>
              <w:t>Bulunan bilgilerin tümünü kullanmayıp işe yarayanları seçme</w:t>
            </w:r>
          </w:p>
        </w:tc>
        <w:tc>
          <w:tcPr>
            <w:tcW w:type="dxa" w:w="3005"/>
          </w:tcPr>
          <w:p>
            <w:pPr>
              <w:spacing w:line="252" w:lineRule="auto" w:after="60" w:before="40"/>
            </w:pPr>
            <w:r>
              <w:rPr>
                <w:rFonts w:ascii="Times New Roman" w:hAnsi="Times New Roman"/>
                <w:sz w:val="20"/>
              </w:rPr>
              <w:t>Kaynak taraması tek başına eleştirel seçme değildir.</w:t>
            </w:r>
          </w:p>
        </w:tc>
      </w:tr>
      <w:tr>
        <w:trPr>
          <w:cantSplit/>
        </w:trPr>
        <w:tc>
          <w:tcPr>
            <w:tcW w:type="dxa" w:w="3005"/>
          </w:tcPr>
          <w:p>
            <w:pPr>
              <w:spacing w:line="252" w:lineRule="auto" w:after="60" w:before="40"/>
            </w:pPr>
            <w:r>
              <w:rPr>
                <w:rFonts w:ascii="Times New Roman" w:hAnsi="Times New Roman"/>
                <w:sz w:val="20"/>
              </w:rPr>
              <w:t>P16 — Uzmanlara başvurma</w:t>
              <w:br/>
              <w:t>Çözüm stratejileri</w:t>
            </w:r>
          </w:p>
        </w:tc>
        <w:tc>
          <w:tcPr>
            <w:tcW w:type="dxa" w:w="3005"/>
          </w:tcPr>
          <w:p>
            <w:pPr>
              <w:spacing w:line="252" w:lineRule="auto" w:after="60" w:before="40"/>
            </w:pPr>
            <w:r>
              <w:rPr>
                <w:rFonts w:ascii="Times New Roman" w:hAnsi="Times New Roman"/>
                <w:sz w:val="20"/>
              </w:rPr>
              <w:t>Bilgi edinmek için uzmanlara başvurulduğunun açıkça belirtilmesi</w:t>
            </w:r>
          </w:p>
        </w:tc>
        <w:tc>
          <w:tcPr>
            <w:tcW w:type="dxa" w:w="3005"/>
          </w:tcPr>
          <w:p>
            <w:pPr>
              <w:spacing w:line="252" w:lineRule="auto" w:after="60" w:before="40"/>
            </w:pPr>
            <w:r>
              <w:rPr>
                <w:rFonts w:ascii="Times New Roman" w:hAnsi="Times New Roman"/>
                <w:sz w:val="20"/>
              </w:rPr>
              <w:t>Genel internet araştırması bu kod değildir.</w:t>
            </w:r>
          </w:p>
        </w:tc>
      </w:tr>
      <w:tr>
        <w:trPr>
          <w:cantSplit/>
        </w:trPr>
        <w:tc>
          <w:tcPr>
            <w:tcW w:type="dxa" w:w="3005"/>
          </w:tcPr>
          <w:p>
            <w:pPr>
              <w:spacing w:line="252" w:lineRule="auto" w:after="60" w:before="40"/>
            </w:pPr>
            <w:r>
              <w:rPr>
                <w:rFonts w:ascii="Times New Roman" w:hAnsi="Times New Roman"/>
                <w:sz w:val="20"/>
              </w:rPr>
              <w:t>P18 — Problem için bilgi araştırma</w:t>
              <w:br/>
              <w:t>Çözüm stratejileri</w:t>
            </w:r>
          </w:p>
        </w:tc>
        <w:tc>
          <w:tcPr>
            <w:tcW w:type="dxa" w:w="3005"/>
          </w:tcPr>
          <w:p>
            <w:pPr>
              <w:spacing w:line="252" w:lineRule="auto" w:after="60" w:before="40"/>
            </w:pPr>
            <w:r>
              <w:rPr>
                <w:rFonts w:ascii="Times New Roman" w:hAnsi="Times New Roman"/>
                <w:sz w:val="20"/>
              </w:rPr>
              <w:t>Problem/proje çözümü için araştırma veya bilgi toplama yapılması</w:t>
            </w:r>
          </w:p>
        </w:tc>
        <w:tc>
          <w:tcPr>
            <w:tcW w:type="dxa" w:w="3005"/>
          </w:tcPr>
          <w:p>
            <w:pPr>
              <w:spacing w:line="252" w:lineRule="auto" w:after="60" w:before="40"/>
            </w:pPr>
            <w:r>
              <w:rPr>
                <w:rFonts w:ascii="Times New Roman" w:hAnsi="Times New Roman"/>
                <w:sz w:val="20"/>
              </w:rPr>
              <w:t>Öğrenmenin kalıcılığına ilişkin yargı ayrı tutulur.</w:t>
            </w:r>
          </w:p>
        </w:tc>
      </w:tr>
      <w:tr>
        <w:trPr>
          <w:cantSplit/>
        </w:trPr>
        <w:tc>
          <w:tcPr>
            <w:tcW w:type="dxa" w:w="3005"/>
          </w:tcPr>
          <w:p>
            <w:pPr>
              <w:spacing w:line="252" w:lineRule="auto" w:after="60" w:before="40"/>
            </w:pPr>
            <w:r>
              <w:rPr>
                <w:rFonts w:ascii="Times New Roman" w:hAnsi="Times New Roman"/>
                <w:sz w:val="20"/>
              </w:rPr>
              <w:t>P17 — Teorik problem–çözüm uyumu</w:t>
              <w:br/>
              <w:t>Çözüm stratejileri</w:t>
            </w:r>
          </w:p>
        </w:tc>
        <w:tc>
          <w:tcPr>
            <w:tcW w:type="dxa" w:w="3005"/>
          </w:tcPr>
          <w:p>
            <w:pPr>
              <w:spacing w:line="252" w:lineRule="auto" w:after="60" w:before="40"/>
            </w:pPr>
            <w:r>
              <w:rPr>
                <w:rFonts w:ascii="Times New Roman" w:hAnsi="Times New Roman"/>
                <w:sz w:val="20"/>
              </w:rPr>
              <w:t>Problem ve çözümün teorik uyumunda belirgin sorun yaşanmadığının açık ifadesi</w:t>
            </w:r>
          </w:p>
        </w:tc>
        <w:tc>
          <w:tcPr>
            <w:tcW w:type="dxa" w:w="3005"/>
          </w:tcPr>
          <w:p>
            <w:pPr>
              <w:spacing w:line="252" w:lineRule="auto" w:after="60" w:before="40"/>
            </w:pPr>
            <w:r>
              <w:rPr>
                <w:rFonts w:ascii="Times New Roman" w:hAnsi="Times New Roman"/>
                <w:sz w:val="20"/>
              </w:rPr>
              <w:t>Bu durum uygulama/tasarım güçlüğünün bulunmadığı anlamına gelmez.</w:t>
            </w:r>
          </w:p>
        </w:tc>
      </w:tr>
    </w:tbl>
    <w:p>
      <w:bookmarkStart w:id="8087" w:name="Ortak40_8087"/>
      <w:bookmarkStart w:id="5087" w:name="Birlesik_5087"/>
      <w:pPr>
        <w:pStyle w:val="Balk3"/>
        <w:keepNext/>
        <w:widowControl/>
      </w:pPr>
      <w:r>
        <w:t>T2. Grup içi iletişim, iş birliği ve algılanan iletişim katkısı</w:t>
      </w:r>
      <w:bookmarkEnd w:id="5087"/>
      <w:bookmarkEnd w:id="8087"/>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C01 — Fikirlerini rahatça ifade etme</w:t>
              <w:br/>
              <w:t>İfade ve iletişim ortamı</w:t>
            </w:r>
          </w:p>
        </w:tc>
        <w:tc>
          <w:tcPr>
            <w:tcW w:type="dxa" w:w="3005"/>
          </w:tcPr>
          <w:p>
            <w:pPr>
              <w:spacing w:line="252" w:lineRule="auto" w:after="60" w:before="40"/>
            </w:pPr>
            <w:r>
              <w:rPr>
                <w:rFonts w:ascii="Times New Roman" w:hAnsi="Times New Roman"/>
                <w:sz w:val="20"/>
              </w:rPr>
              <w:t>Kendi fikirlerini rahat/özgürce söylediğine ilişkin olumlu yanıt</w:t>
            </w:r>
          </w:p>
        </w:tc>
        <w:tc>
          <w:tcPr>
            <w:tcW w:type="dxa" w:w="3005"/>
          </w:tcPr>
          <w:p>
            <w:pPr>
              <w:spacing w:line="252" w:lineRule="auto" w:after="60" w:before="40"/>
            </w:pPr>
            <w:r>
              <w:rPr>
                <w:rFonts w:ascii="Times New Roman" w:hAnsi="Times New Roman"/>
                <w:sz w:val="20"/>
              </w:rPr>
              <w:t>Bu ortamın uygulama öncesine göre geliştiği otomatik varsayılmaz.</w:t>
            </w:r>
          </w:p>
        </w:tc>
      </w:tr>
      <w:tr>
        <w:trPr>
          <w:cantSplit/>
        </w:trPr>
        <w:tc>
          <w:tcPr>
            <w:tcW w:type="dxa" w:w="3005"/>
          </w:tcPr>
          <w:p>
            <w:pPr>
              <w:spacing w:line="252" w:lineRule="auto" w:after="60" w:before="40"/>
            </w:pPr>
            <w:r>
              <w:rPr>
                <w:rFonts w:ascii="Times New Roman" w:hAnsi="Times New Roman"/>
                <w:sz w:val="20"/>
              </w:rPr>
              <w:t>C02 — Tanışıklık ve kendi seçtiği grupla iletişim kolaylığı</w:t>
              <w:br/>
              <w:t>İfade ve iletişim ortamı</w:t>
            </w:r>
          </w:p>
        </w:tc>
        <w:tc>
          <w:tcPr>
            <w:tcW w:type="dxa" w:w="3005"/>
          </w:tcPr>
          <w:p>
            <w:pPr>
              <w:spacing w:line="252" w:lineRule="auto" w:after="60" w:before="40"/>
            </w:pPr>
            <w:r>
              <w:rPr>
                <w:rFonts w:ascii="Times New Roman" w:hAnsi="Times New Roman"/>
                <w:sz w:val="20"/>
              </w:rPr>
              <w:t>Grup arkadaşlarını seçme veya tanıyor olmanın iletişimi kolaylaştırdığının belirtilmesi</w:t>
            </w:r>
          </w:p>
        </w:tc>
        <w:tc>
          <w:tcPr>
            <w:tcW w:type="dxa" w:w="3005"/>
          </w:tcPr>
          <w:p>
            <w:pPr>
              <w:spacing w:line="252" w:lineRule="auto" w:after="60" w:before="40"/>
            </w:pPr>
            <w:r>
              <w:rPr>
                <w:rFonts w:ascii="Times New Roman" w:hAnsi="Times New Roman"/>
                <w:sz w:val="20"/>
              </w:rPr>
              <w:t>Görüşmecilerin rastgele seçilmesiyle proje gruplarının oluşumu karıştırılmaz.</w:t>
            </w:r>
          </w:p>
        </w:tc>
      </w:tr>
      <w:tr>
        <w:trPr>
          <w:cantSplit/>
        </w:trPr>
        <w:tc>
          <w:tcPr>
            <w:tcW w:type="dxa" w:w="3005"/>
          </w:tcPr>
          <w:p>
            <w:pPr>
              <w:spacing w:line="252" w:lineRule="auto" w:after="60" w:before="40"/>
            </w:pPr>
            <w:r>
              <w:rPr>
                <w:rFonts w:ascii="Times New Roman" w:hAnsi="Times New Roman"/>
                <w:sz w:val="20"/>
              </w:rPr>
              <w:t>C03 — Fikir ve alternatif çeşitliliği</w:t>
              <w:br/>
              <w:t>İş birliği ve ortak karar</w:t>
            </w:r>
          </w:p>
        </w:tc>
        <w:tc>
          <w:tcPr>
            <w:tcW w:type="dxa" w:w="3005"/>
          </w:tcPr>
          <w:p>
            <w:pPr>
              <w:spacing w:line="252" w:lineRule="auto" w:after="60" w:before="40"/>
            </w:pPr>
            <w:r>
              <w:rPr>
                <w:rFonts w:ascii="Times New Roman" w:hAnsi="Times New Roman"/>
                <w:sz w:val="20"/>
              </w:rPr>
              <w:t>Daha çok kişinin farklı fikir/öneri veya çözüm alternatifi sunması</w:t>
            </w:r>
          </w:p>
        </w:tc>
        <w:tc>
          <w:tcPr>
            <w:tcW w:type="dxa" w:w="3005"/>
          </w:tcPr>
          <w:p>
            <w:pPr>
              <w:spacing w:line="252" w:lineRule="auto" w:after="60" w:before="40"/>
            </w:pPr>
            <w:r>
              <w:rPr>
                <w:rFonts w:ascii="Times New Roman" w:hAnsi="Times New Roman"/>
                <w:sz w:val="20"/>
              </w:rPr>
              <w:t>Tek kişinin fikrini ifade etmesi bu kodu gerektirmez.</w:t>
            </w:r>
          </w:p>
        </w:tc>
      </w:tr>
      <w:tr>
        <w:trPr>
          <w:cantSplit/>
        </w:trPr>
        <w:tc>
          <w:tcPr>
            <w:tcW w:type="dxa" w:w="3005"/>
          </w:tcPr>
          <w:p>
            <w:pPr>
              <w:spacing w:line="252" w:lineRule="auto" w:after="60" w:before="40"/>
            </w:pPr>
            <w:r>
              <w:rPr>
                <w:rFonts w:ascii="Times New Roman" w:hAnsi="Times New Roman"/>
                <w:sz w:val="20"/>
              </w:rPr>
              <w:t>C04 — Yardımlaşma</w:t>
              <w:br/>
              <w:t>İş birliği ve ortak karar</w:t>
            </w:r>
          </w:p>
        </w:tc>
        <w:tc>
          <w:tcPr>
            <w:tcW w:type="dxa" w:w="3005"/>
          </w:tcPr>
          <w:p>
            <w:pPr>
              <w:spacing w:line="252" w:lineRule="auto" w:after="60" w:before="40"/>
            </w:pPr>
            <w:r>
              <w:rPr>
                <w:rFonts w:ascii="Times New Roman" w:hAnsi="Times New Roman"/>
                <w:sz w:val="20"/>
              </w:rPr>
              <w:t>Birbirine yardım etme veya eksik kalan arkadaşına destek olma</w:t>
            </w:r>
          </w:p>
        </w:tc>
        <w:tc>
          <w:tcPr>
            <w:tcW w:type="dxa" w:w="3005"/>
          </w:tcPr>
          <w:p>
            <w:pPr>
              <w:spacing w:line="252" w:lineRule="auto" w:after="60" w:before="40"/>
            </w:pPr>
            <w:r>
              <w:rPr>
                <w:rFonts w:ascii="Times New Roman" w:hAnsi="Times New Roman"/>
                <w:sz w:val="20"/>
              </w:rPr>
              <w:t>Birlikte çalışmak, açık yardım anlatımı yoksa yeterli değildir.</w:t>
            </w:r>
          </w:p>
        </w:tc>
      </w:tr>
      <w:tr>
        <w:trPr>
          <w:cantSplit/>
        </w:trPr>
        <w:tc>
          <w:tcPr>
            <w:tcW w:type="dxa" w:w="3005"/>
          </w:tcPr>
          <w:p>
            <w:pPr>
              <w:spacing w:line="252" w:lineRule="auto" w:after="60" w:before="40"/>
            </w:pPr>
            <w:r>
              <w:rPr>
                <w:rFonts w:ascii="Times New Roman" w:hAnsi="Times New Roman"/>
                <w:sz w:val="20"/>
              </w:rPr>
              <w:t>C05 — Karşılıklı görüş paylaşımı ve ortak karar</w:t>
              <w:br/>
              <w:t>İş birliği ve ortak karar</w:t>
            </w:r>
          </w:p>
        </w:tc>
        <w:tc>
          <w:tcPr>
            <w:tcW w:type="dxa" w:w="3005"/>
          </w:tcPr>
          <w:p>
            <w:pPr>
              <w:spacing w:line="252" w:lineRule="auto" w:after="60" w:before="40"/>
            </w:pPr>
            <w:r>
              <w:rPr>
                <w:rFonts w:ascii="Times New Roman" w:hAnsi="Times New Roman"/>
                <w:sz w:val="20"/>
              </w:rPr>
              <w:t>Fikirleri karşılıklı dile getirme, tartışma veya ortak karar alma</w:t>
            </w:r>
          </w:p>
        </w:tc>
        <w:tc>
          <w:tcPr>
            <w:tcW w:type="dxa" w:w="3005"/>
          </w:tcPr>
          <w:p>
            <w:pPr>
              <w:spacing w:line="252" w:lineRule="auto" w:after="60" w:before="40"/>
            </w:pPr>
            <w:r>
              <w:rPr>
                <w:rFonts w:ascii="Times New Roman" w:hAnsi="Times New Roman"/>
                <w:sz w:val="20"/>
              </w:rPr>
              <w:t>Beceri gelişimi ayrıca ve yalnızca açık ifadeyle kodlanır.</w:t>
            </w:r>
          </w:p>
        </w:tc>
      </w:tr>
      <w:tr>
        <w:trPr>
          <w:cantSplit/>
        </w:trPr>
        <w:tc>
          <w:tcPr>
            <w:tcW w:type="dxa" w:w="3005"/>
          </w:tcPr>
          <w:p>
            <w:pPr>
              <w:spacing w:line="252" w:lineRule="auto" w:after="60" w:before="40"/>
            </w:pPr>
            <w:r>
              <w:rPr>
                <w:rFonts w:ascii="Times New Roman" w:hAnsi="Times New Roman"/>
                <w:sz w:val="20"/>
              </w:rPr>
              <w:t>C06 — Oylama</w:t>
              <w:br/>
              <w:t>İş birliği ve ortak karar</w:t>
            </w:r>
          </w:p>
        </w:tc>
        <w:tc>
          <w:tcPr>
            <w:tcW w:type="dxa" w:w="3005"/>
          </w:tcPr>
          <w:p>
            <w:pPr>
              <w:spacing w:line="252" w:lineRule="auto" w:after="60" w:before="40"/>
            </w:pPr>
            <w:r>
              <w:rPr>
                <w:rFonts w:ascii="Times New Roman" w:hAnsi="Times New Roman"/>
                <w:sz w:val="20"/>
              </w:rPr>
              <w:t>Karar için oylama yapıldığının açıkça belirtilmesi</w:t>
            </w:r>
          </w:p>
        </w:tc>
        <w:tc>
          <w:tcPr>
            <w:tcW w:type="dxa" w:w="3005"/>
          </w:tcPr>
          <w:p>
            <w:pPr>
              <w:spacing w:line="252" w:lineRule="auto" w:after="60" w:before="40"/>
            </w:pPr>
            <w:r>
              <w:rPr>
                <w:rFonts w:ascii="Times New Roman" w:hAnsi="Times New Roman"/>
                <w:sz w:val="20"/>
              </w:rPr>
              <w:t>Genel uzlaşma oylama kabul edilmez.</w:t>
            </w:r>
          </w:p>
        </w:tc>
      </w:tr>
      <w:tr>
        <w:trPr>
          <w:cantSplit/>
        </w:trPr>
        <w:tc>
          <w:tcPr>
            <w:tcW w:type="dxa" w:w="3005"/>
          </w:tcPr>
          <w:p>
            <w:pPr>
              <w:spacing w:line="252" w:lineRule="auto" w:after="60" w:before="40"/>
            </w:pPr>
            <w:r>
              <w:rPr>
                <w:rFonts w:ascii="Times New Roman" w:hAnsi="Times New Roman"/>
                <w:sz w:val="20"/>
              </w:rPr>
              <w:t>C07 — Gerekçelendirme ve ikna</w:t>
              <w:br/>
              <w:t>İş birliği ve ortak karar</w:t>
            </w:r>
          </w:p>
        </w:tc>
        <w:tc>
          <w:tcPr>
            <w:tcW w:type="dxa" w:w="3005"/>
          </w:tcPr>
          <w:p>
            <w:pPr>
              <w:spacing w:line="252" w:lineRule="auto" w:after="60" w:before="40"/>
            </w:pPr>
            <w:r>
              <w:rPr>
                <w:rFonts w:ascii="Times New Roman" w:hAnsi="Times New Roman"/>
                <w:sz w:val="20"/>
              </w:rPr>
              <w:t>Fikrinin uygunluğunu açıklama veya birbirini ikna etme</w:t>
            </w:r>
          </w:p>
        </w:tc>
        <w:tc>
          <w:tcPr>
            <w:tcW w:type="dxa" w:w="3005"/>
          </w:tcPr>
          <w:p>
            <w:pPr>
              <w:spacing w:line="252" w:lineRule="auto" w:after="60" w:before="40"/>
            </w:pPr>
            <w:r>
              <w:rPr>
                <w:rFonts w:ascii="Times New Roman" w:hAnsi="Times New Roman"/>
                <w:sz w:val="20"/>
              </w:rPr>
              <w:t>Sadece görüş belirtmek yeterli değildir.</w:t>
            </w:r>
          </w:p>
        </w:tc>
      </w:tr>
      <w:tr>
        <w:trPr>
          <w:cantSplit/>
        </w:trPr>
        <w:tc>
          <w:tcPr>
            <w:tcW w:type="dxa" w:w="3005"/>
          </w:tcPr>
          <w:p>
            <w:pPr>
              <w:spacing w:line="252" w:lineRule="auto" w:after="60" w:before="40"/>
            </w:pPr>
            <w:r>
              <w:rPr>
                <w:rFonts w:ascii="Times New Roman" w:hAnsi="Times New Roman"/>
                <w:sz w:val="20"/>
              </w:rPr>
              <w:t>C08 — Dinleme ve uzlaşma</w:t>
              <w:br/>
              <w:t>İş birliği ve ortak karar</w:t>
            </w:r>
          </w:p>
        </w:tc>
        <w:tc>
          <w:tcPr>
            <w:tcW w:type="dxa" w:w="3005"/>
          </w:tcPr>
          <w:p>
            <w:pPr>
              <w:spacing w:line="252" w:lineRule="auto" w:after="60" w:before="40"/>
            </w:pPr>
            <w:r>
              <w:rPr>
                <w:rFonts w:ascii="Times New Roman" w:hAnsi="Times New Roman"/>
                <w:sz w:val="20"/>
              </w:rPr>
              <w:t>Diğerini dinleme, görüşünü kabul etme veya ortak noktada buluşmayı dinlemeyle ilişkilendirme</w:t>
            </w:r>
          </w:p>
        </w:tc>
        <w:tc>
          <w:tcPr>
            <w:tcW w:type="dxa" w:w="3005"/>
          </w:tcPr>
          <w:p>
            <w:pPr>
              <w:spacing w:line="252" w:lineRule="auto" w:after="60" w:before="40"/>
            </w:pPr>
            <w:r>
              <w:rPr>
                <w:rFonts w:ascii="Times New Roman" w:hAnsi="Times New Roman"/>
                <w:sz w:val="20"/>
              </w:rPr>
              <w:t>Görüş ayrılığı olmaması varsayılmaz.</w:t>
            </w:r>
          </w:p>
        </w:tc>
      </w:tr>
      <w:tr>
        <w:trPr>
          <w:cantSplit/>
        </w:trPr>
        <w:tc>
          <w:tcPr>
            <w:tcW w:type="dxa" w:w="3005"/>
          </w:tcPr>
          <w:p>
            <w:pPr>
              <w:spacing w:line="252" w:lineRule="auto" w:after="60" w:before="40"/>
            </w:pPr>
            <w:r>
              <w:rPr>
                <w:rFonts w:ascii="Times New Roman" w:hAnsi="Times New Roman"/>
                <w:sz w:val="20"/>
              </w:rPr>
              <w:t>C09 — Eleştiriye alternatif öneri ekleme</w:t>
              <w:br/>
              <w:t>İş birliği ve ortak karar</w:t>
            </w:r>
          </w:p>
        </w:tc>
        <w:tc>
          <w:tcPr>
            <w:tcW w:type="dxa" w:w="3005"/>
          </w:tcPr>
          <w:p>
            <w:pPr>
              <w:spacing w:line="252" w:lineRule="auto" w:after="60" w:before="40"/>
            </w:pPr>
            <w:r>
              <w:rPr>
                <w:rFonts w:ascii="Times New Roman" w:hAnsi="Times New Roman"/>
                <w:sz w:val="20"/>
              </w:rPr>
              <w:t>Bir fikri eleştirirken yerine başka çözüm sunmaya çalışma</w:t>
            </w:r>
          </w:p>
        </w:tc>
        <w:tc>
          <w:tcPr>
            <w:tcW w:type="dxa" w:w="3005"/>
          </w:tcPr>
          <w:p>
            <w:pPr>
              <w:spacing w:line="252" w:lineRule="auto" w:after="60" w:before="40"/>
            </w:pPr>
            <w:r>
              <w:rPr>
                <w:rFonts w:ascii="Times New Roman" w:hAnsi="Times New Roman"/>
                <w:sz w:val="20"/>
              </w:rPr>
              <w:t>Genel alternatif çeşitliliğinden daha özel bir davranıştır.</w:t>
            </w:r>
          </w:p>
        </w:tc>
      </w:tr>
      <w:tr>
        <w:trPr>
          <w:cantSplit/>
        </w:trPr>
        <w:tc>
          <w:tcPr>
            <w:tcW w:type="dxa" w:w="3005"/>
          </w:tcPr>
          <w:p>
            <w:pPr>
              <w:spacing w:line="252" w:lineRule="auto" w:after="60" w:before="40"/>
            </w:pPr>
            <w:r>
              <w:rPr>
                <w:rFonts w:ascii="Times New Roman" w:hAnsi="Times New Roman"/>
                <w:sz w:val="20"/>
              </w:rPr>
              <w:t>C10 — İletişim becerisine katkı algısı</w:t>
              <w:br/>
              <w:t>Algılanan iletişim katkısı</w:t>
            </w:r>
          </w:p>
        </w:tc>
        <w:tc>
          <w:tcPr>
            <w:tcW w:type="dxa" w:w="3005"/>
          </w:tcPr>
          <w:p>
            <w:pPr>
              <w:spacing w:line="252" w:lineRule="auto" w:after="60" w:before="40"/>
            </w:pPr>
            <w:r>
              <w:rPr>
                <w:rFonts w:ascii="Times New Roman" w:hAnsi="Times New Roman"/>
                <w:sz w:val="20"/>
              </w:rPr>
              <w:t>İletişim becerisinin geliştiği veya iletişim kurmanın beceri katkısı olduğunun söylenmesi</w:t>
            </w:r>
          </w:p>
        </w:tc>
        <w:tc>
          <w:tcPr>
            <w:tcW w:type="dxa" w:w="3005"/>
          </w:tcPr>
          <w:p>
            <w:pPr>
              <w:spacing w:line="252" w:lineRule="auto" w:after="60" w:before="40"/>
            </w:pPr>
            <w:r>
              <w:rPr>
                <w:rFonts w:ascii="Times New Roman" w:hAnsi="Times New Roman"/>
                <w:sz w:val="20"/>
              </w:rPr>
              <w:t>Rahat konuşma tek başına zaman içinde gelişim sayılmaz.</w:t>
            </w:r>
          </w:p>
        </w:tc>
      </w:tr>
      <w:tr>
        <w:trPr>
          <w:cantSplit/>
        </w:trPr>
        <w:tc>
          <w:tcPr>
            <w:tcW w:type="dxa" w:w="3005"/>
          </w:tcPr>
          <w:p>
            <w:pPr>
              <w:spacing w:line="252" w:lineRule="auto" w:after="60" w:before="40"/>
            </w:pPr>
            <w:r>
              <w:rPr>
                <w:rFonts w:ascii="Times New Roman" w:hAnsi="Times New Roman"/>
                <w:sz w:val="20"/>
              </w:rPr>
              <w:t>C11 — Görev paylaşımı ve koordinasyon</w:t>
              <w:br/>
              <w:t>İş birliği ve ortak karar</w:t>
            </w:r>
          </w:p>
        </w:tc>
        <w:tc>
          <w:tcPr>
            <w:tcW w:type="dxa" w:w="3005"/>
          </w:tcPr>
          <w:p>
            <w:pPr>
              <w:spacing w:line="252" w:lineRule="auto" w:after="60" w:before="40"/>
            </w:pPr>
            <w:r>
              <w:rPr>
                <w:rFonts w:ascii="Times New Roman" w:hAnsi="Times New Roman"/>
                <w:sz w:val="20"/>
              </w:rPr>
              <w:t>İşlerin paylaşılması ve parçaların bir araya getirilmesi</w:t>
            </w:r>
          </w:p>
        </w:tc>
        <w:tc>
          <w:tcPr>
            <w:tcW w:type="dxa" w:w="3005"/>
          </w:tcPr>
          <w:p>
            <w:pPr>
              <w:spacing w:line="252" w:lineRule="auto" w:after="60" w:before="40"/>
            </w:pPr>
            <w:r>
              <w:rPr>
                <w:rFonts w:ascii="Times New Roman" w:hAnsi="Times New Roman"/>
                <w:sz w:val="20"/>
              </w:rPr>
              <w:t>Genel grup çalışması yeterli değildir.</w:t>
            </w:r>
          </w:p>
        </w:tc>
      </w:tr>
      <w:tr>
        <w:trPr>
          <w:cantSplit/>
        </w:trPr>
        <w:tc>
          <w:tcPr>
            <w:tcW w:type="dxa" w:w="3005"/>
          </w:tcPr>
          <w:p>
            <w:pPr>
              <w:spacing w:line="252" w:lineRule="auto" w:after="60" w:before="40"/>
            </w:pPr>
            <w:r>
              <w:rPr>
                <w:rFonts w:ascii="Times New Roman" w:hAnsi="Times New Roman"/>
                <w:sz w:val="20"/>
              </w:rPr>
              <w:t>C12 — Beceri katkısının büyüklüğünde belirsizlik</w:t>
              <w:br/>
              <w:t>Algılanan iletişim katkısı</w:t>
            </w:r>
          </w:p>
        </w:tc>
        <w:tc>
          <w:tcPr>
            <w:tcW w:type="dxa" w:w="3005"/>
          </w:tcPr>
          <w:p>
            <w:pPr>
              <w:spacing w:line="252" w:lineRule="auto" w:after="60" w:before="40"/>
            </w:pPr>
            <w:r>
              <w:rPr>
                <w:rFonts w:ascii="Times New Roman" w:hAnsi="Times New Roman"/>
                <w:sz w:val="20"/>
              </w:rPr>
              <w:t>Grubun belirli beceriyi ne ölçüde geliştirdiğini kesin söyleyememe</w:t>
            </w:r>
          </w:p>
        </w:tc>
        <w:tc>
          <w:tcPr>
            <w:tcW w:type="dxa" w:w="3005"/>
          </w:tcPr>
          <w:p>
            <w:pPr>
              <w:spacing w:line="252" w:lineRule="auto" w:after="60" w:before="40"/>
            </w:pPr>
            <w:r>
              <w:rPr>
                <w:rFonts w:ascii="Times New Roman" w:hAnsi="Times New Roman"/>
                <w:sz w:val="20"/>
              </w:rPr>
              <w:t>Katkıyı tümden reddetme olarak yorumlanmaz.</w:t>
            </w:r>
          </w:p>
        </w:tc>
      </w:tr>
    </w:tbl>
    <w:p>
      <w:bookmarkStart w:id="8088" w:name="Ortak40_8088"/>
      <w:bookmarkStart w:id="5088" w:name="Birlesik_5088"/>
      <w:pPr>
        <w:pStyle w:val="Balk3"/>
        <w:keepNext/>
        <w:widowControl/>
      </w:pPr>
      <w:r>
        <w:t>T3. Öğrenme deneyimleri, mesleki katkılar ve süreç güçlükleri</w:t>
      </w:r>
      <w:bookmarkEnd w:id="5088"/>
      <w:bookmarkEnd w:id="8088"/>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L01 — Afet konusunu öğrenmeye katkı algısı</w:t>
              <w:br/>
              <w:t>Öğrenme deneyimi</w:t>
            </w:r>
          </w:p>
        </w:tc>
        <w:tc>
          <w:tcPr>
            <w:tcW w:type="dxa" w:w="3005"/>
          </w:tcPr>
          <w:p>
            <w:pPr>
              <w:spacing w:line="252" w:lineRule="auto" w:after="60" w:before="40"/>
            </w:pPr>
            <w:r>
              <w:rPr>
                <w:rFonts w:ascii="Times New Roman" w:hAnsi="Times New Roman"/>
                <w:sz w:val="20"/>
              </w:rPr>
              <w:t>4. soruda öğrenmeye katkı olduğunu belirtme</w:t>
            </w:r>
          </w:p>
        </w:tc>
        <w:tc>
          <w:tcPr>
            <w:tcW w:type="dxa" w:w="3005"/>
          </w:tcPr>
          <w:p>
            <w:pPr>
              <w:spacing w:line="252" w:lineRule="auto" w:after="60" w:before="40"/>
            </w:pPr>
            <w:r>
              <w:rPr>
                <w:rFonts w:ascii="Times New Roman" w:hAnsi="Times New Roman"/>
                <w:sz w:val="20"/>
              </w:rPr>
              <w:t>Doğal afet bilgisinin nesnel ölçüm sonucu değildir.</w:t>
            </w:r>
          </w:p>
        </w:tc>
      </w:tr>
      <w:tr>
        <w:trPr>
          <w:cantSplit/>
        </w:trPr>
        <w:tc>
          <w:tcPr>
            <w:tcW w:type="dxa" w:w="3005"/>
          </w:tcPr>
          <w:p>
            <w:pPr>
              <w:spacing w:line="252" w:lineRule="auto" w:after="60" w:before="40"/>
            </w:pPr>
            <w:r>
              <w:rPr>
                <w:rFonts w:ascii="Times New Roman" w:hAnsi="Times New Roman"/>
                <w:sz w:val="20"/>
              </w:rPr>
              <w:t>L02 — Kalıcı öğrenme algısı</w:t>
              <w:br/>
              <w:t>Öğrenme deneyimi</w:t>
            </w:r>
          </w:p>
        </w:tc>
        <w:tc>
          <w:tcPr>
            <w:tcW w:type="dxa" w:w="3005"/>
          </w:tcPr>
          <w:p>
            <w:pPr>
              <w:spacing w:line="252" w:lineRule="auto" w:after="60" w:before="40"/>
            </w:pPr>
            <w:r>
              <w:rPr>
                <w:rFonts w:ascii="Times New Roman" w:hAnsi="Times New Roman"/>
                <w:sz w:val="20"/>
              </w:rPr>
              <w:t>Daha kalıcı öğrenme, akılda kalma veya unutmama algısı</w:t>
            </w:r>
          </w:p>
        </w:tc>
        <w:tc>
          <w:tcPr>
            <w:tcW w:type="dxa" w:w="3005"/>
          </w:tcPr>
          <w:p>
            <w:pPr>
              <w:spacing w:line="252" w:lineRule="auto" w:after="60" w:before="40"/>
            </w:pPr>
            <w:r>
              <w:rPr>
                <w:rFonts w:ascii="Times New Roman" w:hAnsi="Times New Roman"/>
                <w:sz w:val="20"/>
              </w:rPr>
              <w:t>Gecikmeli testle ölçülmüş kalıcılık iddiası kurulmaz.</w:t>
            </w:r>
          </w:p>
        </w:tc>
      </w:tr>
      <w:tr>
        <w:trPr>
          <w:cantSplit/>
        </w:trPr>
        <w:tc>
          <w:tcPr>
            <w:tcW w:type="dxa" w:w="3005"/>
          </w:tcPr>
          <w:p>
            <w:pPr>
              <w:spacing w:line="252" w:lineRule="auto" w:after="60" w:before="40"/>
            </w:pPr>
            <w:r>
              <w:rPr>
                <w:rFonts w:ascii="Times New Roman" w:hAnsi="Times New Roman"/>
                <w:sz w:val="20"/>
              </w:rPr>
              <w:t>L03 — Araştırarak öğrenme</w:t>
              <w:br/>
              <w:t>Öğrenme deneyimi</w:t>
            </w:r>
          </w:p>
        </w:tc>
        <w:tc>
          <w:tcPr>
            <w:tcW w:type="dxa" w:w="3005"/>
          </w:tcPr>
          <w:p>
            <w:pPr>
              <w:spacing w:line="252" w:lineRule="auto" w:after="60" w:before="40"/>
            </w:pPr>
            <w:r>
              <w:rPr>
                <w:rFonts w:ascii="Times New Roman" w:hAnsi="Times New Roman"/>
                <w:sz w:val="20"/>
              </w:rPr>
              <w:t>Bilgiyi kendisi araştırmanın öğrenmeye katkısı</w:t>
            </w:r>
          </w:p>
        </w:tc>
        <w:tc>
          <w:tcPr>
            <w:tcW w:type="dxa" w:w="3005"/>
          </w:tcPr>
          <w:p>
            <w:pPr>
              <w:spacing w:line="252" w:lineRule="auto" w:after="60" w:before="40"/>
            </w:pPr>
            <w:r>
              <w:rPr>
                <w:rFonts w:ascii="Times New Roman" w:hAnsi="Times New Roman"/>
                <w:sz w:val="20"/>
              </w:rPr>
              <w:t>Yalnızca problem seçimi için araştırma ayrı kodlanır.</w:t>
            </w:r>
          </w:p>
        </w:tc>
      </w:tr>
      <w:tr>
        <w:trPr>
          <w:cantSplit/>
        </w:trPr>
        <w:tc>
          <w:tcPr>
            <w:tcW w:type="dxa" w:w="3005"/>
          </w:tcPr>
          <w:p>
            <w:pPr>
              <w:spacing w:line="252" w:lineRule="auto" w:after="60" w:before="40"/>
            </w:pPr>
            <w:r>
              <w:rPr>
                <w:rFonts w:ascii="Times New Roman" w:hAnsi="Times New Roman"/>
                <w:sz w:val="20"/>
              </w:rPr>
              <w:t>L04 — Uygulayarak ve ürünle öğrenme</w:t>
              <w:br/>
              <w:t>Öğrenme deneyimi</w:t>
            </w:r>
          </w:p>
        </w:tc>
        <w:tc>
          <w:tcPr>
            <w:tcW w:type="dxa" w:w="3005"/>
          </w:tcPr>
          <w:p>
            <w:pPr>
              <w:spacing w:line="252" w:lineRule="auto" w:after="60" w:before="40"/>
            </w:pPr>
            <w:r>
              <w:rPr>
                <w:rFonts w:ascii="Times New Roman" w:hAnsi="Times New Roman"/>
                <w:sz w:val="20"/>
              </w:rPr>
              <w:t>Bilgiyi uygulama/projede kullanma veya ürün oluşturmanın öğrenmeyle ilişkilendirilmesi</w:t>
            </w:r>
          </w:p>
        </w:tc>
        <w:tc>
          <w:tcPr>
            <w:tcW w:type="dxa" w:w="3005"/>
          </w:tcPr>
          <w:p>
            <w:pPr>
              <w:spacing w:line="252" w:lineRule="auto" w:after="60" w:before="40"/>
            </w:pPr>
            <w:r>
              <w:rPr>
                <w:rFonts w:ascii="Times New Roman" w:hAnsi="Times New Roman"/>
                <w:sz w:val="20"/>
              </w:rPr>
              <w:t>Yalnızca ürün yapıldığını söylemek her zaman öğrenme kanıtı değildir.</w:t>
            </w:r>
          </w:p>
        </w:tc>
      </w:tr>
      <w:tr>
        <w:trPr>
          <w:cantSplit/>
        </w:trPr>
        <w:tc>
          <w:tcPr>
            <w:tcW w:type="dxa" w:w="3005"/>
          </w:tcPr>
          <w:p>
            <w:pPr>
              <w:spacing w:line="252" w:lineRule="auto" w:after="60" w:before="40"/>
            </w:pPr>
            <w:r>
              <w:rPr>
                <w:rFonts w:ascii="Times New Roman" w:hAnsi="Times New Roman"/>
                <w:sz w:val="20"/>
              </w:rPr>
              <w:t>L05 — Diğer grupların sunumlarından öğrenme</w:t>
              <w:br/>
              <w:t>Öğrenme deneyimi</w:t>
            </w:r>
          </w:p>
        </w:tc>
        <w:tc>
          <w:tcPr>
            <w:tcW w:type="dxa" w:w="3005"/>
          </w:tcPr>
          <w:p>
            <w:pPr>
              <w:spacing w:line="252" w:lineRule="auto" w:after="60" w:before="40"/>
            </w:pPr>
            <w:r>
              <w:rPr>
                <w:rFonts w:ascii="Times New Roman" w:hAnsi="Times New Roman"/>
                <w:sz w:val="20"/>
              </w:rPr>
              <w:t>Başka projeleri inceleyerek farklı afetler hakkında bilgi edinme</w:t>
            </w:r>
          </w:p>
        </w:tc>
        <w:tc>
          <w:tcPr>
            <w:tcW w:type="dxa" w:w="3005"/>
          </w:tcPr>
          <w:p>
            <w:pPr>
              <w:spacing w:line="252" w:lineRule="auto" w:after="60" w:before="40"/>
            </w:pPr>
            <w:r>
              <w:rPr>
                <w:rFonts w:ascii="Times New Roman" w:hAnsi="Times New Roman"/>
                <w:sz w:val="20"/>
              </w:rPr>
              <w:t>Kendi konusu hakkında araştırma bu kod değildir.</w:t>
            </w:r>
          </w:p>
        </w:tc>
      </w:tr>
      <w:tr>
        <w:trPr>
          <w:cantSplit/>
        </w:trPr>
        <w:tc>
          <w:tcPr>
            <w:tcW w:type="dxa" w:w="3005"/>
          </w:tcPr>
          <w:p>
            <w:pPr>
              <w:spacing w:line="252" w:lineRule="auto" w:after="60" w:before="40"/>
            </w:pPr>
            <w:r>
              <w:rPr>
                <w:rFonts w:ascii="Times New Roman" w:hAnsi="Times New Roman"/>
                <w:sz w:val="20"/>
              </w:rPr>
              <w:t>L06 — Aktif katılım</w:t>
              <w:br/>
              <w:t>Öğrenme deneyimi</w:t>
            </w:r>
          </w:p>
        </w:tc>
        <w:tc>
          <w:tcPr>
            <w:tcW w:type="dxa" w:w="3005"/>
          </w:tcPr>
          <w:p>
            <w:pPr>
              <w:spacing w:line="252" w:lineRule="auto" w:after="60" w:before="40"/>
            </w:pPr>
            <w:r>
              <w:rPr>
                <w:rFonts w:ascii="Times New Roman" w:hAnsi="Times New Roman"/>
                <w:sz w:val="20"/>
              </w:rPr>
              <w:t>Dinlemek yerine araştırma, tartışma ve ürün üretmeyle derse aktif katılmayı açıkça vurgulama</w:t>
            </w:r>
          </w:p>
        </w:tc>
        <w:tc>
          <w:tcPr>
            <w:tcW w:type="dxa" w:w="3005"/>
          </w:tcPr>
          <w:p>
            <w:pPr>
              <w:spacing w:line="252" w:lineRule="auto" w:after="60" w:before="40"/>
            </w:pPr>
            <w:r>
              <w:rPr>
                <w:rFonts w:ascii="Times New Roman" w:hAnsi="Times New Roman"/>
                <w:sz w:val="20"/>
              </w:rPr>
              <w:t>Araştırma etkinliği tek başına aktif katılım yargısı sayılmaz.</w:t>
            </w:r>
          </w:p>
        </w:tc>
      </w:tr>
      <w:tr>
        <w:trPr>
          <w:cantSplit/>
        </w:trPr>
        <w:tc>
          <w:tcPr>
            <w:tcW w:type="dxa" w:w="3005"/>
          </w:tcPr>
          <w:p>
            <w:pPr>
              <w:spacing w:line="252" w:lineRule="auto" w:after="60" w:before="40"/>
            </w:pPr>
            <w:r>
              <w:rPr>
                <w:rFonts w:ascii="Times New Roman" w:hAnsi="Times New Roman"/>
                <w:sz w:val="20"/>
              </w:rPr>
              <w:t>L07 — Öğretmenliğe hazırlık</w:t>
              <w:br/>
              <w:t>Mesleki ve uygulamalı katkı</w:t>
            </w:r>
          </w:p>
        </w:tc>
        <w:tc>
          <w:tcPr>
            <w:tcW w:type="dxa" w:w="3005"/>
          </w:tcPr>
          <w:p>
            <w:pPr>
              <w:spacing w:line="252" w:lineRule="auto" w:after="60" w:before="40"/>
            </w:pPr>
            <w:r>
              <w:rPr>
                <w:rFonts w:ascii="Times New Roman" w:hAnsi="Times New Roman"/>
                <w:sz w:val="20"/>
              </w:rPr>
              <w:t>Süreci öğretmenliğe/gelecekteki mesleğe hazırlıkla ilişkilendirme</w:t>
            </w:r>
          </w:p>
        </w:tc>
        <w:tc>
          <w:tcPr>
            <w:tcW w:type="dxa" w:w="3005"/>
          </w:tcPr>
          <w:p>
            <w:pPr>
              <w:spacing w:line="252" w:lineRule="auto" w:after="60" w:before="40"/>
            </w:pPr>
            <w:r>
              <w:rPr>
                <w:rFonts w:ascii="Times New Roman" w:hAnsi="Times New Roman"/>
                <w:sz w:val="20"/>
              </w:rPr>
              <w:t>Genel beceri katkısı mesleki hazırlık sayılmaz.</w:t>
            </w:r>
          </w:p>
        </w:tc>
      </w:tr>
      <w:tr>
        <w:trPr>
          <w:cantSplit/>
        </w:trPr>
        <w:tc>
          <w:tcPr>
            <w:tcW w:type="dxa" w:w="3005"/>
          </w:tcPr>
          <w:p>
            <w:pPr>
              <w:spacing w:line="252" w:lineRule="auto" w:after="60" w:before="40"/>
            </w:pPr>
            <w:r>
              <w:rPr>
                <w:rFonts w:ascii="Times New Roman" w:hAnsi="Times New Roman"/>
                <w:sz w:val="20"/>
              </w:rPr>
              <w:t>L08 — Pratik yapma fırsatı</w:t>
              <w:br/>
              <w:t>Mesleki ve uygulamalı katkı</w:t>
            </w:r>
          </w:p>
        </w:tc>
        <w:tc>
          <w:tcPr>
            <w:tcW w:type="dxa" w:w="3005"/>
          </w:tcPr>
          <w:p>
            <w:pPr>
              <w:spacing w:line="252" w:lineRule="auto" w:after="60" w:before="40"/>
            </w:pPr>
            <w:r>
              <w:rPr>
                <w:rFonts w:ascii="Times New Roman" w:hAnsi="Times New Roman"/>
                <w:sz w:val="20"/>
              </w:rPr>
              <w:t>Uygulamaya/pratiğe fırsat sağladığının açık ifadesi</w:t>
            </w:r>
          </w:p>
        </w:tc>
        <w:tc>
          <w:tcPr>
            <w:tcW w:type="dxa" w:w="3005"/>
          </w:tcPr>
          <w:p>
            <w:pPr>
              <w:spacing w:line="252" w:lineRule="auto" w:after="60" w:before="40"/>
            </w:pPr>
            <w:r>
              <w:rPr>
                <w:rFonts w:ascii="Times New Roman" w:hAnsi="Times New Roman"/>
                <w:sz w:val="20"/>
              </w:rPr>
              <w:t>Bu kod beceri ölçümünü temsil etmez.</w:t>
            </w:r>
          </w:p>
        </w:tc>
      </w:tr>
      <w:tr>
        <w:trPr>
          <w:cantSplit/>
        </w:trPr>
        <w:tc>
          <w:tcPr>
            <w:tcW w:type="dxa" w:w="3005"/>
          </w:tcPr>
          <w:p>
            <w:pPr>
              <w:spacing w:line="252" w:lineRule="auto" w:after="60" w:before="40"/>
            </w:pPr>
            <w:r>
              <w:rPr>
                <w:rFonts w:ascii="Times New Roman" w:hAnsi="Times New Roman"/>
                <w:sz w:val="20"/>
              </w:rPr>
              <w:t>L09 — Yoruculuk ve güçlük</w:t>
              <w:br/>
              <w:t>Süreç güçlükleri</w:t>
            </w:r>
          </w:p>
        </w:tc>
        <w:tc>
          <w:tcPr>
            <w:tcW w:type="dxa" w:w="3005"/>
          </w:tcPr>
          <w:p>
            <w:pPr>
              <w:spacing w:line="252" w:lineRule="auto" w:after="60" w:before="40"/>
            </w:pPr>
            <w:r>
              <w:rPr>
                <w:rFonts w:ascii="Times New Roman" w:hAnsi="Times New Roman"/>
                <w:sz w:val="20"/>
              </w:rPr>
              <w:t>Sürecin yorucu veya zor olduğunun genel değerlendirmesi</w:t>
            </w:r>
          </w:p>
        </w:tc>
        <w:tc>
          <w:tcPr>
            <w:tcW w:type="dxa" w:w="3005"/>
          </w:tcPr>
          <w:p>
            <w:pPr>
              <w:spacing w:line="252" w:lineRule="auto" w:after="60" w:before="40"/>
            </w:pPr>
            <w:r>
              <w:rPr>
                <w:rFonts w:ascii="Times New Roman" w:hAnsi="Times New Roman"/>
                <w:sz w:val="20"/>
              </w:rPr>
              <w:t>Özel problem seçimi güçlüğü ayrıca kodlanır.</w:t>
            </w:r>
          </w:p>
        </w:tc>
      </w:tr>
      <w:tr>
        <w:trPr>
          <w:cantSplit/>
        </w:trPr>
        <w:tc>
          <w:tcPr>
            <w:tcW w:type="dxa" w:w="3005"/>
          </w:tcPr>
          <w:p>
            <w:pPr>
              <w:spacing w:line="252" w:lineRule="auto" w:after="60" w:before="40"/>
            </w:pPr>
            <w:r>
              <w:rPr>
                <w:rFonts w:ascii="Times New Roman" w:hAnsi="Times New Roman"/>
                <w:sz w:val="20"/>
              </w:rPr>
              <w:t>L10 — Maddi maliyet ve olanak kısıtı</w:t>
              <w:br/>
              <w:t>Süreç güçlükleri</w:t>
            </w:r>
          </w:p>
        </w:tc>
        <w:tc>
          <w:tcPr>
            <w:tcW w:type="dxa" w:w="3005"/>
          </w:tcPr>
          <w:p>
            <w:pPr>
              <w:spacing w:line="252" w:lineRule="auto" w:after="60" w:before="40"/>
            </w:pPr>
            <w:r>
              <w:rPr>
                <w:rFonts w:ascii="Times New Roman" w:hAnsi="Times New Roman"/>
                <w:sz w:val="20"/>
              </w:rPr>
              <w:t>Maliyet, malzeme temini veya sınırlı bütçenin güçlük oluşturması</w:t>
            </w:r>
          </w:p>
        </w:tc>
        <w:tc>
          <w:tcPr>
            <w:tcW w:type="dxa" w:w="3005"/>
          </w:tcPr>
          <w:p>
            <w:pPr>
              <w:spacing w:line="252" w:lineRule="auto" w:after="60" w:before="40"/>
            </w:pPr>
            <w:r>
              <w:rPr>
                <w:rFonts w:ascii="Times New Roman" w:hAnsi="Times New Roman"/>
                <w:sz w:val="20"/>
              </w:rPr>
              <w:t>Bütçe desteği önerisi ayrıca kodlanır.</w:t>
            </w:r>
          </w:p>
        </w:tc>
      </w:tr>
      <w:tr>
        <w:trPr>
          <w:cantSplit/>
        </w:trPr>
        <w:tc>
          <w:tcPr>
            <w:tcW w:type="dxa" w:w="3005"/>
          </w:tcPr>
          <w:p>
            <w:pPr>
              <w:spacing w:line="252" w:lineRule="auto" w:after="60" w:before="40"/>
            </w:pPr>
            <w:r>
              <w:rPr>
                <w:rFonts w:ascii="Times New Roman" w:hAnsi="Times New Roman"/>
                <w:sz w:val="20"/>
              </w:rPr>
              <w:t>L11 — Uzun sürme ve zaman yükü</w:t>
              <w:br/>
              <w:t>Süreç güçlükleri</w:t>
            </w:r>
          </w:p>
        </w:tc>
        <w:tc>
          <w:tcPr>
            <w:tcW w:type="dxa" w:w="3005"/>
          </w:tcPr>
          <w:p>
            <w:pPr>
              <w:spacing w:line="252" w:lineRule="auto" w:after="60" w:before="40"/>
            </w:pPr>
            <w:r>
              <w:rPr>
                <w:rFonts w:ascii="Times New Roman" w:hAnsi="Times New Roman"/>
                <w:sz w:val="20"/>
              </w:rPr>
              <w:t>Tasarım/uygulamanın çok zaman aldığının veya beklenenden uzun sürdüğünün açık ifadesi</w:t>
            </w:r>
          </w:p>
        </w:tc>
        <w:tc>
          <w:tcPr>
            <w:tcW w:type="dxa" w:w="3005"/>
          </w:tcPr>
          <w:p>
            <w:pPr>
              <w:spacing w:line="252" w:lineRule="auto" w:after="60" w:before="40"/>
            </w:pPr>
            <w:r>
              <w:rPr>
                <w:rFonts w:ascii="Times New Roman" w:hAnsi="Times New Roman"/>
                <w:sz w:val="20"/>
              </w:rPr>
              <w:t>Daha fazla süre isteme tek başına uzun sürme kodu değildir.</w:t>
            </w:r>
          </w:p>
        </w:tc>
      </w:tr>
      <w:tr>
        <w:trPr>
          <w:cantSplit/>
        </w:trPr>
        <w:tc>
          <w:tcPr>
            <w:tcW w:type="dxa" w:w="3005"/>
          </w:tcPr>
          <w:p>
            <w:pPr>
              <w:spacing w:line="252" w:lineRule="auto" w:after="60" w:before="40"/>
            </w:pPr>
            <w:r>
              <w:rPr>
                <w:rFonts w:ascii="Times New Roman" w:hAnsi="Times New Roman"/>
                <w:sz w:val="20"/>
              </w:rPr>
              <w:t>L12 — Bekleme ve zaman kaybı</w:t>
              <w:br/>
              <w:t>Süreç güçlükleri</w:t>
            </w:r>
          </w:p>
        </w:tc>
        <w:tc>
          <w:tcPr>
            <w:tcW w:type="dxa" w:w="3005"/>
          </w:tcPr>
          <w:p>
            <w:pPr>
              <w:spacing w:line="252" w:lineRule="auto" w:after="60" w:before="40"/>
            </w:pPr>
            <w:r>
              <w:rPr>
                <w:rFonts w:ascii="Times New Roman" w:hAnsi="Times New Roman"/>
                <w:sz w:val="20"/>
              </w:rPr>
              <w:t>Gruplar/öğretim elemanı nedeniyle bekleme veya zaman kaybı</w:t>
            </w:r>
          </w:p>
        </w:tc>
        <w:tc>
          <w:tcPr>
            <w:tcW w:type="dxa" w:w="3005"/>
          </w:tcPr>
          <w:p>
            <w:pPr>
              <w:spacing w:line="252" w:lineRule="auto" w:after="60" w:before="40"/>
            </w:pPr>
            <w:r>
              <w:rPr>
                <w:rFonts w:ascii="Times New Roman" w:hAnsi="Times New Roman"/>
                <w:sz w:val="20"/>
              </w:rPr>
              <w:t>Süreç genel olarak uzun ise ama bekleme yoksa ayrı kodlanır.</w:t>
            </w:r>
          </w:p>
        </w:tc>
      </w:tr>
      <w:tr>
        <w:trPr>
          <w:cantSplit/>
        </w:trPr>
        <w:tc>
          <w:tcPr>
            <w:tcW w:type="dxa" w:w="3005"/>
          </w:tcPr>
          <w:p>
            <w:pPr>
              <w:spacing w:line="252" w:lineRule="auto" w:after="60" w:before="40"/>
            </w:pPr>
            <w:r>
              <w:rPr>
                <w:rFonts w:ascii="Times New Roman" w:hAnsi="Times New Roman"/>
                <w:sz w:val="20"/>
              </w:rPr>
              <w:t>L13 — Serbest zamanın verimsiz kullanılması</w:t>
              <w:br/>
              <w:t>Süreç güçlükleri</w:t>
            </w:r>
          </w:p>
        </w:tc>
        <w:tc>
          <w:tcPr>
            <w:tcW w:type="dxa" w:w="3005"/>
          </w:tcPr>
          <w:p>
            <w:pPr>
              <w:spacing w:line="252" w:lineRule="auto" w:after="60" w:before="40"/>
            </w:pPr>
            <w:r>
              <w:rPr>
                <w:rFonts w:ascii="Times New Roman" w:hAnsi="Times New Roman"/>
                <w:sz w:val="20"/>
              </w:rPr>
              <w:t>Serbest ders zamanının boş/tatil gibi algılanması</w:t>
            </w:r>
          </w:p>
        </w:tc>
        <w:tc>
          <w:tcPr>
            <w:tcW w:type="dxa" w:w="3005"/>
          </w:tcPr>
          <w:p>
            <w:pPr>
              <w:spacing w:line="252" w:lineRule="auto" w:after="60" w:before="40"/>
            </w:pPr>
            <w:r>
              <w:rPr>
                <w:rFonts w:ascii="Times New Roman" w:hAnsi="Times New Roman"/>
                <w:sz w:val="20"/>
              </w:rPr>
              <w:t>Özerk çalışma bütünüyle olumsuz sayılmaz.</w:t>
            </w:r>
          </w:p>
        </w:tc>
      </w:tr>
      <w:tr>
        <w:trPr>
          <w:cantSplit/>
        </w:trPr>
        <w:tc>
          <w:tcPr>
            <w:tcW w:type="dxa" w:w="3005"/>
          </w:tcPr>
          <w:p>
            <w:pPr>
              <w:spacing w:line="252" w:lineRule="auto" w:after="60" w:before="40"/>
            </w:pPr>
            <w:r>
              <w:rPr>
                <w:rFonts w:ascii="Times New Roman" w:hAnsi="Times New Roman"/>
                <w:sz w:val="20"/>
              </w:rPr>
              <w:t>L14 — Grupların farklı hızlarda ilerlemesi</w:t>
              <w:br/>
              <w:t>Süreç güçlükleri</w:t>
            </w:r>
          </w:p>
        </w:tc>
        <w:tc>
          <w:tcPr>
            <w:tcW w:type="dxa" w:w="3005"/>
          </w:tcPr>
          <w:p>
            <w:pPr>
              <w:spacing w:line="252" w:lineRule="auto" w:after="60" w:before="40"/>
            </w:pPr>
            <w:r>
              <w:rPr>
                <w:rFonts w:ascii="Times New Roman" w:hAnsi="Times New Roman"/>
                <w:sz w:val="20"/>
              </w:rPr>
              <w:t>Bazı gruplar gerideyken başkalarının ilerlemiş olması</w:t>
            </w:r>
          </w:p>
        </w:tc>
        <w:tc>
          <w:tcPr>
            <w:tcW w:type="dxa" w:w="3005"/>
          </w:tcPr>
          <w:p>
            <w:pPr>
              <w:spacing w:line="252" w:lineRule="auto" w:after="60" w:before="40"/>
            </w:pPr>
            <w:r>
              <w:rPr>
                <w:rFonts w:ascii="Times New Roman" w:hAnsi="Times New Roman"/>
                <w:sz w:val="20"/>
              </w:rPr>
              <w:t>Yalnızca grup sayısının çokluğu bu kod değildir.</w:t>
            </w:r>
          </w:p>
        </w:tc>
      </w:tr>
    </w:tbl>
    <w:p>
      <w:bookmarkStart w:id="8089" w:name="Ortak40_8089"/>
      <w:bookmarkStart w:id="5089" w:name="Birlesik_5089"/>
      <w:pPr>
        <w:pStyle w:val="Balk3"/>
        <w:keepNext/>
        <w:widowControl/>
      </w:pPr>
      <w:r>
        <w:t>T4. Öğretim sürecini geliştirmeye yönelik öneriler</w:t>
      </w:r>
      <w:bookmarkEnd w:id="5089"/>
      <w:bookmarkEnd w:id="8089"/>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R01 — Daha fazla süre</w:t>
              <w:br/>
              <w:t>Süre ve ders yönetimi</w:t>
            </w:r>
          </w:p>
        </w:tc>
        <w:tc>
          <w:tcPr>
            <w:tcW w:type="dxa" w:w="3005"/>
          </w:tcPr>
          <w:p>
            <w:pPr>
              <w:spacing w:line="252" w:lineRule="auto" w:after="60" w:before="40"/>
            </w:pPr>
            <w:r>
              <w:rPr>
                <w:rFonts w:ascii="Times New Roman" w:hAnsi="Times New Roman"/>
                <w:sz w:val="20"/>
              </w:rPr>
              <w:t>Süreç için ek zaman isteme</w:t>
            </w:r>
          </w:p>
        </w:tc>
        <w:tc>
          <w:tcPr>
            <w:tcW w:type="dxa" w:w="3005"/>
          </w:tcPr>
          <w:p>
            <w:pPr>
              <w:spacing w:line="252" w:lineRule="auto" w:after="60" w:before="40"/>
            </w:pPr>
            <w:r>
              <w:rPr>
                <w:rFonts w:ascii="Times New Roman" w:hAnsi="Times New Roman"/>
                <w:sz w:val="20"/>
              </w:rPr>
              <w:t>Verimsizliği otomatik olarak daha az süre isteme diye yorumlamamak gerekir.</w:t>
            </w:r>
          </w:p>
        </w:tc>
      </w:tr>
      <w:tr>
        <w:trPr>
          <w:cantSplit/>
        </w:trPr>
        <w:tc>
          <w:tcPr>
            <w:tcW w:type="dxa" w:w="3005"/>
          </w:tcPr>
          <w:p>
            <w:pPr>
              <w:spacing w:line="252" w:lineRule="auto" w:after="60" w:before="40"/>
            </w:pPr>
            <w:r>
              <w:rPr>
                <w:rFonts w:ascii="Times New Roman" w:hAnsi="Times New Roman"/>
                <w:sz w:val="20"/>
              </w:rPr>
              <w:t>R02 — Serbest zamanı planlama</w:t>
              <w:br/>
              <w:t>Süre ve ders yönetimi</w:t>
            </w:r>
          </w:p>
        </w:tc>
        <w:tc>
          <w:tcPr>
            <w:tcW w:type="dxa" w:w="3005"/>
          </w:tcPr>
          <w:p>
            <w:pPr>
              <w:spacing w:line="252" w:lineRule="auto" w:after="60" w:before="40"/>
            </w:pPr>
            <w:r>
              <w:rPr>
                <w:rFonts w:ascii="Times New Roman" w:hAnsi="Times New Roman"/>
                <w:sz w:val="20"/>
              </w:rPr>
              <w:t>Serbest verilen zamanı daha planlı ve verimli kullanma önerisi</w:t>
            </w:r>
          </w:p>
        </w:tc>
        <w:tc>
          <w:tcPr>
            <w:tcW w:type="dxa" w:w="3005"/>
          </w:tcPr>
          <w:p>
            <w:pPr>
              <w:spacing w:line="252" w:lineRule="auto" w:after="60" w:before="40"/>
            </w:pPr>
            <w:r>
              <w:rPr>
                <w:rFonts w:ascii="Times New Roman" w:hAnsi="Times New Roman"/>
                <w:sz w:val="20"/>
              </w:rPr>
              <w:t>Serbest zamanı kesin kaldırma önerisi yoksa böyle adlandırılmaz.</w:t>
            </w:r>
          </w:p>
        </w:tc>
      </w:tr>
      <w:tr>
        <w:trPr>
          <w:cantSplit/>
        </w:trPr>
        <w:tc>
          <w:tcPr>
            <w:tcW w:type="dxa" w:w="3005"/>
          </w:tcPr>
          <w:p>
            <w:pPr>
              <w:spacing w:line="252" w:lineRule="auto" w:after="60" w:before="40"/>
            </w:pPr>
            <w:r>
              <w:rPr>
                <w:rFonts w:ascii="Times New Roman" w:hAnsi="Times New Roman"/>
                <w:sz w:val="20"/>
              </w:rPr>
              <w:t>R03 — Problem belirlemede yönlendirme</w:t>
              <w:br/>
              <w:t>Başlangıç rehberliği</w:t>
            </w:r>
          </w:p>
        </w:tc>
        <w:tc>
          <w:tcPr>
            <w:tcW w:type="dxa" w:w="3005"/>
          </w:tcPr>
          <w:p>
            <w:pPr>
              <w:spacing w:line="252" w:lineRule="auto" w:after="60" w:before="40"/>
            </w:pPr>
            <w:r>
              <w:rPr>
                <w:rFonts w:ascii="Times New Roman" w:hAnsi="Times New Roman"/>
                <w:sz w:val="20"/>
              </w:rPr>
              <w:t>Başlangıç/problem belirleme aşamasında öğretici rehberliği isteme</w:t>
            </w:r>
          </w:p>
        </w:tc>
        <w:tc>
          <w:tcPr>
            <w:tcW w:type="dxa" w:w="3005"/>
          </w:tcPr>
          <w:p>
            <w:pPr>
              <w:spacing w:line="252" w:lineRule="auto" w:after="60" w:before="40"/>
            </w:pPr>
            <w:r>
              <w:rPr>
                <w:rFonts w:ascii="Times New Roman" w:hAnsi="Times New Roman"/>
                <w:sz w:val="20"/>
              </w:rPr>
              <w:t>Hazır problemin verilmesiyle eşit değildir.</w:t>
            </w:r>
          </w:p>
        </w:tc>
      </w:tr>
      <w:tr>
        <w:trPr>
          <w:cantSplit/>
        </w:trPr>
        <w:tc>
          <w:tcPr>
            <w:tcW w:type="dxa" w:w="3005"/>
          </w:tcPr>
          <w:p>
            <w:pPr>
              <w:spacing w:line="252" w:lineRule="auto" w:after="60" w:before="40"/>
            </w:pPr>
            <w:r>
              <w:rPr>
                <w:rFonts w:ascii="Times New Roman" w:hAnsi="Times New Roman"/>
                <w:sz w:val="20"/>
              </w:rPr>
              <w:t>R04 — Başlangıç örneklerini artırma</w:t>
              <w:br/>
              <w:t>Başlangıç rehberliği</w:t>
            </w:r>
          </w:p>
        </w:tc>
        <w:tc>
          <w:tcPr>
            <w:tcW w:type="dxa" w:w="3005"/>
          </w:tcPr>
          <w:p>
            <w:pPr>
              <w:spacing w:line="252" w:lineRule="auto" w:after="60" w:before="40"/>
            </w:pPr>
            <w:r>
              <w:rPr>
                <w:rFonts w:ascii="Times New Roman" w:hAnsi="Times New Roman"/>
                <w:sz w:val="20"/>
              </w:rPr>
              <w:t>Uygun proje/problem örneklerinin artırılması</w:t>
            </w:r>
          </w:p>
        </w:tc>
        <w:tc>
          <w:tcPr>
            <w:tcW w:type="dxa" w:w="3005"/>
          </w:tcPr>
          <w:p>
            <w:pPr>
              <w:spacing w:line="252" w:lineRule="auto" w:after="60" w:before="40"/>
            </w:pPr>
            <w:r>
              <w:rPr>
                <w:rFonts w:ascii="Times New Roman" w:hAnsi="Times New Roman"/>
                <w:sz w:val="20"/>
              </w:rPr>
              <w:t>Katılımcının özerkliğini kaldırma varsayılmaz.</w:t>
            </w:r>
          </w:p>
        </w:tc>
      </w:tr>
      <w:tr>
        <w:trPr>
          <w:cantSplit/>
        </w:trPr>
        <w:tc>
          <w:tcPr>
            <w:tcW w:type="dxa" w:w="3005"/>
          </w:tcPr>
          <w:p>
            <w:pPr>
              <w:spacing w:line="252" w:lineRule="auto" w:after="60" w:before="40"/>
            </w:pPr>
            <w:r>
              <w:rPr>
                <w:rFonts w:ascii="Times New Roman" w:hAnsi="Times New Roman"/>
                <w:sz w:val="20"/>
              </w:rPr>
              <w:t>R05 — Bütçe ve malzeme desteği</w:t>
              <w:br/>
              <w:t>Kaynak desteği</w:t>
            </w:r>
          </w:p>
        </w:tc>
        <w:tc>
          <w:tcPr>
            <w:tcW w:type="dxa" w:w="3005"/>
          </w:tcPr>
          <w:p>
            <w:pPr>
              <w:spacing w:line="252" w:lineRule="auto" w:after="60" w:before="40"/>
            </w:pPr>
            <w:r>
              <w:rPr>
                <w:rFonts w:ascii="Times New Roman" w:hAnsi="Times New Roman"/>
                <w:sz w:val="20"/>
              </w:rPr>
              <w:t>Malzeme veya bütçede düzenleme önerisi</w:t>
            </w:r>
          </w:p>
        </w:tc>
        <w:tc>
          <w:tcPr>
            <w:tcW w:type="dxa" w:w="3005"/>
          </w:tcPr>
          <w:p>
            <w:pPr>
              <w:spacing w:line="252" w:lineRule="auto" w:after="60" w:before="40"/>
            </w:pPr>
            <w:r>
              <w:rPr>
                <w:rFonts w:ascii="Times New Roman" w:hAnsi="Times New Roman"/>
                <w:sz w:val="20"/>
              </w:rPr>
              <w:t>Yalnızca maliyet şikâyeti ayrı tutulur.</w:t>
            </w:r>
          </w:p>
        </w:tc>
      </w:tr>
      <w:tr>
        <w:trPr>
          <w:cantSplit/>
        </w:trPr>
        <w:tc>
          <w:tcPr>
            <w:tcW w:type="dxa" w:w="3005"/>
          </w:tcPr>
          <w:p>
            <w:pPr>
              <w:spacing w:line="252" w:lineRule="auto" w:after="60" w:before="40"/>
            </w:pPr>
            <w:r>
              <w:rPr>
                <w:rFonts w:ascii="Times New Roman" w:hAnsi="Times New Roman"/>
                <w:sz w:val="20"/>
              </w:rPr>
              <w:t>R06 — Bekleme sürelerini azaltma</w:t>
              <w:br/>
              <w:t>Süre ve ders yönetimi</w:t>
            </w:r>
          </w:p>
        </w:tc>
        <w:tc>
          <w:tcPr>
            <w:tcW w:type="dxa" w:w="3005"/>
          </w:tcPr>
          <w:p>
            <w:pPr>
              <w:spacing w:line="252" w:lineRule="auto" w:after="60" w:before="40"/>
            </w:pPr>
            <w:r>
              <w:rPr>
                <w:rFonts w:ascii="Times New Roman" w:hAnsi="Times New Roman"/>
                <w:sz w:val="20"/>
              </w:rPr>
              <w:t>Grup/öğretim elemanı beklemelerini azaltıp dersi verimli kılma önerisi</w:t>
            </w:r>
          </w:p>
        </w:tc>
        <w:tc>
          <w:tcPr>
            <w:tcW w:type="dxa" w:w="3005"/>
          </w:tcPr>
          <w:p>
            <w:pPr>
              <w:spacing w:line="252" w:lineRule="auto" w:after="60" w:before="40"/>
            </w:pPr>
            <w:r>
              <w:rPr>
                <w:rFonts w:ascii="Times New Roman" w:hAnsi="Times New Roman"/>
                <w:sz w:val="20"/>
              </w:rPr>
              <w:t>Genel zaman kaybı şikâyeti tek başına öneri değildir.</w:t>
            </w:r>
          </w:p>
        </w:tc>
      </w:tr>
      <w:tr>
        <w:trPr>
          <w:cantSplit/>
        </w:trPr>
        <w:tc>
          <w:tcPr>
            <w:tcW w:type="dxa" w:w="3005"/>
          </w:tcPr>
          <w:p>
            <w:pPr>
              <w:spacing w:line="252" w:lineRule="auto" w:after="60" w:before="40"/>
            </w:pPr>
            <w:r>
              <w:rPr>
                <w:rFonts w:ascii="Times New Roman" w:hAnsi="Times New Roman"/>
                <w:sz w:val="20"/>
              </w:rPr>
              <w:t>R07 — Aşamaya uygun farklı görevler</w:t>
              <w:br/>
              <w:t>Süre ve ders yönetimi</w:t>
            </w:r>
          </w:p>
        </w:tc>
        <w:tc>
          <w:tcPr>
            <w:tcW w:type="dxa" w:w="3005"/>
          </w:tcPr>
          <w:p>
            <w:pPr>
              <w:spacing w:line="252" w:lineRule="auto" w:after="60" w:before="40"/>
            </w:pPr>
            <w:r>
              <w:rPr>
                <w:rFonts w:ascii="Times New Roman" w:hAnsi="Times New Roman"/>
                <w:sz w:val="20"/>
              </w:rPr>
              <w:t>Grupların ilerlediği aşamaya göre farklı görevler verilmesi</w:t>
            </w:r>
          </w:p>
        </w:tc>
        <w:tc>
          <w:tcPr>
            <w:tcW w:type="dxa" w:w="3005"/>
          </w:tcPr>
          <w:p>
            <w:pPr>
              <w:spacing w:line="252" w:lineRule="auto" w:after="60" w:before="40"/>
            </w:pPr>
            <w:r>
              <w:rPr>
                <w:rFonts w:ascii="Times New Roman" w:hAnsi="Times New Roman"/>
                <w:sz w:val="20"/>
              </w:rPr>
              <w:t>Gruplar arası hız farkı, öneri kurulmadan aynı kod sayılmaz.</w:t>
            </w:r>
          </w:p>
        </w:tc>
      </w:tr>
      <w:tr>
        <w:trPr>
          <w:cantSplit/>
        </w:trPr>
        <w:tc>
          <w:tcPr>
            <w:tcW w:type="dxa" w:w="3005"/>
          </w:tcPr>
          <w:p>
            <w:pPr>
              <w:spacing w:line="252" w:lineRule="auto" w:after="60" w:before="40"/>
            </w:pPr>
            <w:r>
              <w:rPr>
                <w:rFonts w:ascii="Times New Roman" w:hAnsi="Times New Roman"/>
                <w:sz w:val="20"/>
              </w:rPr>
              <w:t>R08 — Küçük grup büyüklüğü</w:t>
              <w:br/>
              <w:t>Grup düzeni</w:t>
            </w:r>
          </w:p>
        </w:tc>
        <w:tc>
          <w:tcPr>
            <w:tcW w:type="dxa" w:w="3005"/>
          </w:tcPr>
          <w:p>
            <w:pPr>
              <w:spacing w:line="252" w:lineRule="auto" w:after="60" w:before="40"/>
            </w:pPr>
            <w:r>
              <w:rPr>
                <w:rFonts w:ascii="Times New Roman" w:hAnsi="Times New Roman"/>
                <w:sz w:val="20"/>
              </w:rPr>
              <w:t>3–4 kişilik grupları uygun, 7–8 kişilik grupları zorlayıcı görme</w:t>
            </w:r>
          </w:p>
        </w:tc>
        <w:tc>
          <w:tcPr>
            <w:tcW w:type="dxa" w:w="3005"/>
          </w:tcPr>
          <w:p>
            <w:pPr>
              <w:spacing w:line="252" w:lineRule="auto" w:after="60" w:before="40"/>
            </w:pPr>
            <w:r>
              <w:rPr>
                <w:rFonts w:ascii="Times New Roman" w:hAnsi="Times New Roman"/>
                <w:sz w:val="20"/>
              </w:rPr>
              <w:t>Bu sayılar çalışma grubunun veya görüşmeci sayısının yerine kullanılamaz.</w:t>
            </w:r>
          </w:p>
        </w:tc>
      </w:tr>
      <w:tr>
        <w:trPr>
          <w:cantSplit/>
        </w:trPr>
        <w:tc>
          <w:tcPr>
            <w:tcW w:type="dxa" w:w="3005"/>
          </w:tcPr>
          <w:p>
            <w:pPr>
              <w:spacing w:line="252" w:lineRule="auto" w:after="60" w:before="40"/>
            </w:pPr>
            <w:r>
              <w:rPr>
                <w:rFonts w:ascii="Times New Roman" w:hAnsi="Times New Roman"/>
                <w:sz w:val="20"/>
              </w:rPr>
              <w:t>R09 — Özerk problem seçimini koruma</w:t>
              <w:br/>
              <w:t>Başlangıç rehberliği</w:t>
            </w:r>
          </w:p>
        </w:tc>
        <w:tc>
          <w:tcPr>
            <w:tcW w:type="dxa" w:w="3005"/>
          </w:tcPr>
          <w:p>
            <w:pPr>
              <w:spacing w:line="252" w:lineRule="auto" w:after="60" w:before="40"/>
            </w:pPr>
            <w:r>
              <w:rPr>
                <w:rFonts w:ascii="Times New Roman" w:hAnsi="Times New Roman"/>
                <w:sz w:val="20"/>
              </w:rPr>
              <w:t>Rehberlik isterken problemin doğrudan verilmesini istememe</w:t>
            </w:r>
          </w:p>
        </w:tc>
        <w:tc>
          <w:tcPr>
            <w:tcW w:type="dxa" w:w="3005"/>
          </w:tcPr>
          <w:p>
            <w:pPr>
              <w:spacing w:line="252" w:lineRule="auto" w:after="60" w:before="40"/>
            </w:pPr>
            <w:r>
              <w:rPr>
                <w:rFonts w:ascii="Times New Roman" w:hAnsi="Times New Roman"/>
                <w:sz w:val="20"/>
              </w:rPr>
              <w:t>Rehberliğin tamamen reddi değildir.</w:t>
            </w:r>
          </w:p>
        </w:tc>
      </w:tr>
    </w:tbl>
    <w:sectPr w:rsidR="00623E78" w:rsidRPr="00623E78" w:rsidSect="000A4D17">
      <w:headerReference w:type="default" r:id="rId15"/>
      <w:footerReference w:type="default" r:id="rId25"/>
      <w:pgSz w:w="11906" w:h="16838"/>
      <w:pgMar w:top="1417" w:right="1417" w:bottom="1417" w:left="1417" w:header="708" w:footer="708" w:gutter="0"/>
      <w:pgNumType w:start="1" w:fmt="decimal"/>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pPr>
      <w:spacing w:line="360" w:lineRule="auto" w:after="120"/>
    </w:pPr>
    <w:rPr>
      <w:rFonts w:ascii="Times New Roman" w:hAnsi="Times New Roman"/>
      <w:sz w:val="24"/>
      <w:lang w:val="tr-TR"/>
    </w:rPr>
  </w:style>
  <w:style w:type="paragraph" w:styleId="Balk1">
    <w:name w:val="heading 1"/>
    <w:basedOn w:val="Normal"/>
    <w:next w:val="Normal"/>
    <w:link w:val="Balk1Char"/>
    <w:uiPriority w:val="9"/>
    <w:qFormat/>
    <w:rsid w:val="00EE3619"/>
    <w:pPr>
      <w:keepNext/>
      <w:keepLines/>
      <w:spacing w:before="160" w:line="360" w:lineRule="auto"/>
      <w:outlineLvl w:val="0"/>
    </w:pPr>
    <w:rPr>
      <w:rFonts w:ascii="Times New Roman" w:eastAsiaTheme="majorEastAsia" w:hAnsi="Times New Roman" w:cstheme="majorBidi"/>
      <w:b/>
      <w:color w:val="000000"/>
      <w:sz w:val="28"/>
      <w:szCs w:val="32"/>
    </w:rPr>
  </w:style>
  <w:style w:type="paragraph" w:styleId="Balk2">
    <w:name w:val="heading 2"/>
    <w:basedOn w:val="Normal"/>
    <w:next w:val="Normal"/>
    <w:link w:val="Balk2Char"/>
    <w:uiPriority w:val="9"/>
    <w:unhideWhenUsed/>
    <w:qFormat/>
    <w:rsid w:val="00EE3619"/>
    <w:pPr>
      <w:keepNext/>
      <w:keepLines/>
      <w:spacing w:line="360" w:lineRule="auto"/>
      <w:outlineLvl w:val="1"/>
    </w:pPr>
    <w:rPr>
      <w:rFonts w:ascii="Times New Roman" w:eastAsiaTheme="majorEastAsia" w:hAnsi="Times New Roman" w:cstheme="majorBidi"/>
      <w:b/>
      <w:color w:val="000000"/>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outlineLvl w:val="2"/>
    </w:pPr>
    <w:rPr>
      <w:rFonts w:ascii="Times New Roman" w:eastAsiaTheme="majorEastAsia" w:hAnsi="Times New Roman" w:cstheme="majorBidi"/>
      <w:b/>
      <w:color w:val="000000"/>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00" w:line="240" w:lineRule="auto"/>
    </w:pPr>
    <w:rPr>
      <w:i/>
      <w:iCs/>
      <w:color w:val="44546A" w:themeColor="text2"/>
      <w:sz w:val="18"/>
      <w:szCs w:val="18"/>
    </w:rPr>
  </w:style>
  <w:style w:type="paragraph" w:customStyle="1" w:styleId="Heading4">
    <w:name w:val="heading 4"/>
    <w:basedOn w:val="Balk3"/>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footer" Target="footer2.xml"/><Relationship Id="rId25"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Doğal afetler temalı proje tabanlı öğrenme — bütünleştirilmiş tez</dc:title>
  <dc:subject>Aynı 40 katılımcıyla düzeltilmiş nicel analizler; danışman geri bildirimi</dc:subject>
  <dc:creator>Gökhan Kaya</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