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44"/>
          <w:szCs w:val="44"/>
        </w:rPr>
        <w:t xml:space="preserve">SOFTWARE REQUIREMENTS SPECIFICATION</w:t>
      </w:r>
    </w:p>
    <w:p>
      <w:pPr>
        <w:pBdr>
          <w:bottom w:val="single" w:color="2E75B5" w:sz="12"/>
        </w:pBdr>
        <w:spacing w:after="240" w:before="0"/>
      </w:pPr>
      <w:r>
        <w:rPr>
          <w:rFonts w:ascii="Arial" w:cs="Arial" w:eastAsia="Arial" w:hAnsi="Arial"/>
          <w:sz w:val="10"/>
          <w:szCs w:val="10"/>
        </w:rPr>
        <w:t xml:space="preserve"/>
      </w:r>
    </w:p>
    <w:p>
      <w:pPr>
        <w:spacing w:after="80" w:before="0"/>
        <w:jc w:val="center"/>
      </w:pPr>
      <w:r>
        <w:rPr>
          <w:rFonts w:ascii="Arial" w:cs="Arial" w:eastAsia="Arial" w:hAnsi="Arial"/>
          <w:b/>
          <w:bCs/>
          <w:color w:val="2E75B5"/>
          <w:sz w:val="36"/>
          <w:szCs w:val="36"/>
        </w:rPr>
        <w:t xml:space="preserve">HEALTH AI CO-CREATION PLATFORM</w:t>
      </w:r>
    </w:p>
    <w:p>
      <w:pPr>
        <w:spacing w:after="480" w:before="0"/>
        <w:jc w:val="center"/>
      </w:pPr>
      <w:r>
        <w:rPr>
          <w:rFonts w:ascii="Arial" w:cs="Arial" w:eastAsia="Arial" w:hAnsi="Arial"/>
          <w:i/>
          <w:iCs/>
          <w:color w:val="555555"/>
          <w:sz w:val="22"/>
          <w:szCs w:val="22"/>
        </w:rPr>
        <w:t xml:space="preserve">GDPR-Compliant Medical AI Collaboration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AAAAAA" w:sz="4"/>
              <w:left w:val="single" w:color="AAAAAA" w:sz="4"/>
              <w:bottom w:val="single" w:color="AAAAAA" w:sz="4"/>
              <w:right w:val="single" w:color="AAAAAA" w:sz="4"/>
            </w:tcBorders>
            <w:shd w:fill="E8F0F8" w:val="clear"/>
            <w:tcMar>
              <w:top w:type="dxa" w:w="80"/>
              <w:left w:type="dxa" w:w="140"/>
              <w:bottom w:type="dxa" w:w="80"/>
              <w:right w:type="dxa" w:w="80"/>
            </w:tcMar>
          </w:tcPr>
          <w:p>
            <w:pPr>
              <w:spacing w:after="0"/>
            </w:pPr>
            <w:r>
              <w:rPr>
                <w:rFonts w:ascii="Arial" w:cs="Arial" w:eastAsia="Arial" w:hAnsi="Arial"/>
                <w:b/>
                <w:bCs/>
                <w:sz w:val="20"/>
                <w:szCs w:val="20"/>
              </w:rPr>
              <w:t xml:space="preserve">Course</w:t>
            </w:r>
          </w:p>
        </w:tc>
        <w:tc>
          <w:tcPr>
            <w:tcW w:type="dxa" w:w="6438"/>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SENG 384</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80"/>
            </w:tcMar>
          </w:tcPr>
          <w:p>
            <w:pPr>
              <w:spacing w:after="0"/>
            </w:pPr>
            <w:r>
              <w:rPr>
                <w:rFonts w:ascii="Arial" w:cs="Arial" w:eastAsia="Arial" w:hAnsi="Arial"/>
                <w:b/>
                <w:bCs/>
                <w:sz w:val="20"/>
                <w:szCs w:val="20"/>
              </w:rPr>
              <w:t xml:space="preserve">Group No / Name</w:t>
            </w:r>
          </w:p>
        </w:tc>
        <w:tc>
          <w:tcPr>
            <w:tcW w:type="dxa" w:w="6438"/>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after="0"/>
            </w:pPr>
            <w:r>
              <w:rPr>
                <w:rFonts w:ascii="Arial" w:cs="Arial" w:eastAsia="Arial" w:hAnsi="Arial"/>
                <w:sz w:val="20"/>
                <w:szCs w:val="20"/>
              </w:rPr>
              <w:t xml:space="preserve"/>
            </w:r>
          </w:p>
        </w:tc>
      </w:tr>
      <w:tr>
        <w:tc>
          <w:tcPr>
            <w:tcW w:type="dxa" w:w="3200"/>
            <w:tcBorders>
              <w:top w:val="single" w:color="AAAAAA" w:sz="4"/>
              <w:left w:val="single" w:color="AAAAAA" w:sz="4"/>
              <w:bottom w:val="single" w:color="AAAAAA" w:sz="4"/>
              <w:right w:val="single" w:color="AAAAAA" w:sz="4"/>
            </w:tcBorders>
            <w:shd w:fill="E8F0F8" w:val="clear"/>
            <w:tcMar>
              <w:top w:type="dxa" w:w="80"/>
              <w:left w:type="dxa" w:w="140"/>
              <w:bottom w:type="dxa" w:w="80"/>
              <w:right w:type="dxa" w:w="80"/>
            </w:tcMar>
          </w:tcPr>
          <w:p>
            <w:pPr>
              <w:spacing w:after="0"/>
            </w:pPr>
            <w:r>
              <w:rPr>
                <w:rFonts w:ascii="Arial" w:cs="Arial" w:eastAsia="Arial" w:hAnsi="Arial"/>
                <w:b/>
                <w:bCs/>
                <w:sz w:val="20"/>
                <w:szCs w:val="20"/>
              </w:rPr>
              <w:t xml:space="preserve">Group Members</w:t>
            </w:r>
          </w:p>
        </w:tc>
        <w:tc>
          <w:tcPr>
            <w:tcW w:type="dxa" w:w="6438"/>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Goksu Bulut, Elif Istanbulluoglu, Ceren Gokdere</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80"/>
            </w:tcMar>
          </w:tcPr>
          <w:p>
            <w:pPr>
              <w:spacing w:after="0"/>
            </w:pPr>
            <w:r>
              <w:rPr>
                <w:rFonts w:ascii="Arial" w:cs="Arial" w:eastAsia="Arial" w:hAnsi="Arial"/>
                <w:b/>
                <w:bCs/>
                <w:sz w:val="20"/>
                <w:szCs w:val="20"/>
              </w:rPr>
              <w:t xml:space="preserve">Student IDs</w:t>
            </w:r>
          </w:p>
        </w:tc>
        <w:tc>
          <w:tcPr>
            <w:tcW w:type="dxa" w:w="6438"/>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after="0"/>
            </w:pPr>
            <w:r>
              <w:rPr>
                <w:rFonts w:ascii="Arial" w:cs="Arial" w:eastAsia="Arial" w:hAnsi="Arial"/>
                <w:sz w:val="20"/>
                <w:szCs w:val="20"/>
              </w:rPr>
              <w:t xml:space="preserve"/>
            </w:r>
          </w:p>
        </w:tc>
      </w:tr>
      <w:tr>
        <w:tc>
          <w:tcPr>
            <w:tcW w:type="dxa" w:w="3200"/>
            <w:tcBorders>
              <w:top w:val="single" w:color="AAAAAA" w:sz="4"/>
              <w:left w:val="single" w:color="AAAAAA" w:sz="4"/>
              <w:bottom w:val="single" w:color="AAAAAA" w:sz="4"/>
              <w:right w:val="single" w:color="AAAAAA" w:sz="4"/>
            </w:tcBorders>
            <w:shd w:fill="E8F0F8" w:val="clear"/>
            <w:tcMar>
              <w:top w:type="dxa" w:w="80"/>
              <w:left w:type="dxa" w:w="140"/>
              <w:bottom w:type="dxa" w:w="80"/>
              <w:right w:type="dxa" w:w="80"/>
            </w:tcMar>
          </w:tcPr>
          <w:p>
            <w:pPr>
              <w:spacing w:after="0"/>
            </w:pPr>
            <w:r>
              <w:rPr>
                <w:rFonts w:ascii="Arial" w:cs="Arial" w:eastAsia="Arial" w:hAnsi="Arial"/>
                <w:b/>
                <w:bCs/>
                <w:sz w:val="20"/>
                <w:szCs w:val="20"/>
              </w:rPr>
              <w:t xml:space="preserve">Submission Date</w:t>
            </w:r>
          </w:p>
        </w:tc>
        <w:tc>
          <w:tcPr>
            <w:tcW w:type="dxa" w:w="6438"/>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16 / 04 / 2026</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80"/>
            </w:tcMar>
          </w:tcPr>
          <w:p>
            <w:pPr>
              <w:spacing w:after="0"/>
            </w:pPr>
            <w:r>
              <w:rPr>
                <w:rFonts w:ascii="Arial" w:cs="Arial" w:eastAsia="Arial" w:hAnsi="Arial"/>
                <w:b/>
                <w:bCs/>
                <w:sz w:val="20"/>
                <w:szCs w:val="20"/>
              </w:rPr>
              <w:t xml:space="preserve">Version</w:t>
            </w:r>
          </w:p>
        </w:tc>
        <w:tc>
          <w:tcPr>
            <w:tcW w:type="dxa" w:w="6438"/>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pPr>
              <w:spacing w:after="0"/>
            </w:pPr>
            <w:r>
              <w:rPr>
                <w:rFonts w:ascii="Arial" w:cs="Arial" w:eastAsia="Arial" w:hAnsi="Arial"/>
                <w:sz w:val="20"/>
                <w:szCs w:val="20"/>
              </w:rPr>
              <w:t xml:space="preserve">1.0</w:t>
            </w:r>
          </w:p>
        </w:tc>
      </w:tr>
      <w:tr>
        <w:tc>
          <w:tcPr>
            <w:tcW w:type="dxa" w:w="3200"/>
            <w:tcBorders>
              <w:top w:val="single" w:color="AAAAAA" w:sz="4"/>
              <w:left w:val="single" w:color="AAAAAA" w:sz="4"/>
              <w:bottom w:val="single" w:color="AAAAAA" w:sz="4"/>
              <w:right w:val="single" w:color="AAAAAA" w:sz="4"/>
            </w:tcBorders>
            <w:shd w:fill="E8F0F8" w:val="clear"/>
            <w:tcMar>
              <w:top w:type="dxa" w:w="80"/>
              <w:left w:type="dxa" w:w="140"/>
              <w:bottom w:type="dxa" w:w="80"/>
              <w:right w:type="dxa" w:w="80"/>
            </w:tcMar>
          </w:tcPr>
          <w:p>
            <w:pPr>
              <w:spacing w:after="0"/>
            </w:pPr>
            <w:r>
              <w:rPr>
                <w:rFonts w:ascii="Arial" w:cs="Arial" w:eastAsia="Arial" w:hAnsi="Arial"/>
                <w:b/>
                <w:bCs/>
                <w:sz w:val="20"/>
                <w:szCs w:val="20"/>
              </w:rPr>
              <w:t xml:space="preserve">Backend Status</w:t>
            </w:r>
          </w:p>
        </w:tc>
        <w:tc>
          <w:tcPr>
            <w:tcW w:type="dxa" w:w="6438"/>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Node.js 20 + Express 4 + MySQL 8 + Sequelize ORM — Faz 1 &amp; 2 Implemented</w:t>
            </w:r>
          </w:p>
        </w:tc>
      </w:tr>
    </w:tbl>
    <w:p>
      <w:pPr>
        <w:spacing w:after="0" w:before="560"/>
        <w:jc w:val="center"/>
      </w:pPr>
      <w:r>
        <w:rPr>
          <w:rFonts w:ascii="Arial" w:cs="Arial" w:eastAsia="Arial" w:hAnsi="Arial"/>
          <w:i/>
          <w:iCs/>
          <w:color w:val="777777"/>
          <w:sz w:val="18"/>
          <w:szCs w:val="18"/>
        </w:rPr>
        <w:t xml:space="preserve">Confidential — For Academic Use Only</w:t>
      </w:r>
    </w:p>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400"/>
        <w:gridCol w:w="2838"/>
      </w:tblGrid>
      <w:tr>
        <w:tc>
          <w:tcPr>
            <w:tcW w:type="dxa" w:w="9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Ver.</w:t>
            </w:r>
          </w:p>
        </w:tc>
        <w:tc>
          <w:tcPr>
            <w:tcW w:type="dxa" w:w="1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Date</w:t>
            </w:r>
          </w:p>
        </w:tc>
        <w:tc>
          <w:tcPr>
            <w:tcW w:type="dxa" w:w="4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Description</w:t>
            </w:r>
          </w:p>
        </w:tc>
        <w:tc>
          <w:tcPr>
            <w:tcW w:type="dxa" w:w="283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Author</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0"/>
            </w:pPr>
            <w:r>
              <w:rPr>
                <w:rFonts w:ascii="Arial" w:cs="Arial" w:eastAsia="Arial" w:hAnsi="Arial"/>
                <w:sz w:val="20"/>
                <w:szCs w:val="20"/>
              </w:rPr>
              <w:t xml:space="preserve">1.0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0"/>
            </w:pPr>
            <w:r>
              <w:rPr>
                <w:rFonts w:ascii="Arial" w:cs="Arial" w:eastAsia="Arial" w:hAnsi="Arial"/>
                <w:sz w:val="20"/>
                <w:szCs w:val="20"/>
              </w:rPr>
              <w:t xml:space="preserve">16/04/2026</w:t>
            </w:r>
          </w:p>
        </w:tc>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0"/>
            </w:pPr>
            <w:r>
              <w:rPr>
                <w:rFonts w:ascii="Arial" w:cs="Arial" w:eastAsia="Arial" w:hAnsi="Arial"/>
                <w:sz w:val="20"/>
                <w:szCs w:val="20"/>
              </w:rPr>
              <w:t xml:space="preserve">Initial draft — complete SRS</w:t>
            </w:r>
          </w:p>
        </w:tc>
        <w:tc>
          <w:tcPr>
            <w:tcW w:type="dxa" w:w="28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tcPr>
          <w:p>
            <w:pPr>
              <w:spacing w:after="0"/>
            </w:pPr>
            <w:r>
              <w:rPr>
                <w:rFonts w:ascii="Arial" w:cs="Arial" w:eastAsia="Arial" w:hAnsi="Arial"/>
                <w:sz w:val="20"/>
                <w:szCs w:val="20"/>
              </w:rPr>
              <w:t xml:space="preserve">Goksu Bulut, Elif Istanbulluoglu, Ceren Gokdere</w:t>
            </w:r>
          </w:p>
        </w:tc>
      </w:tr>
    </w:tbl>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1  Introduction</w:t>
      </w:r>
    </w:p>
    <w:p>
      <w:pPr>
        <w:pStyle w:val="Heading2"/>
        <w:spacing w:after="120" w:before="240"/>
      </w:pPr>
      <w:r>
        <w:rPr>
          <w:rFonts w:ascii="Arial" w:cs="Arial" w:eastAsia="Arial" w:hAnsi="Arial"/>
          <w:b/>
          <w:bCs/>
          <w:color w:val="2E75B5"/>
          <w:sz w:val="24"/>
          <w:szCs w:val="24"/>
        </w:rPr>
        <w:t xml:space="preserve">1.1  Purpose</w:t>
      </w:r>
    </w:p>
    <w:p>
      <w:pPr>
        <w:spacing w:after="80"/>
      </w:pPr>
      <w:r>
        <w:rPr>
          <w:rFonts w:ascii="Arial" w:cs="Arial" w:eastAsia="Arial" w:hAnsi="Arial"/>
          <w:sz w:val="20"/>
          <w:szCs w:val="20"/>
        </w:rPr>
        <w:t xml:space="preserve">This Software Requirements Specification (SRS) document describes the functional and non-functional requirements for the HEALTH AI Co-Creation Platform — a GDPR-compliant web-based application designed to connect healthcare professionals with software/AI engineers for the purpose of co-developing medical artificial intelligence solutions.</w:t>
      </w:r>
    </w:p>
    <w:p>
      <w:pPr>
        <w:spacing w:after="80"/>
      </w:pPr>
      <w:r>
        <w:rPr>
          <w:rFonts w:ascii="Arial" w:cs="Arial" w:eastAsia="Arial" w:hAnsi="Arial"/>
          <w:sz w:val="20"/>
          <w:szCs w:val="20"/>
        </w:rPr>
        <w:t xml:space="preserve">The document is intended for the course SENG 384, academic supervisors, and all project contributors.</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1.2  Scope</w:t>
      </w:r>
    </w:p>
    <w:p>
      <w:pPr>
        <w:spacing w:after="80"/>
      </w:pPr>
      <w:r>
        <w:rPr>
          <w:rFonts w:ascii="Arial" w:cs="Arial" w:eastAsia="Arial" w:hAnsi="Arial"/>
          <w:sz w:val="20"/>
          <w:szCs w:val="20"/>
        </w:rPr>
        <w:t xml:space="preserve">The HEALTH AI Co-Creation Platform (hereinafter referred to as "the Platform") is a full-stack web application providing:</w:t>
      </w:r>
    </w:p>
    <w:p>
      <w:pPr>
        <w:pStyle w:val="ListParagraph"/>
        <w:numPr>
          <w:ilvl w:val="0"/>
          <w:numId w:val="2"/>
        </w:numPr>
        <w:spacing w:after="60"/>
      </w:pPr>
      <w:r>
        <w:rPr>
          <w:rFonts w:ascii="Arial" w:cs="Arial" w:eastAsia="Arial" w:hAnsi="Arial"/>
          <w:sz w:val="20"/>
          <w:szCs w:val="20"/>
        </w:rPr>
        <w:t xml:space="preserve">A dual-role user system for Healthcare Professionals and Engineers.</w:t>
      </w:r>
    </w:p>
    <w:p>
      <w:pPr>
        <w:pStyle w:val="ListParagraph"/>
        <w:numPr>
          <w:ilvl w:val="0"/>
          <w:numId w:val="2"/>
        </w:numPr>
        <w:spacing w:after="60"/>
      </w:pPr>
      <w:r>
        <w:rPr>
          <w:rFonts w:ascii="Arial" w:cs="Arial" w:eastAsia="Arial" w:hAnsi="Arial"/>
          <w:sz w:val="20"/>
          <w:szCs w:val="20"/>
        </w:rPr>
        <w:t xml:space="preserve">A listing/project board to post AI healthcare project proposals.</w:t>
      </w:r>
    </w:p>
    <w:p>
      <w:pPr>
        <w:pStyle w:val="ListParagraph"/>
        <w:numPr>
          <w:ilvl w:val="0"/>
          <w:numId w:val="2"/>
        </w:numPr>
        <w:spacing w:after="60"/>
      </w:pPr>
      <w:r>
        <w:rPr>
          <w:rFonts w:ascii="Arial" w:cs="Arial" w:eastAsia="Arial" w:hAnsi="Arial"/>
          <w:sz w:val="20"/>
          <w:szCs w:val="20"/>
        </w:rPr>
        <w:t xml:space="preserve">A meeting request and scheduling workflow.</w:t>
      </w:r>
    </w:p>
    <w:p>
      <w:pPr>
        <w:pStyle w:val="ListParagraph"/>
        <w:numPr>
          <w:ilvl w:val="0"/>
          <w:numId w:val="2"/>
        </w:numPr>
        <w:spacing w:after="60"/>
      </w:pPr>
      <w:r>
        <w:rPr>
          <w:rFonts w:ascii="Arial" w:cs="Arial" w:eastAsia="Arial" w:hAnsi="Arial"/>
          <w:sz w:val="20"/>
          <w:szCs w:val="20"/>
        </w:rPr>
        <w:t xml:space="preserve">GDPR-compliant data management including right to erasure and data portability.</w:t>
      </w:r>
    </w:p>
    <w:p>
      <w:pPr>
        <w:pStyle w:val="ListParagraph"/>
        <w:numPr>
          <w:ilvl w:val="0"/>
          <w:numId w:val="2"/>
        </w:numPr>
        <w:spacing w:after="60"/>
      </w:pPr>
      <w:r>
        <w:rPr>
          <w:rFonts w:ascii="Arial" w:cs="Arial" w:eastAsia="Arial" w:hAnsi="Arial"/>
          <w:sz w:val="20"/>
          <w:szCs w:val="20"/>
        </w:rPr>
        <w:t xml:space="preserve">An administrative dashboard for moderation and analytics.</w:t>
      </w:r>
    </w:p>
    <w:p>
      <w:pPr>
        <w:pStyle w:val="ListParagraph"/>
        <w:numPr>
          <w:ilvl w:val="0"/>
          <w:numId w:val="2"/>
        </w:numPr>
        <w:spacing w:after="60"/>
      </w:pPr>
      <w:r>
        <w:rPr>
          <w:rFonts w:ascii="Arial" w:cs="Arial" w:eastAsia="Arial" w:hAnsi="Arial"/>
          <w:sz w:val="20"/>
          <w:szCs w:val="20"/>
        </w:rPr>
        <w:t xml:space="preserve">Activity logging for auditing and compliance.</w:t>
      </w:r>
    </w:p>
    <w:p>
      <w:pPr>
        <w:spacing w:after="40"/>
      </w:pPr>
      <w:r>
        <w:rPr>
          <w:rFonts w:ascii="Arial" w:cs="Arial" w:eastAsia="Arial" w:hAnsi="Arial"/>
          <w:sz w:val="20"/>
          <w:szCs w:val="20"/>
        </w:rPr>
        <w:t xml:space="preserve"/>
      </w:r>
    </w:p>
    <w:p>
      <w:pPr>
        <w:spacing w:after="80"/>
      </w:pPr>
      <w:r>
        <w:rPr>
          <w:rFonts w:ascii="Arial" w:cs="Arial" w:eastAsia="Arial" w:hAnsi="Arial"/>
          <w:sz w:val="20"/>
          <w:szCs w:val="20"/>
        </w:rPr>
        <w:t xml:space="preserve">The system does NOT include payment processing, real-time communication, or actual AI model hosting.</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Term / Acronym</w:t>
            </w:r>
          </w:p>
        </w:tc>
        <w:tc>
          <w:tcPr>
            <w:tcW w:type="dxa" w:w="763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Definition</w:t>
            </w:r>
          </w:p>
        </w:tc>
      </w:tr>
      <w:tr>
        <w:tc>
          <w:tcPr>
            <w:tcW w:type="dxa" w:w="20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20"/>
                <w:szCs w:val="20"/>
              </w:rPr>
              <w:t xml:space="preserve">HP</w:t>
            </w:r>
          </w:p>
        </w:tc>
        <w:tc>
          <w:tcPr>
            <w:tcW w:type="dxa" w:w="76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20"/>
                <w:szCs w:val="20"/>
              </w:rPr>
              <w:t xml:space="preserve">Healthcare Professional — a doctor, researcher, or clinical staff member</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20"/>
                <w:szCs w:val="20"/>
              </w:rPr>
              <w:t xml:space="preserve">Engineer</w:t>
            </w:r>
          </w:p>
        </w:tc>
        <w:tc>
          <w:tcPr>
            <w:tcW w:type="dxa" w:w="76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20"/>
                <w:szCs w:val="20"/>
              </w:rPr>
              <w:t xml:space="preserve">Software/AI engineer registered on the Platform</w:t>
            </w:r>
          </w:p>
        </w:tc>
      </w:tr>
      <w:tr>
        <w:tc>
          <w:tcPr>
            <w:tcW w:type="dxa" w:w="20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20"/>
                <w:szCs w:val="20"/>
              </w:rPr>
              <w:t xml:space="preserve">Listing / Post</w:t>
            </w:r>
          </w:p>
        </w:tc>
        <w:tc>
          <w:tcPr>
            <w:tcW w:type="dxa" w:w="76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20"/>
                <w:szCs w:val="20"/>
              </w:rPr>
              <w:t xml:space="preserve">A project proposal or collaboration request posted by a user</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20"/>
                <w:szCs w:val="20"/>
              </w:rPr>
              <w:t xml:space="preserve">NDA</w:t>
            </w:r>
          </w:p>
        </w:tc>
        <w:tc>
          <w:tcPr>
            <w:tcW w:type="dxa" w:w="76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20"/>
                <w:szCs w:val="20"/>
              </w:rPr>
              <w:t xml:space="preserve">Non-Disclosure Agreement — required for confidential listings</w:t>
            </w:r>
          </w:p>
        </w:tc>
      </w:tr>
      <w:tr>
        <w:tc>
          <w:tcPr>
            <w:tcW w:type="dxa" w:w="20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20"/>
                <w:szCs w:val="20"/>
              </w:rPr>
              <w:t xml:space="preserve">GDPR</w:t>
            </w:r>
          </w:p>
        </w:tc>
        <w:tc>
          <w:tcPr>
            <w:tcW w:type="dxa" w:w="76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20"/>
                <w:szCs w:val="20"/>
              </w:rPr>
              <w:t xml:space="preserve">General Data Protection Regulation (EU) 2016/679</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20"/>
                <w:szCs w:val="20"/>
              </w:rPr>
              <w:t xml:space="preserve">SRS</w:t>
            </w:r>
          </w:p>
        </w:tc>
        <w:tc>
          <w:tcPr>
            <w:tcW w:type="dxa" w:w="76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20"/>
                <w:szCs w:val="20"/>
              </w:rPr>
              <w:t xml:space="preserve">Software Requirements Specification</w:t>
            </w:r>
          </w:p>
        </w:tc>
      </w:tr>
      <w:tr>
        <w:tc>
          <w:tcPr>
            <w:tcW w:type="dxa" w:w="20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20"/>
                <w:szCs w:val="20"/>
              </w:rPr>
              <w:t xml:space="preserve">FR</w:t>
            </w:r>
          </w:p>
        </w:tc>
        <w:tc>
          <w:tcPr>
            <w:tcW w:type="dxa" w:w="76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20"/>
                <w:szCs w:val="20"/>
              </w:rPr>
              <w:t xml:space="preserve">Functional Requirement</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20"/>
                <w:szCs w:val="20"/>
              </w:rPr>
              <w:t xml:space="preserve">NFR</w:t>
            </w:r>
          </w:p>
        </w:tc>
        <w:tc>
          <w:tcPr>
            <w:tcW w:type="dxa" w:w="76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20"/>
                <w:szCs w:val="20"/>
              </w:rPr>
              <w:t xml:space="preserve">Non-Functional Requirement</w:t>
            </w:r>
          </w:p>
        </w:tc>
      </w:tr>
      <w:tr>
        <w:tc>
          <w:tcPr>
            <w:tcW w:type="dxa" w:w="20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20"/>
                <w:szCs w:val="20"/>
              </w:rPr>
              <w:t xml:space="preserve">RTM</w:t>
            </w:r>
          </w:p>
        </w:tc>
        <w:tc>
          <w:tcPr>
            <w:tcW w:type="dxa" w:w="76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20"/>
                <w:szCs w:val="20"/>
              </w:rPr>
              <w:t xml:space="preserve">Requirements Traceability Matrix</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20"/>
                <w:szCs w:val="20"/>
              </w:rPr>
              <w:t xml:space="preserve">UC</w:t>
            </w:r>
          </w:p>
        </w:tc>
        <w:tc>
          <w:tcPr>
            <w:tcW w:type="dxa" w:w="76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20"/>
                <w:szCs w:val="20"/>
              </w:rPr>
              <w:t xml:space="preserve">Use Case</w:t>
            </w:r>
          </w:p>
        </w:tc>
      </w:tr>
      <w:tr>
        <w:tc>
          <w:tcPr>
            <w:tcW w:type="dxa" w:w="20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20"/>
                <w:szCs w:val="20"/>
              </w:rPr>
              <w:t xml:space="preserve">JWT</w:t>
            </w:r>
          </w:p>
        </w:tc>
        <w:tc>
          <w:tcPr>
            <w:tcW w:type="dxa" w:w="76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20"/>
                <w:szCs w:val="20"/>
              </w:rPr>
              <w:t xml:space="preserve">JSON Web Token — used for session authentication</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20"/>
                <w:szCs w:val="20"/>
              </w:rPr>
              <w:t xml:space="preserve">API</w:t>
            </w:r>
          </w:p>
        </w:tc>
        <w:tc>
          <w:tcPr>
            <w:tcW w:type="dxa" w:w="76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20"/>
                <w:szCs w:val="20"/>
              </w:rPr>
              <w:t xml:space="preserve">Application Programming Interface</w:t>
            </w:r>
          </w:p>
        </w:tc>
      </w:tr>
      <w:tr>
        <w:tc>
          <w:tcPr>
            <w:tcW w:type="dxa" w:w="20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20"/>
                <w:szCs w:val="20"/>
              </w:rPr>
              <w:t xml:space="preserve">TBD</w:t>
            </w:r>
          </w:p>
        </w:tc>
        <w:tc>
          <w:tcPr>
            <w:tcW w:type="dxa" w:w="76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20"/>
                <w:szCs w:val="20"/>
              </w:rPr>
              <w:t xml:space="preserve">To Be Determined</w:t>
            </w:r>
          </w:p>
        </w:tc>
      </w:tr>
      <w:tr>
        <w:tc>
          <w:tcPr>
            <w:tcW w:type="dxa" w:w="2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20"/>
                <w:szCs w:val="20"/>
              </w:rPr>
              <w:t xml:space="preserve">.edu</w:t>
            </w:r>
          </w:p>
        </w:tc>
        <w:tc>
          <w:tcPr>
            <w:tcW w:type="dxa" w:w="76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20"/>
                <w:szCs w:val="20"/>
              </w:rPr>
              <w:t xml:space="preserve">Academic / institutional email domain used for registration validation</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1.4  References</w:t>
      </w:r>
    </w:p>
    <w:p>
      <w:pPr>
        <w:pStyle w:val="ListParagraph"/>
        <w:numPr>
          <w:ilvl w:val="0"/>
          <w:numId w:val="2"/>
        </w:numPr>
        <w:spacing w:after="60"/>
      </w:pPr>
      <w:r>
        <w:rPr>
          <w:rFonts w:ascii="Arial" w:cs="Arial" w:eastAsia="Arial" w:hAnsi="Arial"/>
          <w:sz w:val="20"/>
          <w:szCs w:val="20"/>
        </w:rPr>
        <w:t xml:space="preserve">EU GDPR — Regulation (EU) 2016/679</w:t>
      </w:r>
    </w:p>
    <w:p>
      <w:pPr>
        <w:pStyle w:val="ListParagraph"/>
        <w:numPr>
          <w:ilvl w:val="0"/>
          <w:numId w:val="2"/>
        </w:numPr>
        <w:spacing w:after="60"/>
      </w:pPr>
      <w:r>
        <w:rPr>
          <w:rFonts w:ascii="Arial" w:cs="Arial" w:eastAsia="Arial" w:hAnsi="Arial"/>
          <w:sz w:val="20"/>
          <w:szCs w:val="20"/>
        </w:rPr>
        <w:t xml:space="preserve">WCAG 2.1 Level AA — Web Content Accessibility Guidelines</w:t>
      </w:r>
    </w:p>
    <w:p>
      <w:pPr>
        <w:pStyle w:val="ListParagraph"/>
        <w:numPr>
          <w:ilvl w:val="0"/>
          <w:numId w:val="2"/>
        </w:numPr>
        <w:spacing w:after="60"/>
      </w:pPr>
      <w:r>
        <w:rPr>
          <w:rFonts w:ascii="Arial" w:cs="Arial" w:eastAsia="Arial" w:hAnsi="Arial"/>
          <w:sz w:val="20"/>
          <w:szCs w:val="20"/>
        </w:rPr>
        <w:t xml:space="preserve">React 18 Documentation — https://react.dev</w:t>
      </w:r>
    </w:p>
    <w:p>
      <w:pPr>
        <w:pStyle w:val="ListParagraph"/>
        <w:numPr>
          <w:ilvl w:val="0"/>
          <w:numId w:val="2"/>
        </w:numPr>
        <w:spacing w:after="60"/>
      </w:pPr>
      <w:r>
        <w:rPr>
          <w:rFonts w:ascii="Arial" w:cs="Arial" w:eastAsia="Arial" w:hAnsi="Arial"/>
          <w:sz w:val="20"/>
          <w:szCs w:val="20"/>
        </w:rPr>
        <w:t xml:space="preserve">OWASP Top 10 Web Application Security Risks (2021)</w:t>
      </w:r>
    </w:p>
    <w:p>
      <w:pPr>
        <w:pStyle w:val="ListParagraph"/>
        <w:numPr>
          <w:ilvl w:val="0"/>
          <w:numId w:val="2"/>
        </w:numPr>
        <w:spacing w:after="60"/>
      </w:pPr>
      <w:r>
        <w:rPr>
          <w:rFonts w:ascii="Arial" w:cs="Arial" w:eastAsia="Arial" w:hAnsi="Arial"/>
          <w:sz w:val="20"/>
          <w:szCs w:val="20"/>
        </w:rPr>
        <w:t xml:space="preserve">ISO/IEC 25010:2011 — Systems and Software Quality Model</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1.5  Overview</w:t>
      </w:r>
    </w:p>
    <w:p>
      <w:pPr>
        <w:spacing w:after="80"/>
      </w:pPr>
      <w:r>
        <w:rPr>
          <w:rFonts w:ascii="Arial" w:cs="Arial" w:eastAsia="Arial" w:hAnsi="Arial"/>
          <w:sz w:val="20"/>
          <w:szCs w:val="20"/>
        </w:rPr>
        <w:t xml:space="preserve">The remainder of this document is structured as follows:</w:t>
      </w:r>
    </w:p>
    <w:p>
      <w:pPr>
        <w:pStyle w:val="ListParagraph"/>
        <w:numPr>
          <w:ilvl w:val="0"/>
          <w:numId w:val="3"/>
        </w:numPr>
        <w:spacing w:after="60"/>
      </w:pPr>
      <w:r>
        <w:rPr>
          <w:rFonts w:ascii="Arial" w:cs="Arial" w:eastAsia="Arial" w:hAnsi="Arial"/>
          <w:sz w:val="20"/>
          <w:szCs w:val="20"/>
        </w:rPr>
        <w:t xml:space="preserve">Section 2: Overall Description — product perspective, features, assumptions</w:t>
      </w:r>
    </w:p>
    <w:p>
      <w:pPr>
        <w:pStyle w:val="ListParagraph"/>
        <w:numPr>
          <w:ilvl w:val="0"/>
          <w:numId w:val="3"/>
        </w:numPr>
        <w:spacing w:after="60"/>
      </w:pPr>
      <w:r>
        <w:rPr>
          <w:rFonts w:ascii="Arial" w:cs="Arial" w:eastAsia="Arial" w:hAnsi="Arial"/>
          <w:sz w:val="20"/>
          <w:szCs w:val="20"/>
        </w:rPr>
        <w:t xml:space="preserve">Section 3: Functional Requirements — grouped by feature area (FR-01 to FR-28)</w:t>
      </w:r>
    </w:p>
    <w:p>
      <w:pPr>
        <w:pStyle w:val="ListParagraph"/>
        <w:numPr>
          <w:ilvl w:val="0"/>
          <w:numId w:val="3"/>
        </w:numPr>
        <w:spacing w:after="60"/>
      </w:pPr>
      <w:r>
        <w:rPr>
          <w:rFonts w:ascii="Arial" w:cs="Arial" w:eastAsia="Arial" w:hAnsi="Arial"/>
          <w:sz w:val="20"/>
          <w:szCs w:val="20"/>
        </w:rPr>
        <w:t xml:space="preserve">Section 4: Non-Functional Requirements — performance, security, compliance</w:t>
      </w:r>
    </w:p>
    <w:p>
      <w:pPr>
        <w:pStyle w:val="ListParagraph"/>
        <w:numPr>
          <w:ilvl w:val="0"/>
          <w:numId w:val="3"/>
        </w:numPr>
        <w:spacing w:after="60"/>
      </w:pPr>
      <w:r>
        <w:rPr>
          <w:rFonts w:ascii="Arial" w:cs="Arial" w:eastAsia="Arial" w:hAnsi="Arial"/>
          <w:sz w:val="20"/>
          <w:szCs w:val="20"/>
        </w:rPr>
        <w:t xml:space="preserve">Section 5: Use Cases — detailed UC narratives</w:t>
      </w:r>
    </w:p>
    <w:p>
      <w:pPr>
        <w:pStyle w:val="ListParagraph"/>
        <w:numPr>
          <w:ilvl w:val="0"/>
          <w:numId w:val="3"/>
        </w:numPr>
        <w:spacing w:after="60"/>
      </w:pPr>
      <w:r>
        <w:rPr>
          <w:rFonts w:ascii="Arial" w:cs="Arial" w:eastAsia="Arial" w:hAnsi="Arial"/>
          <w:sz w:val="20"/>
          <w:szCs w:val="20"/>
        </w:rPr>
        <w:t xml:space="preserve">Section 6: Data Model — entity descriptions and relationships</w:t>
      </w:r>
    </w:p>
    <w:p>
      <w:pPr>
        <w:pStyle w:val="ListParagraph"/>
        <w:numPr>
          <w:ilvl w:val="0"/>
          <w:numId w:val="3"/>
        </w:numPr>
        <w:spacing w:after="60"/>
      </w:pPr>
      <w:r>
        <w:rPr>
          <w:rFonts w:ascii="Arial" w:cs="Arial" w:eastAsia="Arial" w:hAnsi="Arial"/>
          <w:sz w:val="20"/>
          <w:szCs w:val="20"/>
        </w:rPr>
        <w:t xml:space="preserve">Section 7: Interface Requirements — UI and external interface specs</w:t>
      </w:r>
    </w:p>
    <w:p>
      <w:pPr>
        <w:pStyle w:val="ListParagraph"/>
        <w:numPr>
          <w:ilvl w:val="0"/>
          <w:numId w:val="3"/>
        </w:numPr>
        <w:spacing w:after="60"/>
      </w:pPr>
      <w:r>
        <w:rPr>
          <w:rFonts w:ascii="Arial" w:cs="Arial" w:eastAsia="Arial" w:hAnsi="Arial"/>
          <w:sz w:val="20"/>
          <w:szCs w:val="20"/>
        </w:rPr>
        <w:t xml:space="preserve">Section 8: Requirements Traceability Matrix</w:t>
      </w:r>
    </w:p>
    <w:p>
      <w:pPr>
        <w:pStyle w:val="ListParagraph"/>
        <w:numPr>
          <w:ilvl w:val="0"/>
          <w:numId w:val="3"/>
        </w:numPr>
        <w:spacing w:after="60"/>
      </w:pPr>
      <w:r>
        <w:rPr>
          <w:rFonts w:ascii="Arial" w:cs="Arial" w:eastAsia="Arial" w:hAnsi="Arial"/>
          <w:sz w:val="20"/>
          <w:szCs w:val="20"/>
        </w:rPr>
        <w:t xml:space="preserve">Section 9: Appendices</w:t>
      </w:r>
    </w:p>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2  Overall Description</w:t>
      </w:r>
    </w:p>
    <w:p>
      <w:pPr>
        <w:pStyle w:val="Heading2"/>
        <w:spacing w:after="120" w:before="240"/>
      </w:pPr>
      <w:r>
        <w:rPr>
          <w:rFonts w:ascii="Arial" w:cs="Arial" w:eastAsia="Arial" w:hAnsi="Arial"/>
          <w:b/>
          <w:bCs/>
          <w:color w:val="2E75B5"/>
          <w:sz w:val="24"/>
          <w:szCs w:val="24"/>
        </w:rPr>
        <w:t xml:space="preserve">2.1  Product Perspective</w:t>
      </w:r>
    </w:p>
    <w:p>
      <w:pPr>
        <w:spacing w:after="80"/>
      </w:pPr>
      <w:r>
        <w:rPr>
          <w:rFonts w:ascii="Arial" w:cs="Arial" w:eastAsia="Arial" w:hAnsi="Arial"/>
          <w:sz w:val="20"/>
          <w:szCs w:val="20"/>
        </w:rPr>
        <w:t xml:space="preserve">The Platform is a standalone single-page web application (SPA) built with React 18 and Vite on the frontend. The backend exposes a RESTful API built with Node.js 20 LTS and Express 4, consumed by the frontend over HTTPS. The database layer uses MySQL 8 managed through the Sequelize 6 ORM. The system integrates with institutional email infrastructure for .edu validation and enforces HTTPS throughout.</w:t>
      </w:r>
    </w:p>
    <w:p>
      <w:pPr>
        <w:spacing w:after="80"/>
      </w:pPr>
      <w:r>
        <w:rPr>
          <w:rFonts w:ascii="Arial" w:cs="Arial" w:eastAsia="Arial" w:hAnsi="Arial"/>
          <w:sz w:val="20"/>
          <w:szCs w:val="20"/>
        </w:rPr>
        <w:t xml:space="preserve">The system is not a derivative of any existing product; it is purpose-built for academic-to-industry medical AI collaboration.</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2.2  Product Functions — High-Level Summary</w:t>
      </w:r>
    </w:p>
    <w:p>
      <w:pPr>
        <w:pStyle w:val="ListParagraph"/>
        <w:numPr>
          <w:ilvl w:val="0"/>
          <w:numId w:val="2"/>
        </w:numPr>
        <w:spacing w:after="60"/>
      </w:pPr>
      <w:r>
        <w:rPr>
          <w:rFonts w:ascii="Arial" w:cs="Arial" w:eastAsia="Arial" w:hAnsi="Arial"/>
          <w:sz w:val="20"/>
          <w:szCs w:val="20"/>
        </w:rPr>
        <w:t xml:space="preserve">User Registration &amp; Authentication — .edu/institutional email validation, role selection, email verification</w:t>
      </w:r>
    </w:p>
    <w:p>
      <w:pPr>
        <w:pStyle w:val="ListParagraph"/>
        <w:numPr>
          <w:ilvl w:val="0"/>
          <w:numId w:val="2"/>
        </w:numPr>
        <w:spacing w:after="60"/>
      </w:pPr>
      <w:r>
        <w:rPr>
          <w:rFonts w:ascii="Arial" w:cs="Arial" w:eastAsia="Arial" w:hAnsi="Arial"/>
          <w:sz w:val="20"/>
          <w:szCs w:val="20"/>
        </w:rPr>
        <w:t xml:space="preserve">Listing Management — create, edit, delete, search, and filter AI project proposals</w:t>
      </w:r>
    </w:p>
    <w:p>
      <w:pPr>
        <w:pStyle w:val="ListParagraph"/>
        <w:numPr>
          <w:ilvl w:val="0"/>
          <w:numId w:val="2"/>
        </w:numPr>
        <w:spacing w:after="60"/>
      </w:pPr>
      <w:r>
        <w:rPr>
          <w:rFonts w:ascii="Arial" w:cs="Arial" w:eastAsia="Arial" w:hAnsi="Arial"/>
          <w:sz w:val="20"/>
          <w:szCs w:val="20"/>
        </w:rPr>
        <w:t xml:space="preserve">Interest &amp; NDA Flow — engineers express interest; confidential listings require NDA acceptance</w:t>
      </w:r>
    </w:p>
    <w:p>
      <w:pPr>
        <w:pStyle w:val="ListParagraph"/>
        <w:numPr>
          <w:ilvl w:val="0"/>
          <w:numId w:val="2"/>
        </w:numPr>
        <w:spacing w:after="60"/>
      </w:pPr>
      <w:r>
        <w:rPr>
          <w:rFonts w:ascii="Arial" w:cs="Arial" w:eastAsia="Arial" w:hAnsi="Arial"/>
          <w:sz w:val="20"/>
          <w:szCs w:val="20"/>
        </w:rPr>
        <w:t xml:space="preserve">Meeting Request Workflow — time proposal, acceptance, confirmation, cancellation</w:t>
      </w:r>
    </w:p>
    <w:p>
      <w:pPr>
        <w:pStyle w:val="ListParagraph"/>
        <w:numPr>
          <w:ilvl w:val="0"/>
          <w:numId w:val="2"/>
        </w:numPr>
        <w:spacing w:after="60"/>
      </w:pPr>
      <w:r>
        <w:rPr>
          <w:rFonts w:ascii="Arial" w:cs="Arial" w:eastAsia="Arial" w:hAnsi="Arial"/>
          <w:sz w:val="20"/>
          <w:szCs w:val="20"/>
        </w:rPr>
        <w:t xml:space="preserve">Profile Management — GDPR data export (JSON), account deletion, profile editing</w:t>
      </w:r>
    </w:p>
    <w:p>
      <w:pPr>
        <w:pStyle w:val="ListParagraph"/>
        <w:numPr>
          <w:ilvl w:val="0"/>
          <w:numId w:val="2"/>
        </w:numPr>
        <w:spacing w:after="60"/>
      </w:pPr>
      <w:r>
        <w:rPr>
          <w:rFonts w:ascii="Arial" w:cs="Arial" w:eastAsia="Arial" w:hAnsi="Arial"/>
          <w:sz w:val="20"/>
          <w:szCs w:val="20"/>
        </w:rPr>
        <w:t xml:space="preserve">Admin Dashboard — user/listing moderation, activity logs, platform statistics, CSV export</w:t>
      </w:r>
    </w:p>
    <w:p>
      <w:pPr>
        <w:pStyle w:val="ListParagraph"/>
        <w:numPr>
          <w:ilvl w:val="0"/>
          <w:numId w:val="2"/>
        </w:numPr>
        <w:spacing w:after="60"/>
      </w:pPr>
      <w:r>
        <w:rPr>
          <w:rFonts w:ascii="Arial" w:cs="Arial" w:eastAsia="Arial" w:hAnsi="Arial"/>
          <w:sz w:val="20"/>
          <w:szCs w:val="20"/>
        </w:rPr>
        <w:t xml:space="preserve">Activity Logging — critical event audit trail (LOGIN, FAILED_LOGIN, POST_CREATE, POST_CLOSE)</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2.3  User Classes and Characteristics</w:t>
      </w:r>
    </w:p>
    <w:p>
      <w:pPr>
        <w:pStyle w:val="Heading3"/>
        <w:spacing w:after="80" w:before="160"/>
      </w:pPr>
      <w:r>
        <w:rPr>
          <w:rFonts w:ascii="Arial" w:cs="Arial" w:eastAsia="Arial" w:hAnsi="Arial"/>
          <w:b/>
          <w:bCs/>
          <w:color w:val="2E75B5"/>
          <w:sz w:val="22"/>
          <w:szCs w:val="22"/>
        </w:rPr>
        <w:t xml:space="preserve">2.3.1  Healthcare Professional (HP)</w:t>
      </w:r>
    </w:p>
    <w:p>
      <w:pPr>
        <w:spacing w:after="80"/>
      </w:pPr>
      <w:r>
        <w:rPr>
          <w:rFonts w:ascii="Arial" w:cs="Arial" w:eastAsia="Arial" w:hAnsi="Arial"/>
          <w:sz w:val="20"/>
          <w:szCs w:val="20"/>
        </w:rPr>
        <w:t xml:space="preserve">Doctors, clinical researchers, hospital IT staff, and biomedical scientists. Expected to have clinical domain knowledge but limited software engineering background. Primary actions: post listings, review engineer interest, schedule meetings.</w:t>
      </w:r>
    </w:p>
    <w:p>
      <w:pPr>
        <w:pStyle w:val="Heading3"/>
        <w:spacing w:after="80" w:before="160"/>
      </w:pPr>
      <w:r>
        <w:rPr>
          <w:rFonts w:ascii="Arial" w:cs="Arial" w:eastAsia="Arial" w:hAnsi="Arial"/>
          <w:b/>
          <w:bCs/>
          <w:color w:val="2E75B5"/>
          <w:sz w:val="22"/>
          <w:szCs w:val="22"/>
        </w:rPr>
        <w:t xml:space="preserve">2.3.2  Engineer</w:t>
      </w:r>
    </w:p>
    <w:p>
      <w:pPr>
        <w:spacing w:after="80"/>
      </w:pPr>
      <w:r>
        <w:rPr>
          <w:rFonts w:ascii="Arial" w:cs="Arial" w:eastAsia="Arial" w:hAnsi="Arial"/>
          <w:sz w:val="20"/>
          <w:szCs w:val="20"/>
        </w:rPr>
        <w:t xml:space="preserve">Software and AI engineers from academic or industry backgrounds. Expected to have strong technical skills. Primary actions: browse listings, express interest, schedule meetings.</w:t>
      </w:r>
    </w:p>
    <w:p>
      <w:pPr>
        <w:pStyle w:val="Heading3"/>
        <w:spacing w:after="80" w:before="160"/>
      </w:pPr>
      <w:r>
        <w:rPr>
          <w:rFonts w:ascii="Arial" w:cs="Arial" w:eastAsia="Arial" w:hAnsi="Arial"/>
          <w:b/>
          <w:bCs/>
          <w:color w:val="2E75B5"/>
          <w:sz w:val="22"/>
          <w:szCs w:val="22"/>
        </w:rPr>
        <w:t xml:space="preserve">2.3.3  Administrator</w:t>
      </w:r>
    </w:p>
    <w:p>
      <w:pPr>
        <w:spacing w:after="80"/>
      </w:pPr>
      <w:r>
        <w:rPr>
          <w:rFonts w:ascii="Arial" w:cs="Arial" w:eastAsia="Arial" w:hAnsi="Arial"/>
          <w:sz w:val="20"/>
          <w:szCs w:val="20"/>
        </w:rPr>
        <w:t xml:space="preserve">Platform operators with elevated privileges. Responsible for moderation, reviewing reports, managing users, and overseeing compliance. Access to full activity logs and analytics.</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2.4  Operating Environment</w:t>
      </w:r>
    </w:p>
    <w:p>
      <w:pPr>
        <w:pStyle w:val="ListParagraph"/>
        <w:numPr>
          <w:ilvl w:val="0"/>
          <w:numId w:val="2"/>
        </w:numPr>
        <w:spacing w:after="60"/>
      </w:pPr>
      <w:r>
        <w:rPr>
          <w:rFonts w:ascii="Arial" w:cs="Arial" w:eastAsia="Arial" w:hAnsi="Arial"/>
          <w:sz w:val="20"/>
          <w:szCs w:val="20"/>
        </w:rPr>
        <w:t xml:space="preserve">Web application — modern desktop and mobile browsers (Chrome 100+, Firefox 100+, Safari 15+, Edge 100+)</w:t>
      </w:r>
    </w:p>
    <w:p>
      <w:pPr>
        <w:pStyle w:val="ListParagraph"/>
        <w:numPr>
          <w:ilvl w:val="0"/>
          <w:numId w:val="2"/>
        </w:numPr>
        <w:spacing w:after="60"/>
      </w:pPr>
      <w:r>
        <w:rPr>
          <w:rFonts w:ascii="Arial" w:cs="Arial" w:eastAsia="Arial" w:hAnsi="Arial"/>
          <w:sz w:val="20"/>
          <w:szCs w:val="20"/>
        </w:rPr>
        <w:t xml:space="preserve">Responsive design targeting 1280px desktop and 375px mobile viewports</w:t>
      </w:r>
    </w:p>
    <w:p>
      <w:pPr>
        <w:pStyle w:val="ListParagraph"/>
        <w:numPr>
          <w:ilvl w:val="0"/>
          <w:numId w:val="2"/>
        </w:numPr>
        <w:spacing w:after="60"/>
      </w:pPr>
      <w:r>
        <w:rPr>
          <w:rFonts w:ascii="Arial" w:cs="Arial" w:eastAsia="Arial" w:hAnsi="Arial"/>
          <w:sz w:val="20"/>
          <w:szCs w:val="20"/>
        </w:rPr>
        <w:t xml:space="preserve">Internet connection required; no offline functionality</w:t>
      </w:r>
    </w:p>
    <w:p>
      <w:pPr>
        <w:pStyle w:val="ListParagraph"/>
        <w:numPr>
          <w:ilvl w:val="0"/>
          <w:numId w:val="2"/>
        </w:numPr>
        <w:spacing w:after="60"/>
      </w:pPr>
      <w:r>
        <w:rPr>
          <w:rFonts w:ascii="Arial" w:cs="Arial" w:eastAsia="Arial" w:hAnsi="Arial"/>
          <w:sz w:val="20"/>
          <w:szCs w:val="20"/>
        </w:rPr>
        <w:t xml:space="preserve">Backend: Node.js 20 LTS + Express 4 + MySQL 8 + Sequelize 6 ORM, running on localhost:3001 (development); HTTPS enforced in production</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2.5  Design and Implementation Constraints</w:t>
      </w:r>
    </w:p>
    <w:p>
      <w:pPr>
        <w:pStyle w:val="ListParagraph"/>
        <w:numPr>
          <w:ilvl w:val="0"/>
          <w:numId w:val="2"/>
        </w:numPr>
        <w:spacing w:after="60"/>
      </w:pPr>
      <w:r>
        <w:rPr>
          <w:rFonts w:ascii="Arial" w:cs="Arial" w:eastAsia="Arial" w:hAnsi="Arial"/>
          <w:sz w:val="20"/>
          <w:szCs w:val="20"/>
        </w:rPr>
        <w:t xml:space="preserve">GDPR compliance is mandatory — all personal data handling must respect EU GDPR</w:t>
      </w:r>
    </w:p>
    <w:p>
      <w:pPr>
        <w:pStyle w:val="ListParagraph"/>
        <w:numPr>
          <w:ilvl w:val="0"/>
          <w:numId w:val="2"/>
        </w:numPr>
        <w:spacing w:after="60"/>
      </w:pPr>
      <w:r>
        <w:rPr>
          <w:rFonts w:ascii="Arial" w:cs="Arial" w:eastAsia="Arial" w:hAnsi="Arial"/>
          <w:sz w:val="20"/>
          <w:szCs w:val="20"/>
        </w:rPr>
        <w:t xml:space="preserve">Registration is restricted to .edu or equivalent institutional email addresses</w:t>
      </w:r>
    </w:p>
    <w:p>
      <w:pPr>
        <w:pStyle w:val="ListParagraph"/>
        <w:numPr>
          <w:ilvl w:val="0"/>
          <w:numId w:val="2"/>
        </w:numPr>
        <w:spacing w:after="60"/>
      </w:pPr>
      <w:r>
        <w:rPr>
          <w:rFonts w:ascii="Arial" w:cs="Arial" w:eastAsia="Arial" w:hAnsi="Arial"/>
          <w:sz w:val="20"/>
          <w:szCs w:val="20"/>
        </w:rPr>
        <w:t xml:space="preserve">Passwords must be stored as bcrypt hashes (saltRounds: 12) — never stored in plaintext</w:t>
      </w:r>
    </w:p>
    <w:p>
      <w:pPr>
        <w:pStyle w:val="ListParagraph"/>
        <w:numPr>
          <w:ilvl w:val="0"/>
          <w:numId w:val="2"/>
        </w:numPr>
        <w:spacing w:after="60"/>
      </w:pPr>
      <w:r>
        <w:rPr>
          <w:rFonts w:ascii="Arial" w:cs="Arial" w:eastAsia="Arial" w:hAnsi="Arial"/>
          <w:sz w:val="20"/>
          <w:szCs w:val="20"/>
        </w:rPr>
        <w:t xml:space="preserve">All communication must use HTTPS/TLS</w:t>
      </w:r>
    </w:p>
    <w:p>
      <w:pPr>
        <w:pStyle w:val="ListParagraph"/>
        <w:numPr>
          <w:ilvl w:val="0"/>
          <w:numId w:val="2"/>
        </w:numPr>
        <w:spacing w:after="60"/>
      </w:pPr>
      <w:r>
        <w:rPr>
          <w:rFonts w:ascii="Arial" w:cs="Arial" w:eastAsia="Arial" w:hAnsi="Arial"/>
          <w:sz w:val="20"/>
          <w:szCs w:val="20"/>
        </w:rPr>
        <w:t xml:space="preserve">JWT access tokens expire after 15 minutes; refresh tokens expire after 7 days</w:t>
      </w:r>
    </w:p>
    <w:p>
      <w:pPr>
        <w:pStyle w:val="ListParagraph"/>
        <w:numPr>
          <w:ilvl w:val="0"/>
          <w:numId w:val="2"/>
        </w:numPr>
        <w:spacing w:after="60"/>
      </w:pPr>
      <w:r>
        <w:rPr>
          <w:rFonts w:ascii="Arial" w:cs="Arial" w:eastAsia="Arial" w:hAnsi="Arial"/>
          <w:sz w:val="20"/>
          <w:szCs w:val="20"/>
        </w:rPr>
        <w:t xml:space="preserve">Frontend built with React 18 + Vite; no proprietary or license-restricted UI frameworks</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2.6  Assumptions and Dependencies</w:t>
      </w:r>
    </w:p>
    <w:p>
      <w:pPr>
        <w:pStyle w:val="ListParagraph"/>
        <w:numPr>
          <w:ilvl w:val="0"/>
          <w:numId w:val="2"/>
        </w:numPr>
        <w:spacing w:after="60"/>
      </w:pPr>
      <w:r>
        <w:rPr>
          <w:rFonts w:ascii="Arial" w:cs="Arial" w:eastAsia="Arial" w:hAnsi="Arial"/>
          <w:sz w:val="20"/>
          <w:szCs w:val="20"/>
        </w:rPr>
        <w:t xml:space="preserve">Users have valid institutional (.edu) email addresses</w:t>
      </w:r>
    </w:p>
    <w:p>
      <w:pPr>
        <w:pStyle w:val="ListParagraph"/>
        <w:numPr>
          <w:ilvl w:val="0"/>
          <w:numId w:val="2"/>
        </w:numPr>
        <w:spacing w:after="60"/>
      </w:pPr>
      <w:r>
        <w:rPr>
          <w:rFonts w:ascii="Arial" w:cs="Arial" w:eastAsia="Arial" w:hAnsi="Arial"/>
          <w:sz w:val="20"/>
          <w:szCs w:val="20"/>
        </w:rPr>
        <w:t xml:space="preserve">Email delivery infrastructure will be available for verification emails (SMTP via Nodemailer)</w:t>
      </w:r>
    </w:p>
    <w:p>
      <w:pPr>
        <w:pStyle w:val="ListParagraph"/>
        <w:numPr>
          <w:ilvl w:val="0"/>
          <w:numId w:val="2"/>
        </w:numPr>
        <w:spacing w:after="60"/>
      </w:pPr>
      <w:r>
        <w:rPr>
          <w:rFonts w:ascii="Arial" w:cs="Arial" w:eastAsia="Arial" w:hAnsi="Arial"/>
          <w:sz w:val="20"/>
          <w:szCs w:val="20"/>
        </w:rPr>
        <w:t xml:space="preserve">MySQL 8 database instance is available on the host machine</w:t>
      </w:r>
    </w:p>
    <w:p>
      <w:pPr>
        <w:pStyle w:val="ListParagraph"/>
        <w:numPr>
          <w:ilvl w:val="0"/>
          <w:numId w:val="2"/>
        </w:numPr>
        <w:spacing w:after="60"/>
      </w:pPr>
      <w:r>
        <w:rPr>
          <w:rFonts w:ascii="Arial" w:cs="Arial" w:eastAsia="Arial" w:hAnsi="Arial"/>
          <w:sz w:val="20"/>
          <w:szCs w:val="20"/>
        </w:rPr>
        <w:t xml:space="preserve">The backend API conforms to the interfaces defined in this document</w:t>
      </w:r>
    </w:p>
    <w:p>
      <w:pPr>
        <w:pStyle w:val="ListParagraph"/>
        <w:numPr>
          <w:ilvl w:val="0"/>
          <w:numId w:val="2"/>
        </w:numPr>
        <w:spacing w:after="60"/>
      </w:pPr>
      <w:r>
        <w:rPr>
          <w:rFonts w:ascii="Arial" w:cs="Arial" w:eastAsia="Arial" w:hAnsi="Arial"/>
          <w:sz w:val="20"/>
          <w:szCs w:val="20"/>
        </w:rPr>
        <w:t xml:space="preserve">All data is processed within EU jurisdiction to satisfy GDPR territorial scope</w:t>
      </w:r>
    </w:p>
    <w:p>
      <w:pPr>
        <w:pStyle w:val="ListParagraph"/>
        <w:numPr>
          <w:ilvl w:val="0"/>
          <w:numId w:val="2"/>
        </w:numPr>
        <w:spacing w:after="60"/>
      </w:pPr>
      <w:r>
        <w:rPr>
          <w:rFonts w:ascii="Arial" w:cs="Arial" w:eastAsia="Arial" w:hAnsi="Arial"/>
          <w:sz w:val="20"/>
          <w:szCs w:val="20"/>
        </w:rPr>
        <w:t xml:space="preserve">Google Fonts (Bebas Neue, Space Grotesk, DM Sans) are available via CDN</w:t>
      </w:r>
    </w:p>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3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C040" w:sz="4"/>
              <w:left w:val="single" w:color="F0C040" w:sz="4"/>
              <w:bottom w:val="single" w:color="F0C040" w:sz="4"/>
              <w:right w:val="single" w:color="F0C040" w:sz="4"/>
            </w:tcBorders>
            <w:shd w:fill="FFF2CC" w:val="clear"/>
            <w:tcMar>
              <w:top w:type="dxa" w:w="100"/>
              <w:left w:type="dxa" w:w="140"/>
              <w:bottom w:type="dxa" w:w="100"/>
              <w:right w:type="dxa" w:w="140"/>
            </w:tcMar>
          </w:tcPr>
          <w:p>
            <w:pPr>
              <w:spacing w:after="60"/>
            </w:pPr>
            <w:r>
              <w:rPr>
                <w:rFonts w:ascii="Arial" w:cs="Arial" w:eastAsia="Arial" w:hAnsi="Arial"/>
                <w:b/>
                <w:bCs/>
                <w:color w:val="7F4D00"/>
                <w:sz w:val="20"/>
                <w:szCs w:val="20"/>
              </w:rPr>
              <w:t xml:space="preserve">Backend Implementation Summary</w:t>
            </w:r>
          </w:p>
          <w:p>
            <w:pPr>
              <w:spacing w:after="60"/>
            </w:pPr>
            <w:r>
              <w:rPr>
                <w:rFonts w:ascii="Arial" w:cs="Arial" w:eastAsia="Arial" w:hAnsi="Arial"/>
                <w:color w:val="7F4D00"/>
                <w:sz w:val="18"/>
                <w:szCs w:val="18"/>
              </w:rPr>
              <w:t xml:space="preserve">Stack: Node.js 20 + Express 4 + MySQL 8 + Sequelize 6 + JWT + bcrypt + Nodemailer + Joi + Helmet + express-rate-limit</w:t>
            </w:r>
          </w:p>
          <w:p>
            <w:pPr>
              <w:spacing w:after="0"/>
            </w:pPr>
            <w:r>
              <w:rPr>
                <w:rFonts w:ascii="Arial" w:cs="Arial" w:eastAsia="Arial" w:hAnsi="Arial"/>
                <w:color w:val="7F4D00"/>
                <w:sz w:val="18"/>
                <w:szCs w:val="18"/>
              </w:rPr>
              <w:t xml:space="preserve">Implemented (Faz 1 &amp; 2): FR-01 to FR-17, FR-20 to FR-26 | Deferred: FR-18, FR-19 (Notifications) | Frontend: FR-27, FR-28</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3.1  Registration and Access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FR-01: User Registration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allow new users to register by providing a first name, last name, institutional (.edu) email address, password, role (Engineer or Healthcare Professional), institution, city, country, and area of expertise.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Registration form: first name, last name, email (.edu required), password (min 5 chars), role, institution, city, country, expertise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Account created; verification email sent (unless SKIP_EMAIL_VERIFICATION=true); user redirected to email-verification pending screen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not registered; .edu email address is available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account created with isVerified=false; verification email dispatched via Nodemailer</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POST /api/auth/register. .edu regex + domain blocklist enforced. bcrypt saltRounds:12. Email skippable via env flag.</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FR-02: Email Verification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send a verification email upon registration. The user must click the verification link within 6 hours to activate the account.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clicks verification link in email</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Account isVerified=true; user can now log 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Account isVerified is false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Account is verified; user can log in</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/api/auth/verify-email/:token. Token expires after 6 hours. Bypassed in development via SKIP_EMAIL_VERIFICATION=true.</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FR-03: User Login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allow registered and verified users to log in using their email and password. Successful login issues a JWT access token (15 min) and a refresh token (7 days).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Verified email and password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Access token + refresh token issued; user redirected to dashboard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Account is verified and active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 access token stored client-side; LOGIN event recorded in activity_logs</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POST /api/auth/login. JWT access 15min, refresh 7d. LOGIN / FAILED_LOGIN logged.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FR-04: Password Reset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provide a password reset workflow. The user requests a reset via email; a time-limited reset link (1 hour) is sent.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Registered email address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Password reset link sent to email; link expires in 1 hour</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Email belongs to an existing active account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can set a new password; old password invalidated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POST /api/auth/forgot-password &amp; POST /api/auth/reset-password/:token.</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FR-05: Role-Based Access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enforce role-based access control. Both HPs and Engineers can create posts and express interest. Admins have exclusive access to the admin dashboard. Unauthenticated users cannot access any protected routes.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Authenticated session with assigned role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Access granted or denied per role permissions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can only perform actions permitted for their role</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authenticate.js (JWT) + authorize.js (RBAC) middleware. Admin routes protected with authorize('admin').</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FR-06: Session Management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sessions shall expire after 15 minutes of inactivity (access token). The refresh token extends the session up to 7 days. The system shall provide a secure logout function.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Active session; inactivity duration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Session invalidated; user redirected to login page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logged 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Access token expires; user must refresh or re-login</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JWT access 15min + refresh 7d. POST /api/auth/logout endpoint provided. Token invalidation is client-side (stateless JWT).</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3.2  Listing / Project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FR-07: Create Listing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Any authenticated user (HP or Engineer) shall be able to create a project listing (post) by providing a title, domain, description, required expertise, project stage, commitment level, confidentiality level, city, country, expiry date, and auto-close preference.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form fields: title, domain, description, requiredExpertise, projectStage, commitmentLevel, confidentiality, city, country, expiryDate, autoClose, status (draft/active)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published with ACTIVE or DRAFT status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saved to posts table; POST_CREATE activity log entry created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POST /api/posts. Joi validation via postSchemas.js. Status machine enforced.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FR-08: Edit Listing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owners shall be able to edit any field of their listing while it is in Draft or Active status. Editing is not permitted for closed or expired listings.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Updated listing fields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updated; changes reflected immediately</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the listing owner and listing is not closed/expired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updated in posts table</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PUT /api/posts/:id. Owner check enforced. Closed/expired listings rejected.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FR-09: Delete / Archive Listing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owners shall be able to delete their listing. Admins may also delete any listing.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Delete action confirmation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removed from database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the listing owner or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no longer visible; record deleted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DELETE /api/posts/:id. Owner OR admin can delete. PATCH /api/posts/:id/status for archive/expire.</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FR-10: Search and Filter Listings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provide filtered search across listing titles and descriptions, with filters for: domain, required expertise, city, country, project stage, and status.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Query parameters: ?domain=&amp;city=&amp;country=&amp;stage=&amp;status=&amp;expertise=&amp;page=&amp;limit=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Paginated list of matching listings returned within 1.5 seconds; max 50 results per page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Listings exist in the database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Search results displayed sorted by recency</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/api/posts with WHERE clause via Sequelize Op.like. Pagination supported.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FR-11: View Listing Detail</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Any authenticated user shall be able to view the full detail page of a public listing. For NDA-required listings (confidentiality=meeting_only), meeting request requires NDA acceptance.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ID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Full listing detail displayed; owner profile info included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detail view returned; draft listings restricted to owner only</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/api/posts/:id. Draft listings restricted to owner via isOwner() check.</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FR-12: NDA Acceptance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For listings marked as confidentiality=meeting_only, users must digitally accept the platform NDA before submitting a meeting request. Acceptance is recorded with timestamp and user identity.</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ndaAccepted: true in meeting request body</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NDA acceptance recorded; meeting request created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confidentiality is meeting_only; 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NdaAcceptance record stored in nda_acceptances table; timestamp and user ID recorded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POST /api/meetings requires ndaAccepted:true (Joi validates). NdaAcceptance model saves userId, postId, createdAt.</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3.3  Interest Expression and Meeting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FR-13: Express Interest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Any authenticated user shall be able to express interest in a listing by submitting a meeting request with an optional motivation message.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postId, optional message (max 1000 chars), ndaAccepted: true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request submitted; listing owner notified via email</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 listing status is active; user is not the listing owner</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MeetingRequest record created with status=pending; email notification sent to listing owner</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POST /api/meetings. Duplicate request prevention (unique active request per post+requester).</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FR-14: View Interested Users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owners shall be able to view all meeting requests (incoming interests) on their listing.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GET /api/meetings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 of received meeting requests with requester profile summaries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the listing owner</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Requests listed in receivedRequests array</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/api/meetings returns {sent, received} split.</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FR-15: Send Meeting Request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Either party shall be able to propose a meeting by providing a single proposed datetime and optional message.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request (postId, message, ndaAccepted); proposed time via PATCH /propose-time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request created; recipient notified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There is an active interest connection between the two parties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MeetingRequest record created with status=pending; proposedTime set on acceptance</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Partial — Single proposedTime (DATETIME) implemented instead of up to 3 slots (JSONB). Matches agreed simplification from project review.</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FR-16: Accept / Decline Meeting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recipients shall be able to accept or decline a meeting request.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Accept or decline action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status updated to accepted or declined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request exists with status=pending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status updated; both parties can see updated status</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PATCH /api/meetings/:id/accept &amp; /decline. Owner-only restriction enforced.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FR-17: Cancel Meeting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Either party shall be able to cancel a meeting that is in pending, accepted, or scheduled status.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Should-Have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Cancel action (DELETE /api/meetings/:id)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status set to cancelled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status is pending, accepted, or scheduled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Meeting record updated; status=cancelled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Partial — Cancellation implemented. cancelReason field not currently stored.</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3.4  Notification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FR-18: In-App Notifications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generate email notifications for the following events: new meeting request received, meeting accepted/declined.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Triggering system event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Email notification sent to relevant party</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 and the event is relevant to them</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Email notification delivered via Nodemailer</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Partial — Email notifications implemented for meeting requests (sendMeetingRequestNotification). In-app notification table and bell UI not implemented in backend.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FR-19: Mark Notification as Read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Users shall be able to mark individual notifications or all notifications as read.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Notification ID or mark-all action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Notification(s) marked as read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has unread notifications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Notification status updated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Not Implemented — Notification entity and endpoints not included in current backend. Deferred to future phase.</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3.5  User Profile and GDPR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FR-20: Edit Profile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Users shall be able to update their profile information: first name, last name, institution, city, country, and area of expertise.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Updated profile fields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Profile updated; changes visible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record updated in users table</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Partial — Core fields implemented (PUT /api/users/profile). Bio, portfolioUrl, avatarUrl fields not in current User model.</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FR-21: GDPR Data Export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Users shall be able to export all their personal data held by the Platform as a structured JSON file (Right to Data Portability, GDPR Article 20). The export includes: profile data, posts created, meeting requests, NDA acceptances.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clicks Export My Data</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JSON file downloaded containing all user data</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JSON export file downloaded; contains profile, posts, meetingRequests, ndaAcceptances</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/api/users/export-data. Returns all user data as JSON attachment.</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FR-22: Account Deletion (Right to Erasure)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Users shall be able to request permanent deletion of their account. Personal data is anonymised (email replaced, name replaced with [Silindi]) rather than hard-deleted to preserve audit integrity. Password confirmation required.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confirms deletion with password re-entry</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Account deactivated; personal data anonymised; associated posts set to expired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email set to deleted_{id}@removed.invalid; firstName/lastName set to [Silindi]; isActive=false; posts expired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DELETE /api/users/account. Password re-confirmed via bcrypt. Anonymisation strategy applied.</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3.6  Administration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FR-23: Admin Dashboard Overview</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Administrators shall have access to a dedicated dashboard displaying platform statistics: total users (active/total), total listings (active/closed/total), meetings (total/scheduled).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 authentication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Dashboard with aggregated statistics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 as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Stats fetched from database via Promise.all(); dashboard rendered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/api/admin/stats. Returns users, posts, meetings aggregate counts.</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FR-24: User Management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Administrators shall be able to view a paginated list of all users, filter by role/status, and toggle account suspension (suspend/reinstate).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 selects user; selects suspend/reinstate action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isActive toggled; affected user cannot log in if suspended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 as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record updated; admin action recorded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/api/admin/users, GET /api/admin/users/:id, PATCH /api/admin/users/:id/suspend. Admin account cannot be suspended.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FR-25: Listing Moderation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Administrators shall be able to view, filter, and remove listings that violate platform policies.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 selects listing; confirms removal</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removed from database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 as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destroyed; no longer visible</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/api/admin/posts (filterable), DELETE /api/admin/posts/:id.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FR-26: Activity Log Viewer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Administrators shall be able to view a paginated activity log filterable by user, action type (LOGIN, FAILED_LOGIN, POST_CREATE, POST_CLOSE), date range, and result status. Logs shall be exportable as CSV.</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Filter parameters; export request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Filtered activity log displayed; CSV file available for download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 as Admin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 data retrieved; CSV generated on GET /api/admin/logs/export</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GET /api/admin/logs (paginated, filtered), GET /api/admin/logs/export (CSV), DELETE /api/admin/logs/cleanup (manual retention).</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FR-27: Three-Step Registration Wizard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registration process shall be presented as a three-step wizard: Step 1 — Account details; Step 2 — Professional information; Step 3 — Email verification pending screen.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completes each step and advances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Wizard progresses; final submission creates account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not registered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Account created on step 3 submission; verification email sent</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Frontend concern — Backend POST /api/auth/register accepts all fields in a single call.</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FR-28: Three-Step Listing Creation Wizard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creation shall be presented as a three-step wizard: Step 1 — Basic info; Step 2 — Requirements; Step 3 — Preview and publish.</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completes each step and confirms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published on final step</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Listing record created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Frontend concern — Backend POST /api/posts accepts all fields; status can be draft or active.</w:t>
            </w:r>
          </w:p>
        </w:tc>
      </w:tr>
    </w:tbl>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4  Non-Functional Requirements</w:t>
      </w:r>
    </w:p>
    <w:p>
      <w:pPr>
        <w:pStyle w:val="Heading2"/>
        <w:spacing w:after="120" w:before="240"/>
      </w:pPr>
      <w:r>
        <w:rPr>
          <w:rFonts w:ascii="Arial" w:cs="Arial" w:eastAsia="Arial" w:hAnsi="Arial"/>
          <w:b/>
          <w:bCs/>
          <w:color w:val="2E75B5"/>
          <w:sz w:val="24"/>
          <w:szCs w:val="24"/>
        </w:rPr>
        <w:t xml:space="preserve">4.1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NFR-01: Page Load Time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primary pages shall load within 3 seconds on a standard broadband connection (25 Mbps) on first visit. Subsequent navigations within the SPA shall load within 500 ms.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Browser navigation event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Page renders within 3 s / 500 ms threshold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Application deployed to production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Performance benchmarks met under typical load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Frontend / Deployment concern.</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NFR-02: Search Response Time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Search and filter queries shall return results within 1.5 seconds for datasets up to 10,000 listings.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Search/filter request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Results returned within 1.5 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Backend search index populated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Results rendered; response time within threshold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Architecture supports — MySQL indexed queries via Sequelize. Indexes on users.email, activity_logs (user_id, action_type, created_at).</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NFR-03: Concurrent Users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system shall support at least 1,000 concurrent authenticated users without degradation of response times beyond the thresholds defined in NFR-01 and NFR-02.</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Should-Have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1,000 concurrent authenticated sessions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Response times remain within thresholds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System under load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errors or excessive latency observed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Architecture supports via Express + MySQL connection pool (max: 10). Load testing not yet performed.</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4.2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NFR-04: HTTPS / TLS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client-server communication shall use HTTPS (TLS 1.2 minimum). HTTP requests shall be redirected to HTTPS.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HTTP or HTTPS request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Request served over HTTPS; HTTP redirected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Server configured with valid TLS certificate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traffic encrypted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Helmet.js configured. HTTPS enforcement is a deployment concern (e.g., nginx reverse proxy).</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NFR-05: Password Hashing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passwords shall be stored as salted hashes using bcrypt (cost factor = 12). Plaintext passwords shall never be stored or logged.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password during registration or change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Password stored as hash</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Registration or password change triggered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Only hash stored in database</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bcrypt.hash(password, 12) in authController.js. passwordHash excluded from all API responses via Sequelize defaultScope.</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NFR-06: Rate Limiting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login endpoint shall be rate-limited to 5 attempts per IP per 15-minute window. Registration is limited to 3 requests per hour. General API limited to 100 requests per minute.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Login attempts from a single IP</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HTTP 429 returned after threshold exceeded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Rate limiting middleware active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IP temporarily blocked; normal users unaffected</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express-rate-limit. loginLimiter: 5/15min, registerLimiter: 3/hr, generalLimiter: 100/min.</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NFR-07: Input Validation &amp; XSS Prevention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user inputs shall be validated on both client and server sides. Output rendering shall escape HTML to prevent XSS. SQL parameters shall use Sequelize parameterized queries to prevent injection attacks.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Any user-supplied input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Input validated; malicious content rejected or escaped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Forms and API endpoints active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XSS or injection vulnerabilities present</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Joi validation middleware on all POST/PUT endpoints. Helmet.js for CSP headers. Sequelize ORM uses parameterized queries.</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4.3  GDPR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NFR-08: Lawful Basis for Processing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Personal data shall only be processed with explicit user consent obtained at registration. Users shall be informed of data usage via a clear privacy policy linked at registration.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 registration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Consent recorded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Registration form active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Data processing initiated only after account creation</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Architecture supports. consentGiven/consentDate fields not in current User model — to be added.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NFR-09: Activity Log Retention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Activity logs shall be retained for a minimum of 24 months for compliance auditing. Logs shall be stored securely and accessible only to Admins.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 creation event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 retained for 24 months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Logging system active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Logs available to admin; older logs purged per retention policy</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Implemented — activity_logs table indexed. DELETE /api/admin/logs/cleanup?olderThanDays=730 for manual 24-month purge. Admin-only access via RBAC.</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4.4  Usability and Accessibility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NFR-10: WCAG 2.1 AA Compliance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Platform UI shall conform to WCAG 2.1 Level AA guidelines, including minimum 4.5:1 contrast ratio, keyboard navigability, and ARIA labels on interactive elements.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Should-Have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UI rendered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 WCAG 2.1 AA violations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UI complete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Accessibility audit passes</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Frontend concern.</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NFR-11: Responsive Design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Description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 Platform shall be fully functional and visually coherent on desktop (1280px+) and mobile (375px+) viewport widths.</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Priority</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Must-Have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Input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Browser at any viewport width &gt;= 375px</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Expected Output</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Layout renders correctly; no horizontal scrolling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UI deployed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w:t>
            </w:r>
          </w:p>
        </w:tc>
        <w:tc>
          <w:tcPr>
            <w:tcW w:type="dxa" w:w="7338"/>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Tested on major breakpoints</w:t>
            </w:r>
          </w:p>
        </w:tc>
      </w:tr>
      <w:tr>
        <w:tc>
          <w:tcPr>
            <w:tcW w:type="dxa" w:w="9638"/>
            <w:gridSpan w:val="2"/>
            <w:tcBorders>
              <w:top w:val="single" w:color="F0C040" w:sz="4"/>
              <w:left w:val="single" w:color="F0C040" w:sz="4"/>
              <w:bottom w:val="single" w:color="F0C040" w:sz="4"/>
              <w:right w:val="single" w:color="F0C040" w:sz="4"/>
            </w:tcBorders>
            <w:shd w:fill="FFF2CC" w:val="clear"/>
            <w:tcMar>
              <w:top w:type="dxa" w:w="60"/>
              <w:left w:type="dxa" w:w="120"/>
              <w:bottom w:type="dxa" w:w="60"/>
              <w:right w:type="dxa" w:w="120"/>
            </w:tcMar>
          </w:tcPr>
          <w:p>
            <w:pPr>
              <w:spacing w:after="0"/>
            </w:pPr>
            <w:r>
              <w:rPr>
                <w:rFonts w:ascii="Arial" w:cs="Arial" w:eastAsia="Arial" w:hAnsi="Arial"/>
                <w:b/>
                <w:bCs/>
                <w:color w:val="7F4D00"/>
                <w:sz w:val="18"/>
                <w:szCs w:val="18"/>
              </w:rPr>
              <w:t xml:space="preserve">Backend Status: </w:t>
            </w:r>
            <w:r>
              <w:rPr>
                <w:rFonts w:ascii="Arial" w:cs="Arial" w:eastAsia="Arial" w:hAnsi="Arial"/>
                <w:color w:val="7F4D00"/>
                <w:sz w:val="18"/>
                <w:szCs w:val="18"/>
              </w:rPr>
              <w:t xml:space="preserve">🎨 Frontend concern.</w:t>
            </w:r>
          </w:p>
        </w:tc>
      </w:tr>
    </w:tbl>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5  Use Cases</w:t>
      </w:r>
    </w:p>
    <w:p>
      <w:pPr>
        <w:pStyle w:val="Heading2"/>
        <w:spacing w:after="120" w:before="240"/>
      </w:pPr>
      <w:r>
        <w:rPr>
          <w:rFonts w:ascii="Arial" w:cs="Arial" w:eastAsia="Arial" w:hAnsi="Arial"/>
          <w:b/>
          <w:bCs/>
          <w:color w:val="2E75B5"/>
          <w:sz w:val="24"/>
          <w:szCs w:val="24"/>
        </w:rPr>
        <w:t xml:space="preserve">5.1  Use Case Diagram — Summary</w:t>
      </w:r>
    </w:p>
    <w:p>
      <w:pPr>
        <w:spacing w:after="80"/>
      </w:pPr>
      <w:r>
        <w:rPr>
          <w:rFonts w:ascii="Arial" w:cs="Arial" w:eastAsia="Arial" w:hAnsi="Arial"/>
          <w:sz w:val="20"/>
          <w:szCs w:val="20"/>
        </w:rPr>
        <w:t xml:space="preserve">The following use cases represent the primary interaction scenarios. A full UML use case diagram is provided in Appendix A.</w:t>
      </w:r>
    </w:p>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Use Case UC-01: User Creates a Project Listing</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Actors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Authenticated User (HP or Engineer), System</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User is authenticated
User account is ACTIVE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Main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1. User navigates to 'New Post' from the dashboard.
2. System displays the listing creation form.
3. User enters title, domain, description, required expertise, project stage, commitment level, and confidentiality.
4. User chooses to save as Draft or Publish.
5. System saves the listing and publishes it.
6. System logs POST_CREATE event.
7. User is redirected to listing detail page.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Alternative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3a. User leaves required fields empty — system highlights missing fields.
4a. User saves as Draft — listing saved with status=draft; not publicly visible.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Listing is published with ACTIVE status
Listing appears in search results
POST_CREATE activity log entry created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Use Case UC-02: User Browses and Expresses Interest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Actors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Authenticated User, System</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User is authenticated
Listings exist in the database</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Main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1. User navigates to post feed (GET /api/posts).
2. System displays paginated listing cards with filters.
3. User applies filters and/or search.
4. System returns filtered results.
5. User clicks on a listing to view its detail page.
6. If listing is NDA-required: user must include ndaAccepted:true in meeting request.
7. User submits meeting request with optional message.
8. System creates MeetingRequest record; notifies listing owner via email.</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Alternative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6a. User is the listing owner — Express Interest button not shown.
7a. User already has active request — duplicate prevented.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Interest/meeting request record created
Owner receives email notification
Activity logged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Use Case UC-03: Meeting Request and Confirmation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Actors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Healthcare Professional, Engineer, System</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An active meeting request exists between HP and Engineer</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Main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1. Listing owner views received meeting requests (GET /api/meetings).
2. Owner selects a request and clicks Accept.
3. System updates status to accepted.
4. Owner proposes a meeting time (PATCH /api/meetings/:id/propose-time).
5. Requester reviews and confirms the time (PATCH /api/meetings/:id/confirm-time).
6. System updates status to scheduled; associated listing status updated to meeting_scheduled.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Alternative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2a. Owner declines — status set to declined.
4a. Proposed time is not suitable — requester proposes new time via new request.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Meeting status is scheduled
Both parties see updated meeting status
Listing status updated to meeting_scheduled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Use Case UC-04: Admin Suspends a User</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Actors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Administrator, System</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Admin is authenticated
Target user has an ACTIVE account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Main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1. Admin navigates to GET /api/admin/users.
2. Admin searches for user by role/status filter.
3. System displays user list.
4. Admin selects PATCH /api/admin/users/:id/suspend.
5. System toggles isActive to false.
6. User can no longer log in.
7. System records admin action.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Alternative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4a. Admin cancels — no action taken.
5a. User is already suspended — action reinstates the account.</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User account isActive=false
User cannot log in
Admin action recorded</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Use Case UC-05: User Exports Personal Data (GDPR)</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Actors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Authenticated User, System</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Pre-Conditions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User is authenticated</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Main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1. User navigates to GET /api/users/export-data.
2. System compiles all user data: profile, posts, meetingRequests, ndaAcceptances.
3. System generates a structured JSON file.
4. Browser downloads the file as healthai_data_{userId}.json.</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Alternative Flow</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3a. Large dataset — system processes asynchronously via Promise.all().</w:t>
            </w:r>
          </w:p>
        </w:tc>
      </w:tr>
      <w:tr>
        <w:tc>
          <w:tcPr>
            <w:tcW w:type="dxa" w:w="2300"/>
            <w:tcBorders>
              <w:top w:val="single" w:color="AAAAAA" w:sz="4"/>
              <w:left w:val="single" w:color="AAAAAA" w:sz="4"/>
              <w:bottom w:val="single" w:color="AAAAAA" w:sz="4"/>
              <w:right w:val="single" w:color="AAAAAA" w:sz="4"/>
            </w:tcBorders>
            <w:shd w:fill="DEEAF1" w:val="clear"/>
            <w:tcMar>
              <w:top w:type="dxa" w:w="60"/>
              <w:left w:type="dxa" w:w="120"/>
              <w:bottom w:type="dxa" w:w="60"/>
              <w:right w:type="dxa" w:w="80"/>
            </w:tcMar>
          </w:tcPr>
          <w:p>
            <w:pPr>
              <w:spacing w:after="0"/>
            </w:pPr>
            <w:r>
              <w:rPr>
                <w:rFonts w:ascii="Arial" w:cs="Arial" w:eastAsia="Arial" w:hAnsi="Arial"/>
                <w:b/>
                <w:bCs/>
                <w:sz w:val="20"/>
                <w:szCs w:val="20"/>
              </w:rPr>
              <w:t xml:space="preserve">Post-Conditions</w:t>
            </w:r>
          </w:p>
        </w:tc>
        <w:tc>
          <w:tcPr>
            <w:tcW w:type="dxa" w:w="7338"/>
            <w:tcBorders>
              <w:top w:val="single" w:color="AAAAAA" w:sz="4"/>
              <w:left w:val="single" w:color="AAAAAA" w:sz="4"/>
              <w:bottom w:val="single" w:color="AAAAAA" w:sz="4"/>
              <w:right w:val="single" w:color="AAAAAA" w:sz="4"/>
            </w:tcBorders>
            <w:tcMar>
              <w:top w:type="dxa" w:w="60"/>
              <w:left w:type="dxa" w:w="120"/>
              <w:bottom w:type="dxa" w:w="60"/>
              <w:right w:type="dxa" w:w="120"/>
            </w:tcMar>
          </w:tcPr>
          <w:p>
            <w:pPr>
              <w:spacing w:after="0"/>
            </w:pPr>
            <w:r>
              <w:rPr>
                <w:rFonts w:ascii="Arial" w:cs="Arial" w:eastAsia="Arial" w:hAnsi="Arial"/>
                <w:sz w:val="20"/>
                <w:szCs w:val="20"/>
              </w:rPr>
              <w:t xml:space="preserve">JSON file downloaded
All personal data included in export</w:t>
            </w:r>
          </w:p>
        </w:tc>
      </w:tr>
    </w:tbl>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6  Data Model</w:t>
      </w:r>
    </w:p>
    <w:p>
      <w:pPr>
        <w:spacing w:after="80"/>
      </w:pPr>
      <w:r>
        <w:rPr>
          <w:rFonts w:ascii="Arial" w:cs="Arial" w:eastAsia="Arial" w:hAnsi="Arial"/>
          <w:sz w:val="20"/>
          <w:szCs w:val="20"/>
        </w:rPr>
        <w:t xml:space="preserve">The following entities form the core data model of the Platform as implemented in the backend (Node.js + Sequelize + MySQL 8). Relationships are described in Appendix B.</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6.1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938"/>
      </w:tblGrid>
      <w:tr>
        <w:tc>
          <w:tcPr>
            <w:tcW w:type="dxa" w:w="9638"/>
            <w:gridSpan w:val="4"/>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Entity: users</w:t>
            </w:r>
          </w:p>
        </w:tc>
      </w:tr>
      <w:tr>
        <w:tc>
          <w:tcPr>
            <w:tcW w:type="dxa" w:w="20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Field</w:t>
            </w:r>
          </w:p>
        </w:tc>
        <w:tc>
          <w:tcPr>
            <w:tcW w:type="dxa" w:w="18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Type</w:t>
            </w:r>
          </w:p>
        </w:tc>
        <w:tc>
          <w:tcPr>
            <w:tcW w:type="dxa" w:w="9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Nullable</w:t>
            </w:r>
          </w:p>
        </w:tc>
        <w:tc>
          <w:tcPr>
            <w:tcW w:type="dxa" w:w="4938"/>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Description</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id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INT (PK)</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Auto-increment primary key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email</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Unique institutional .edu email</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passwordHash</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bcrypt hash (saltRounds:12); never plaintext</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role</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engineer | healthcare | admin</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firstName</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Given name</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lastName</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Family name</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institution</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University or hospital affiliation</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city</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User city (used for city-based matching)</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country</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User country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expertise</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Area of expertise / specialisation</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isVerified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BOOLEAN</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true after email verification (default false)</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isActive</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BOOLEAN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false if account suspended or deleted (default true)</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verifyToken</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Email verification token (6-hour expiry)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verifyExpiry</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Verification token expiry timestamp</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resetToken</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Password reset token (1-hour expiry)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resetExpiry</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Reset token expiry timestamp</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lastLogin</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Last successful login timestamp</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createdAt</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Sequelize auto-managed creation timestamp</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updatedAt</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Sequelize auto-managed update timestamp</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6.2  Post (Listing)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938"/>
      </w:tblGrid>
      <w:tr>
        <w:tc>
          <w:tcPr>
            <w:tcW w:type="dxa" w:w="9638"/>
            <w:gridSpan w:val="4"/>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Entity: posts</w:t>
            </w:r>
          </w:p>
        </w:tc>
      </w:tr>
      <w:tr>
        <w:tc>
          <w:tcPr>
            <w:tcW w:type="dxa" w:w="20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Field</w:t>
            </w:r>
          </w:p>
        </w:tc>
        <w:tc>
          <w:tcPr>
            <w:tcW w:type="dxa" w:w="18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Type</w:t>
            </w:r>
          </w:p>
        </w:tc>
        <w:tc>
          <w:tcPr>
            <w:tcW w:type="dxa" w:w="9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Nullable</w:t>
            </w:r>
          </w:p>
        </w:tc>
        <w:tc>
          <w:tcPr>
            <w:tcW w:type="dxa" w:w="4938"/>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Description</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id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INT (PK)</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Auto-increment primary key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userId</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INT (FK)</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FK -&gt; users.id (listing owner)</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title</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Listing headline</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domain</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Medical/engineering domain (e.g. Cardiology, ML)</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description</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TEXT</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Full project description</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requiredExpertise</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VARCHAR(255)</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Type of expertise being sought</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projectStage</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idea | concept_validation | prototype | pilot | pre_deployment</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commitmentLevel</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advisor | co_founder | research_partner</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confidentiality</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public | meeting_only (default: public)</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status</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draft | active | meeting_scheduled | partner_found | expired</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city</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Listing location city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country</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Listing location country</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expiryDate</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DATEONLY</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Optional post expiry date</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autoClose</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BOOLEAN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Auto-close on expiry (default false)</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createdAt</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Creation timestamp</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updatedAt</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Last update timestamp</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6.3  MeetingRequest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938"/>
      </w:tblGrid>
      <w:tr>
        <w:tc>
          <w:tcPr>
            <w:tcW w:type="dxa" w:w="9638"/>
            <w:gridSpan w:val="4"/>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Entity: meeting_requests</w:t>
            </w:r>
          </w:p>
        </w:tc>
      </w:tr>
      <w:tr>
        <w:tc>
          <w:tcPr>
            <w:tcW w:type="dxa" w:w="20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Field</w:t>
            </w:r>
          </w:p>
        </w:tc>
        <w:tc>
          <w:tcPr>
            <w:tcW w:type="dxa" w:w="18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Type</w:t>
            </w:r>
          </w:p>
        </w:tc>
        <w:tc>
          <w:tcPr>
            <w:tcW w:type="dxa" w:w="9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Nullable</w:t>
            </w:r>
          </w:p>
        </w:tc>
        <w:tc>
          <w:tcPr>
            <w:tcW w:type="dxa" w:w="4938"/>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Description</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id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INT (PK)</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Auto-increment primary key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postId</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INT (FK)</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FK -&gt; posts.id</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requesterId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INT (FK)</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FK -&gt; users.id (initiator)</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postOwnerId</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INT (FK)</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FK -&gt; users.id (listing owner / recipient)</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message</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TEXT</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Motivation message (max 1000 chars)</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ndaAccepted</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BOOLEAN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Must be true to create request (default false)</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ndaAcceptedAt</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Timestamp of NDA acceptance</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status</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pending | accepted | declined | scheduled | cancelled</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proposedTime</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Single proposed meeting datetime</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confirmedSlot</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Confirmed meeting datetime after mutual agreement</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createdAt</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Request creation timestamp</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updatedAt</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Last status change timestamp</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6.4  NdaAcceptance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938"/>
      </w:tblGrid>
      <w:tr>
        <w:tc>
          <w:tcPr>
            <w:tcW w:type="dxa" w:w="9638"/>
            <w:gridSpan w:val="4"/>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Entity: nda_acceptances</w:t>
            </w:r>
          </w:p>
        </w:tc>
      </w:tr>
      <w:tr>
        <w:tc>
          <w:tcPr>
            <w:tcW w:type="dxa" w:w="20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Field</w:t>
            </w:r>
          </w:p>
        </w:tc>
        <w:tc>
          <w:tcPr>
            <w:tcW w:type="dxa" w:w="18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Type</w:t>
            </w:r>
          </w:p>
        </w:tc>
        <w:tc>
          <w:tcPr>
            <w:tcW w:type="dxa" w:w="9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Nullable</w:t>
            </w:r>
          </w:p>
        </w:tc>
        <w:tc>
          <w:tcPr>
            <w:tcW w:type="dxa" w:w="4938"/>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Description</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id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INT (PK)</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Auto-increment primary key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userId</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INT (FK)</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FK -&gt; users.id</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postId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INT (FK)</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FK -&gt; posts.id</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ipHash</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VARCHAR(64)</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SHA-256 hash of IP address (GDPR-safe)</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createdAt</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NDA acceptance timestamp</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(UNIQUE)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Unique constraint on (userId, postId)</w:t>
            </w:r>
          </w:p>
        </w:tc>
      </w:tr>
    </w:tbl>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6.5  ActivityLog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938"/>
      </w:tblGrid>
      <w:tr>
        <w:tc>
          <w:tcPr>
            <w:tcW w:type="dxa" w:w="9638"/>
            <w:gridSpan w:val="4"/>
            <w:tcBorders>
              <w:top w:val="single" w:color="FFFFFF" w:sz="4"/>
              <w:left w:val="single" w:color="FFFFFF" w:sz="4"/>
              <w:bottom w:val="single" w:color="FFFFFF" w:sz="4"/>
              <w:right w:val="single" w:color="FFFFFF" w:sz="4"/>
            </w:tcBorders>
            <w:shd w:fill="1F3864" w:val="clear"/>
            <w:tcMar>
              <w:top w:type="dxa" w:w="80"/>
              <w:left w:type="dxa" w:w="140"/>
              <w:bottom w:type="dxa" w:w="80"/>
              <w:right w:type="dxa" w:w="140"/>
            </w:tcMar>
          </w:tcPr>
          <w:p>
            <w:pPr>
              <w:spacing w:after="0"/>
            </w:pPr>
            <w:r>
              <w:rPr>
                <w:rFonts w:ascii="Arial" w:cs="Arial" w:eastAsia="Arial" w:hAnsi="Arial"/>
                <w:b/>
                <w:bCs/>
                <w:color w:val="FFFFFF"/>
                <w:sz w:val="22"/>
                <w:szCs w:val="22"/>
              </w:rPr>
              <w:t xml:space="preserve">Entity: activity_logs</w:t>
            </w:r>
          </w:p>
        </w:tc>
      </w:tr>
      <w:tr>
        <w:tc>
          <w:tcPr>
            <w:tcW w:type="dxa" w:w="20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Field</w:t>
            </w:r>
          </w:p>
        </w:tc>
        <w:tc>
          <w:tcPr>
            <w:tcW w:type="dxa" w:w="18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Type</w:t>
            </w:r>
          </w:p>
        </w:tc>
        <w:tc>
          <w:tcPr>
            <w:tcW w:type="dxa" w:w="900"/>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Nullable</w:t>
            </w:r>
          </w:p>
        </w:tc>
        <w:tc>
          <w:tcPr>
            <w:tcW w:type="dxa" w:w="4938"/>
            <w:tcBorders>
              <w:top w:val="single" w:color="FFFFFF" w:sz="4"/>
              <w:left w:val="single" w:color="FFFFFF" w:sz="4"/>
              <w:bottom w:val="single" w:color="FFFFFF" w:sz="4"/>
              <w:right w:val="single" w:color="FFFFFF" w:sz="4"/>
            </w:tcBorders>
            <w:shd w:fill="2E75B5" w:val="clear"/>
            <w:tcMar>
              <w:top w:type="dxa" w:w="60"/>
              <w:left w:type="dxa" w:w="100"/>
              <w:bottom w:type="dxa" w:w="60"/>
              <w:right w:type="dxa" w:w="60"/>
            </w:tcMar>
          </w:tcPr>
          <w:p>
            <w:pPr>
              <w:spacing w:after="0"/>
            </w:pPr>
            <w:r>
              <w:rPr>
                <w:rFonts w:ascii="Arial" w:cs="Arial" w:eastAsia="Arial" w:hAnsi="Arial"/>
                <w:b/>
                <w:bCs/>
                <w:color w:val="FFFFFF"/>
                <w:sz w:val="18"/>
                <w:szCs w:val="18"/>
              </w:rPr>
              <w:t xml:space="preserve">Description</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id</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BIGINT (PK)</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Auto-increment primary key</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userId</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INT (FK)</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FK -&gt; users.id; null for failed login attempts</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role</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engineer | healthcare | admin</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actionType</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LOGIN | FAILED_LOGIN | POST_CREATE | POST_CLOSE</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targetEntity</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VARCHAR(100)</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Affected entity type (post, meeting_request)</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targetId</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ID of affected entity</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resultStatus</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ENUM</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success | failure (default success)</w:t>
            </w:r>
          </w:p>
        </w:tc>
      </w:tr>
      <w:tr>
        <w:tc>
          <w:tcPr>
            <w:tcW w:type="dxa" w:w="2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60"/>
            </w:tcMar>
          </w:tcPr>
          <w:p>
            <w:pPr>
              <w:spacing w:after="0"/>
            </w:pPr>
            <w:r>
              <w:rPr>
                <w:rFonts w:ascii="Arial" w:cs="Arial" w:eastAsia="Arial" w:hAnsi="Arial"/>
                <w:sz w:val="18"/>
                <w:szCs w:val="18"/>
              </w:rPr>
              <w:t xml:space="preserve">ipHash</w:t>
            </w:r>
          </w:p>
        </w:tc>
        <w:tc>
          <w:tcPr>
            <w:tcW w:type="dxa" w:w="18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VARCHAR(64)</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sz w:val="18"/>
                <w:szCs w:val="18"/>
              </w:rPr>
              <w:t xml:space="preserve">Yes</w:t>
            </w:r>
          </w:p>
        </w:tc>
        <w:tc>
          <w:tcPr>
            <w:tcW w:type="dxa" w:w="49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100"/>
            </w:tcMar>
          </w:tcPr>
          <w:p>
            <w:pPr>
              <w:spacing w:after="0"/>
            </w:pPr>
            <w:r>
              <w:rPr>
                <w:rFonts w:ascii="Arial" w:cs="Arial" w:eastAsia="Arial" w:hAnsi="Arial"/>
                <w:sz w:val="18"/>
                <w:szCs w:val="18"/>
              </w:rPr>
              <w:t xml:space="preserve">SHA-256 hash of client IP (GDPR-safe)</w:t>
            </w:r>
          </w:p>
        </w:tc>
      </w:tr>
      <w:tr>
        <w:tc>
          <w:tcPr>
            <w:tcW w:type="dxa" w:w="2000"/>
            <w:tcBorders>
              <w:top w:val="single" w:color="BBBBBB" w:sz="4"/>
              <w:left w:val="single" w:color="BBBBBB" w:sz="4"/>
              <w:bottom w:val="single" w:color="BBBBBB" w:sz="4"/>
              <w:right w:val="single" w:color="BBBBBB" w:sz="4"/>
            </w:tcBorders>
            <w:shd w:fill="FFFFFF" w:val="clear"/>
            <w:tcMar>
              <w:top w:type="dxa" w:w="50"/>
              <w:left w:type="dxa" w:w="100"/>
              <w:bottom w:type="dxa" w:w="50"/>
              <w:right w:type="dxa" w:w="60"/>
            </w:tcMar>
          </w:tcPr>
          <w:p>
            <w:pPr>
              <w:spacing w:after="0"/>
            </w:pPr>
            <w:r>
              <w:rPr>
                <w:rFonts w:ascii="Arial" w:cs="Arial" w:eastAsia="Arial" w:hAnsi="Arial"/>
                <w:sz w:val="18"/>
                <w:szCs w:val="18"/>
              </w:rPr>
              <w:t xml:space="preserve">createdAt</w:t>
            </w:r>
          </w:p>
        </w:tc>
        <w:tc>
          <w:tcPr>
            <w:tcW w:type="dxa" w:w="18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DATETIME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sz w:val="18"/>
                <w:szCs w:val="18"/>
              </w:rPr>
              <w:t xml:space="preserve">No</w:t>
            </w:r>
          </w:p>
        </w:tc>
        <w:tc>
          <w:tcPr>
            <w:tcW w:type="dxa" w:w="49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100"/>
            </w:tcMar>
          </w:tcPr>
          <w:p>
            <w:pPr>
              <w:spacing w:after="0"/>
            </w:pPr>
            <w:r>
              <w:rPr>
                <w:rFonts w:ascii="Arial" w:cs="Arial" w:eastAsia="Arial" w:hAnsi="Arial"/>
                <w:sz w:val="18"/>
                <w:szCs w:val="18"/>
              </w:rPr>
              <w:t xml:space="preserve">Event timestamp</w:t>
            </w:r>
          </w:p>
        </w:tc>
      </w:tr>
    </w:tbl>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C040" w:sz="4"/>
              <w:left w:val="single" w:color="F0C040" w:sz="4"/>
              <w:bottom w:val="single" w:color="F0C040" w:sz="4"/>
              <w:right w:val="single" w:color="F0C040" w:sz="4"/>
            </w:tcBorders>
            <w:shd w:fill="FFF2CC" w:val="clear"/>
            <w:tcMar>
              <w:top w:type="dxa" w:w="100"/>
              <w:left w:type="dxa" w:w="140"/>
              <w:bottom w:type="dxa" w:w="100"/>
              <w:right w:type="dxa" w:w="140"/>
            </w:tcMar>
          </w:tcPr>
          <w:p>
            <w:pPr>
              <w:spacing w:after="60"/>
            </w:pPr>
            <w:r>
              <w:rPr>
                <w:rFonts w:ascii="Arial" w:cs="Arial" w:eastAsia="Arial" w:hAnsi="Arial"/>
                <w:b/>
                <w:bCs/>
                <w:color w:val="7F4D00"/>
                <w:sz w:val="18"/>
                <w:szCs w:val="18"/>
              </w:rPr>
              <w:t xml:space="preserve">Note: Notification Entity</w:t>
            </w:r>
          </w:p>
          <w:p>
            <w:pPr>
              <w:spacing w:after="0"/>
            </w:pPr>
            <w:r>
              <w:rPr>
                <w:rFonts w:ascii="Arial" w:cs="Arial" w:eastAsia="Arial" w:hAnsi="Arial"/>
                <w:color w:val="7F4D00"/>
                <w:sz w:val="18"/>
                <w:szCs w:val="18"/>
              </w:rPr>
              <w:t xml:space="preserve">The Notification entity (as described in the original SRS spec) is not implemented in the current backend. In-app notification bell and Notification table are deferred to a future phase. Email notifications for meeting requests are delivered via Nodemailer.</w:t>
            </w:r>
          </w:p>
        </w:tc>
      </w:tr>
    </w:tbl>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7  Interface Requirements</w:t>
      </w:r>
    </w:p>
    <w:p>
      <w:pPr>
        <w:pStyle w:val="Heading2"/>
        <w:spacing w:after="120" w:before="240"/>
      </w:pPr>
      <w:r>
        <w:rPr>
          <w:rFonts w:ascii="Arial" w:cs="Arial" w:eastAsia="Arial" w:hAnsi="Arial"/>
          <w:b/>
          <w:bCs/>
          <w:color w:val="2E75B5"/>
          <w:sz w:val="24"/>
          <w:szCs w:val="24"/>
        </w:rPr>
        <w:t xml:space="preserve">7.1  User Interface</w:t>
      </w:r>
    </w:p>
    <w:p>
      <w:pPr>
        <w:pStyle w:val="ListParagraph"/>
        <w:numPr>
          <w:ilvl w:val="0"/>
          <w:numId w:val="2"/>
        </w:numPr>
        <w:spacing w:after="60"/>
      </w:pPr>
      <w:r>
        <w:rPr>
          <w:rFonts w:ascii="Arial" w:cs="Arial" w:eastAsia="Arial" w:hAnsi="Arial"/>
          <w:sz w:val="20"/>
          <w:szCs w:val="20"/>
        </w:rPr>
        <w:t xml:space="preserve">The UI shall use a dark editorial design with warm palette (deep wine / carmine / gold / sand tones).</w:t>
      </w:r>
    </w:p>
    <w:p>
      <w:pPr>
        <w:pStyle w:val="ListParagraph"/>
        <w:numPr>
          <w:ilvl w:val="0"/>
          <w:numId w:val="2"/>
        </w:numPr>
        <w:spacing w:after="60"/>
      </w:pPr>
      <w:r>
        <w:rPr>
          <w:rFonts w:ascii="Arial" w:cs="Arial" w:eastAsia="Arial" w:hAnsi="Arial"/>
          <w:sz w:val="20"/>
          <w:szCs w:val="20"/>
        </w:rPr>
        <w:t xml:space="preserve">Typography: Bebas Neue (display headlines), Space Grotesk (UI labels), DM Sans (body text).</w:t>
      </w:r>
    </w:p>
    <w:p>
      <w:pPr>
        <w:pStyle w:val="ListParagraph"/>
        <w:numPr>
          <w:ilvl w:val="0"/>
          <w:numId w:val="2"/>
        </w:numPr>
        <w:spacing w:after="60"/>
      </w:pPr>
      <w:r>
        <w:rPr>
          <w:rFonts w:ascii="Arial" w:cs="Arial" w:eastAsia="Arial" w:hAnsi="Arial"/>
          <w:sz w:val="20"/>
          <w:szCs w:val="20"/>
        </w:rPr>
        <w:t xml:space="preserve">A morphing organic blob centrepiece shall be present on the landing page with animated medical SVG visuals (ECG, MRI scan, DNA helix).</w:t>
      </w:r>
    </w:p>
    <w:p>
      <w:pPr>
        <w:pStyle w:val="ListParagraph"/>
        <w:numPr>
          <w:ilvl w:val="0"/>
          <w:numId w:val="2"/>
        </w:numPr>
        <w:spacing w:after="60"/>
      </w:pPr>
      <w:r>
        <w:rPr>
          <w:rFonts w:ascii="Arial" w:cs="Arial" w:eastAsia="Arial" w:hAnsi="Arial"/>
          <w:sz w:val="20"/>
          <w:szCs w:val="20"/>
        </w:rPr>
        <w:t xml:space="preserve">All interactive elements shall have visible focus indicators for keyboard navigation.</w:t>
      </w:r>
    </w:p>
    <w:p>
      <w:pPr>
        <w:pStyle w:val="ListParagraph"/>
        <w:numPr>
          <w:ilvl w:val="0"/>
          <w:numId w:val="2"/>
        </w:numPr>
        <w:spacing w:after="60"/>
      </w:pPr>
      <w:r>
        <w:rPr>
          <w:rFonts w:ascii="Arial" w:cs="Arial" w:eastAsia="Arial" w:hAnsi="Arial"/>
          <w:sz w:val="20"/>
          <w:szCs w:val="20"/>
        </w:rPr>
        <w:t xml:space="preserve">Toast notifications shall display system feedback (success, error, info) in the top-right corner with auto-dismiss after 4 seconds.</w:t>
      </w:r>
    </w:p>
    <w:p>
      <w:pPr>
        <w:pStyle w:val="ListParagraph"/>
        <w:numPr>
          <w:ilvl w:val="0"/>
          <w:numId w:val="2"/>
        </w:numPr>
        <w:spacing w:after="60"/>
      </w:pPr>
      <w:r>
        <w:rPr>
          <w:rFonts w:ascii="Arial" w:cs="Arial" w:eastAsia="Arial" w:hAnsi="Arial"/>
          <w:sz w:val="20"/>
          <w:szCs w:val="20"/>
        </w:rPr>
        <w:t xml:space="preserve">All forms shall display inline validation errors adjacent to the relevant field.</w:t>
      </w:r>
    </w:p>
    <w:p>
      <w:pPr>
        <w:pStyle w:val="ListParagraph"/>
        <w:numPr>
          <w:ilvl w:val="0"/>
          <w:numId w:val="2"/>
        </w:numPr>
        <w:spacing w:after="60"/>
      </w:pPr>
      <w:r>
        <w:rPr>
          <w:rFonts w:ascii="Arial" w:cs="Arial" w:eastAsia="Arial" w:hAnsi="Arial"/>
          <w:sz w:val="20"/>
          <w:szCs w:val="20"/>
        </w:rPr>
        <w:t xml:space="preserve">The navigation bar shall be transparent on the landing page and apply frosted-glass blur on scroll.</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7.2  Software Interfaces</w:t>
      </w:r>
    </w:p>
    <w:p>
      <w:pPr>
        <w:pStyle w:val="ListParagraph"/>
        <w:numPr>
          <w:ilvl w:val="0"/>
          <w:numId w:val="2"/>
        </w:numPr>
        <w:spacing w:after="60"/>
      </w:pPr>
      <w:r>
        <w:rPr>
          <w:rFonts w:ascii="Arial" w:cs="Arial" w:eastAsia="Arial" w:hAnsi="Arial"/>
          <w:sz w:val="20"/>
          <w:szCs w:val="20"/>
        </w:rPr>
        <w:t xml:space="preserve">REST API: The frontend communicates with the backend via a RESTful API over HTTPS. All requests and responses use JSON (Content-Type: application/json). Base URL: http://localhost:3001/api (development).</w:t>
      </w:r>
    </w:p>
    <w:p>
      <w:pPr>
        <w:pStyle w:val="ListParagraph"/>
        <w:numPr>
          <w:ilvl w:val="0"/>
          <w:numId w:val="2"/>
        </w:numPr>
        <w:spacing w:after="60"/>
      </w:pPr>
      <w:r>
        <w:rPr>
          <w:rFonts w:ascii="Arial" w:cs="Arial" w:eastAsia="Arial" w:hAnsi="Arial"/>
          <w:sz w:val="20"/>
          <w:szCs w:val="20"/>
        </w:rPr>
        <w:t xml:space="preserve">Authentication: JWT access tokens transmitted in HTTP Authorization headers (Bearer scheme). Refresh tokens stored client-side.</w:t>
      </w:r>
    </w:p>
    <w:p>
      <w:pPr>
        <w:pStyle w:val="ListParagraph"/>
        <w:numPr>
          <w:ilvl w:val="0"/>
          <w:numId w:val="2"/>
        </w:numPr>
        <w:spacing w:after="60"/>
      </w:pPr>
      <w:r>
        <w:rPr>
          <w:rFonts w:ascii="Arial" w:cs="Arial" w:eastAsia="Arial" w:hAnsi="Arial"/>
          <w:sz w:val="20"/>
          <w:szCs w:val="20"/>
        </w:rPr>
        <w:t xml:space="preserve">CORS: The backend API configures CORS to allow requests only from the authorised frontend origin (FRONTEND_URL env variable). Credentials: true.</w:t>
      </w:r>
    </w:p>
    <w:p>
      <w:pPr>
        <w:pStyle w:val="ListParagraph"/>
        <w:numPr>
          <w:ilvl w:val="0"/>
          <w:numId w:val="2"/>
        </w:numPr>
        <w:spacing w:after="60"/>
      </w:pPr>
      <w:r>
        <w:rPr>
          <w:rFonts w:ascii="Arial" w:cs="Arial" w:eastAsia="Arial" w:hAnsi="Arial"/>
          <w:sz w:val="20"/>
          <w:szCs w:val="20"/>
        </w:rPr>
        <w:t xml:space="preserve">File Upload: Profile photo uploads are not implemented in the current backend version.</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7.3  Communication Interfaces</w:t>
      </w:r>
    </w:p>
    <w:p>
      <w:pPr>
        <w:pStyle w:val="ListParagraph"/>
        <w:numPr>
          <w:ilvl w:val="0"/>
          <w:numId w:val="2"/>
        </w:numPr>
        <w:spacing w:after="60"/>
      </w:pPr>
      <w:r>
        <w:rPr>
          <w:rFonts w:ascii="Arial" w:cs="Arial" w:eastAsia="Arial" w:hAnsi="Arial"/>
          <w:sz w:val="20"/>
          <w:szCs w:val="20"/>
        </w:rPr>
        <w:t xml:space="preserve">SMTP/Email: Transactional emails (verification, password reset, meeting notifications) sent via Nodemailer with SMTP configuration. Emails sent for: email verification, password reset, new meeting request received.</w:t>
      </w:r>
    </w:p>
    <w:p>
      <w:pPr>
        <w:pStyle w:val="ListParagraph"/>
        <w:numPr>
          <w:ilvl w:val="0"/>
          <w:numId w:val="2"/>
        </w:numPr>
        <w:spacing w:after="60"/>
      </w:pPr>
      <w:r>
        <w:rPr>
          <w:rFonts w:ascii="Arial" w:cs="Arial" w:eastAsia="Arial" w:hAnsi="Arial"/>
          <w:sz w:val="20"/>
          <w:szCs w:val="20"/>
        </w:rPr>
        <w:t xml:space="preserve">All external service communications encrypted over TLS.</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7.4  Hardware Interfaces</w:t>
      </w:r>
    </w:p>
    <w:p>
      <w:pPr>
        <w:spacing w:after="80"/>
      </w:pPr>
      <w:r>
        <w:rPr>
          <w:rFonts w:ascii="Arial" w:cs="Arial" w:eastAsia="Arial" w:hAnsi="Arial"/>
          <w:sz w:val="20"/>
          <w:szCs w:val="20"/>
        </w:rPr>
        <w:t xml:space="preserve">The Platform is a web application with no direct hardware interface requirements. Standard browser and network hardware is assumed.</w:t>
      </w:r>
    </w:p>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8  Requirements Traceability Matrix</w:t>
      </w:r>
    </w:p>
    <w:p>
      <w:pPr>
        <w:spacing w:after="80"/>
      </w:pPr>
      <w:r>
        <w:rPr>
          <w:rFonts w:ascii="Arial" w:cs="Arial" w:eastAsia="Arial" w:hAnsi="Arial"/>
          <w:sz w:val="20"/>
          <w:szCs w:val="20"/>
        </w:rPr>
        <w:t xml:space="preserve">The table below maps each requirement to its specification section, related use cases, cross-referenced non-functional requirements, and current backend implementation status.</w:t>
      </w:r>
    </w:p>
    <w:p>
      <w:pPr>
        <w:spacing w:after="4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900"/>
        <w:gridCol w:w="1000"/>
        <w:gridCol w:w="1200"/>
        <w:gridCol w:w="2138"/>
      </w:tblGrid>
      <w:tr>
        <w:tc>
          <w:tcPr>
            <w:tcW w:type="dxa" w:w="1000"/>
            <w:tcBorders>
              <w:top w:val="single" w:color="FFFFFF" w:sz="4"/>
              <w:left w:val="single" w:color="FFFFFF" w:sz="4"/>
              <w:bottom w:val="single" w:color="FFFFFF" w:sz="4"/>
              <w:right w:val="single" w:color="FFFFFF" w:sz="4"/>
            </w:tcBorders>
            <w:shd w:fill="1F3864" w:val="clear"/>
            <w:tcMar>
              <w:top w:type="dxa" w:w="60"/>
              <w:left w:type="dxa" w:w="80"/>
              <w:bottom w:type="dxa" w:w="60"/>
              <w:right w:type="dxa" w:w="60"/>
            </w:tcMar>
          </w:tcPr>
          <w:p>
            <w:pPr>
              <w:spacing w:after="0"/>
            </w:pPr>
            <w:r>
              <w:rPr>
                <w:rFonts w:ascii="Arial" w:cs="Arial" w:eastAsia="Arial" w:hAnsi="Arial"/>
                <w:b/>
                <w:bCs/>
                <w:color w:val="FFFFFF"/>
                <w:sz w:val="17"/>
                <w:szCs w:val="17"/>
              </w:rPr>
              <w:t xml:space="preserve">Req. ID</w:t>
            </w:r>
          </w:p>
        </w:tc>
        <w:tc>
          <w:tcPr>
            <w:tcW w:type="dxa" w:w="3400"/>
            <w:tcBorders>
              <w:top w:val="single" w:color="FFFFFF" w:sz="4"/>
              <w:left w:val="single" w:color="FFFFFF" w:sz="4"/>
              <w:bottom w:val="single" w:color="FFFFFF" w:sz="4"/>
              <w:right w:val="single" w:color="FFFFFF" w:sz="4"/>
            </w:tcBorders>
            <w:shd w:fill="1F3864" w:val="clear"/>
            <w:tcMar>
              <w:top w:type="dxa" w:w="60"/>
              <w:left w:type="dxa" w:w="80"/>
              <w:bottom w:type="dxa" w:w="60"/>
              <w:right w:type="dxa" w:w="60"/>
            </w:tcMar>
          </w:tcPr>
          <w:p>
            <w:pPr>
              <w:spacing w:after="0"/>
            </w:pPr>
            <w:r>
              <w:rPr>
                <w:rFonts w:ascii="Arial" w:cs="Arial" w:eastAsia="Arial" w:hAnsi="Arial"/>
                <w:b/>
                <w:bCs/>
                <w:color w:val="FFFFFF"/>
                <w:sz w:val="17"/>
                <w:szCs w:val="17"/>
              </w:rPr>
              <w:t xml:space="preserve">Description</w:t>
            </w:r>
          </w:p>
        </w:tc>
        <w:tc>
          <w:tcPr>
            <w:tcW w:type="dxa" w:w="900"/>
            <w:tcBorders>
              <w:top w:val="single" w:color="FFFFFF" w:sz="4"/>
              <w:left w:val="single" w:color="FFFFFF" w:sz="4"/>
              <w:bottom w:val="single" w:color="FFFFFF" w:sz="4"/>
              <w:right w:val="single" w:color="FFFFFF" w:sz="4"/>
            </w:tcBorders>
            <w:shd w:fill="1F3864" w:val="clear"/>
            <w:tcMar>
              <w:top w:type="dxa" w:w="60"/>
              <w:left w:type="dxa" w:w="80"/>
              <w:bottom w:type="dxa" w:w="60"/>
              <w:right w:type="dxa" w:w="60"/>
            </w:tcMar>
          </w:tcPr>
          <w:p>
            <w:pPr>
              <w:spacing w:after="0"/>
            </w:pPr>
            <w:r>
              <w:rPr>
                <w:rFonts w:ascii="Arial" w:cs="Arial" w:eastAsia="Arial" w:hAnsi="Arial"/>
                <w:b/>
                <w:bCs/>
                <w:color w:val="FFFFFF"/>
                <w:sz w:val="17"/>
                <w:szCs w:val="17"/>
              </w:rPr>
              <w:t xml:space="preserve">Section</w:t>
            </w:r>
          </w:p>
        </w:tc>
        <w:tc>
          <w:tcPr>
            <w:tcW w:type="dxa" w:w="1000"/>
            <w:tcBorders>
              <w:top w:val="single" w:color="FFFFFF" w:sz="4"/>
              <w:left w:val="single" w:color="FFFFFF" w:sz="4"/>
              <w:bottom w:val="single" w:color="FFFFFF" w:sz="4"/>
              <w:right w:val="single" w:color="FFFFFF" w:sz="4"/>
            </w:tcBorders>
            <w:shd w:fill="1F3864" w:val="clear"/>
            <w:tcMar>
              <w:top w:type="dxa" w:w="60"/>
              <w:left w:type="dxa" w:w="80"/>
              <w:bottom w:type="dxa" w:w="60"/>
              <w:right w:type="dxa" w:w="60"/>
            </w:tcMar>
          </w:tcPr>
          <w:p>
            <w:pPr>
              <w:spacing w:after="0"/>
            </w:pPr>
            <w:r>
              <w:rPr>
                <w:rFonts w:ascii="Arial" w:cs="Arial" w:eastAsia="Arial" w:hAnsi="Arial"/>
                <w:b/>
                <w:bCs/>
                <w:color w:val="FFFFFF"/>
                <w:sz w:val="17"/>
                <w:szCs w:val="17"/>
              </w:rPr>
              <w:t xml:space="preserve">Use Case</w:t>
            </w:r>
          </w:p>
        </w:tc>
        <w:tc>
          <w:tcPr>
            <w:tcW w:type="dxa" w:w="1200"/>
            <w:tcBorders>
              <w:top w:val="single" w:color="FFFFFF" w:sz="4"/>
              <w:left w:val="single" w:color="FFFFFF" w:sz="4"/>
              <w:bottom w:val="single" w:color="FFFFFF" w:sz="4"/>
              <w:right w:val="single" w:color="FFFFFF" w:sz="4"/>
            </w:tcBorders>
            <w:shd w:fill="1F3864" w:val="clear"/>
            <w:tcMar>
              <w:top w:type="dxa" w:w="60"/>
              <w:left w:type="dxa" w:w="80"/>
              <w:bottom w:type="dxa" w:w="60"/>
              <w:right w:type="dxa" w:w="60"/>
            </w:tcMar>
          </w:tcPr>
          <w:p>
            <w:pPr>
              <w:spacing w:after="0"/>
            </w:pPr>
            <w:r>
              <w:rPr>
                <w:rFonts w:ascii="Arial" w:cs="Arial" w:eastAsia="Arial" w:hAnsi="Arial"/>
                <w:b/>
                <w:bCs/>
                <w:color w:val="FFFFFF"/>
                <w:sz w:val="17"/>
                <w:szCs w:val="17"/>
              </w:rPr>
              <w:t xml:space="preserve">NFR Ref.</w:t>
            </w:r>
          </w:p>
        </w:tc>
        <w:tc>
          <w:tcPr>
            <w:tcW w:type="dxa" w:w="2138"/>
            <w:tcBorders>
              <w:top w:val="single" w:color="FFFFFF" w:sz="4"/>
              <w:left w:val="single" w:color="FFFFFF" w:sz="4"/>
              <w:bottom w:val="single" w:color="FFFFFF" w:sz="4"/>
              <w:right w:val="single" w:color="FFFFFF" w:sz="4"/>
            </w:tcBorders>
            <w:shd w:fill="1F3864" w:val="clear"/>
            <w:tcMar>
              <w:top w:type="dxa" w:w="60"/>
              <w:left w:type="dxa" w:w="80"/>
              <w:bottom w:type="dxa" w:w="60"/>
              <w:right w:type="dxa" w:w="60"/>
            </w:tcMar>
          </w:tcPr>
          <w:p>
            <w:pPr>
              <w:spacing w:after="0"/>
            </w:pPr>
            <w:r>
              <w:rPr>
                <w:rFonts w:ascii="Arial" w:cs="Arial" w:eastAsia="Arial" w:hAnsi="Arial"/>
                <w:b/>
                <w:bCs/>
                <w:color w:val="FFFFFF"/>
                <w:sz w:val="17"/>
                <w:szCs w:val="17"/>
              </w:rPr>
              <w:t xml:space="preserve">Impl. Status</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FR-01</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User Registration</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3.1</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UC-05</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NFR-08</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FR-02</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Email Verification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3.1</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FR-03</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User Login</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3.1</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UC-02</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NFR-04,06</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FR-04</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Password Reset</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3.1</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NFR-04</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FR-05</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Role-Based Access</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3.1</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UC-01–05</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FR-06</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Session Management</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3.1</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NFR-04</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FR-07</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Create Listing</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3.2</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UC-01</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FR-08</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Edit Listing</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3.2</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UC-01</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FR-09</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Delete / Archive Listing</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3.2</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UC-01</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FR-10</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Search and Filter Listings</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3.2</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UC-02</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NFR-02</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FR-11</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View Listing Detail</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3.2</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UC-02</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FR-12</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NDA Acceptance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3.2</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UC-02</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NFR-08</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FR-13</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Express Interest</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3.3</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UC-02</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FR-14</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View Interested Users</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3.3</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UC-03</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FR-15</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Send Meeting Request</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3.3</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UC-03</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833C00"/>
                <w:sz w:val="17"/>
                <w:szCs w:val="17"/>
              </w:rPr>
              <w:t xml:space="preserve">⚠️ Partial (1 slot)</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FR-16</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Accept / Decline Meeting</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3.3</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UC-03</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FR-17</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Cancel Meeting</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3.3</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UC-03</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833C00"/>
                <w:sz w:val="17"/>
                <w:szCs w:val="17"/>
              </w:rPr>
              <w:t xml:space="preserve">⚠️ Partial (no reason)</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FR-18</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In-App Notifications</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3.4</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UC-02,03</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833C00"/>
                <w:sz w:val="17"/>
                <w:szCs w:val="17"/>
              </w:rPr>
              <w:t xml:space="preserve">⚠️ Email only</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FR-19</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Mark Notification as Read</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3.4</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C00000"/>
                <w:sz w:val="17"/>
                <w:szCs w:val="17"/>
              </w:rPr>
              <w:t xml:space="preserve">❌ Deferred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FR-20</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Edit Profile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3.5</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WCAG 2.1</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833C00"/>
                <w:sz w:val="17"/>
                <w:szCs w:val="17"/>
              </w:rPr>
              <w:t xml:space="preserve">⚠️ Partial (core fields)</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FR-21</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GDPR Data Export</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3.5</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UC-05</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NFR-08,09</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FR-22</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Account Deletion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3.5</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UC-05</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NFR-08</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FR-23</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Admin Dashboard</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3.6</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UC-04</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NFR-03</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FR-24</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User Management (Admin)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3.6</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UC-04</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FR-25</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Listing Moderation (Admin)</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3.6</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UC-04</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FR-26</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Activity Log Viewer (Admin)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3.6</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UC-04</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NFR-09</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FR-27</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3-Step Registration Wizard</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3.6</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UC-01</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NFR-10</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 Frontend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FR-28</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3-Step Listing Creation</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3.6</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UC-01</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 Frontend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NFR-01</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Page Load Time</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4.1</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 Frontend/Deploy</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NFR-02</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Search Response Time</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4.1</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UC-02</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Architecture OK</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NFR-03</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Concurrent Users</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4.1</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Not load tested</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NFR-04</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HTTPS / TLS</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4.2</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Deploy concern</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NFR-05</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Password Hashing</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4.2</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bcrypt/12</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NFR-06</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Rate Limiting</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4.2</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Implemented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NFR-07</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Input Validation / XSS</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4.2</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Joi + Helmet</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NFR-08</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Lawful Basis / Consent</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4.3</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UC-05</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FR-01,22</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833C00"/>
                <w:sz w:val="17"/>
                <w:szCs w:val="17"/>
              </w:rPr>
              <w:t xml:space="preserve">⚠️ consentField TBD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NFR-09</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Log Retention (24 mo.)</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4.3</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FR-26</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375623"/>
                <w:sz w:val="17"/>
                <w:szCs w:val="17"/>
              </w:rPr>
              <w:t xml:space="preserve">✅ Manual cleanup</w:t>
            </w:r>
          </w:p>
        </w:tc>
      </w:tr>
      <w:tr>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NFR-10</w:t>
            </w:r>
          </w:p>
        </w:tc>
        <w:tc>
          <w:tcPr>
            <w:tcW w:type="dxa" w:w="34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WCAG 2.1 AA</w:t>
            </w:r>
          </w:p>
        </w:tc>
        <w:tc>
          <w:tcPr>
            <w:tcW w:type="dxa" w:w="9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4.4</w:t>
            </w:r>
          </w:p>
        </w:tc>
        <w:tc>
          <w:tcPr>
            <w:tcW w:type="dxa" w:w="10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2F2F2"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 Frontend</w:t>
            </w:r>
          </w:p>
        </w:tc>
      </w:tr>
      <w:tr>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bCs/>
                <w:color w:val="000000"/>
                <w:sz w:val="17"/>
                <w:szCs w:val="17"/>
              </w:rPr>
              <w:t xml:space="preserve">NFR-11</w:t>
            </w:r>
          </w:p>
        </w:tc>
        <w:tc>
          <w:tcPr>
            <w:tcW w:type="dxa" w:w="34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Responsive Design</w:t>
            </w:r>
          </w:p>
        </w:tc>
        <w:tc>
          <w:tcPr>
            <w:tcW w:type="dxa" w:w="9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4.4</w:t>
            </w:r>
          </w:p>
        </w:tc>
        <w:tc>
          <w:tcPr>
            <w:tcW w:type="dxa" w:w="10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w:t>
            </w:r>
          </w:p>
        </w:tc>
        <w:tc>
          <w:tcPr>
            <w:tcW w:type="dxa" w:w="2138"/>
            <w:tcBorders>
              <w:top w:val="single" w:color="BBBBBB" w:sz="4"/>
              <w:left w:val="single" w:color="BBBBBB" w:sz="4"/>
              <w:bottom w:val="single" w:color="BBBBBB" w:sz="4"/>
              <w:right w:val="single" w:color="BBBBBB" w:sz="4"/>
            </w:tcBorders>
            <w:shd w:fill="FFFFFF" w:val="clear"/>
            <w:tcMar>
              <w:top w:type="dxa" w:w="50"/>
              <w:left w:type="dxa" w:w="80"/>
              <w:bottom w:type="dxa" w:w="50"/>
              <w:right w:type="dxa" w:w="60"/>
            </w:tcMar>
          </w:tcPr>
          <w:p>
            <w:pPr>
              <w:spacing w:after="0"/>
            </w:pPr>
            <w:r>
              <w:rPr>
                <w:rFonts w:ascii="Arial" w:cs="Arial" w:eastAsia="Arial" w:hAnsi="Arial"/>
                <w:b w:val="false"/>
                <w:bCs w:val="false"/>
                <w:color w:val="000000"/>
                <w:sz w:val="17"/>
                <w:szCs w:val="17"/>
              </w:rPr>
              <w:t xml:space="preserve">🎨 Frontend</w:t>
            </w:r>
          </w:p>
        </w:tc>
      </w:tr>
    </w:tbl>
    <w:p>
      <w:r>
        <w:br w:type="page"/>
      </w:r>
    </w:p>
    <w:p>
      <w:pPr>
        <w:pStyle w:val="Heading1"/>
        <w:pBdr>
          <w:bottom w:val="single" w:color="2E75B5" w:sz="6" w:space="4"/>
        </w:pBdr>
        <w:spacing w:after="160" w:before="320"/>
      </w:pPr>
      <w:r>
        <w:rPr>
          <w:rFonts w:ascii="Arial" w:cs="Arial" w:eastAsia="Arial" w:hAnsi="Arial"/>
          <w:b/>
          <w:bCs/>
          <w:color w:val="1F3864"/>
          <w:sz w:val="28"/>
          <w:szCs w:val="28"/>
        </w:rPr>
        <w:t xml:space="preserve">9  Appendices</w:t>
      </w:r>
    </w:p>
    <w:p>
      <w:pPr>
        <w:pStyle w:val="Heading2"/>
        <w:spacing w:after="120" w:before="240"/>
      </w:pPr>
      <w:r>
        <w:rPr>
          <w:rFonts w:ascii="Arial" w:cs="Arial" w:eastAsia="Arial" w:hAnsi="Arial"/>
          <w:b/>
          <w:bCs/>
          <w:color w:val="2E75B5"/>
          <w:sz w:val="24"/>
          <w:szCs w:val="24"/>
        </w:rPr>
        <w:t xml:space="preserve">9.1  Appendix A — Use Case Diagram</w:t>
      </w:r>
    </w:p>
    <w:p>
      <w:pPr>
        <w:spacing w:after="80"/>
      </w:pPr>
      <w:r>
        <w:rPr>
          <w:rFonts w:ascii="Arial" w:cs="Arial" w:eastAsia="Arial" w:hAnsi="Arial"/>
          <w:sz w:val="20"/>
          <w:szCs w:val="20"/>
        </w:rPr>
        <w:t xml:space="preserve">A UML use case diagram illustrating the interactions between Actors (Engineer, Healthcare Professional, Administrator, System) and the system's use cases is provided separately as a diagram artefact. Key relationships:</w:t>
      </w:r>
    </w:p>
    <w:p>
      <w:pPr>
        <w:pStyle w:val="ListParagraph"/>
        <w:numPr>
          <w:ilvl w:val="0"/>
          <w:numId w:val="2"/>
        </w:numPr>
        <w:spacing w:after="60"/>
      </w:pPr>
      <w:r>
        <w:rPr>
          <w:rFonts w:ascii="Arial" w:cs="Arial" w:eastAsia="Arial" w:hAnsi="Arial"/>
          <w:sz w:val="20"/>
          <w:szCs w:val="20"/>
        </w:rPr>
        <w:t xml:space="preserve">Engineer includes: Register, Login, Browse Listings, Express Interest (Meeting Request), Export Data</w:t>
      </w:r>
    </w:p>
    <w:p>
      <w:pPr>
        <w:pStyle w:val="ListParagraph"/>
        <w:numPr>
          <w:ilvl w:val="0"/>
          <w:numId w:val="2"/>
        </w:numPr>
        <w:spacing w:after="60"/>
      </w:pPr>
      <w:r>
        <w:rPr>
          <w:rFonts w:ascii="Arial" w:cs="Arial" w:eastAsia="Arial" w:hAnsi="Arial"/>
          <w:sz w:val="20"/>
          <w:szCs w:val="20"/>
        </w:rPr>
        <w:t xml:space="preserve">Healthcare Professional includes: Register, Login, Create Listing, Manage Listing, View Interested Users, Accept/Decline Meeting, Export Data</w:t>
      </w:r>
    </w:p>
    <w:p>
      <w:pPr>
        <w:pStyle w:val="ListParagraph"/>
        <w:numPr>
          <w:ilvl w:val="0"/>
          <w:numId w:val="2"/>
        </w:numPr>
        <w:spacing w:after="60"/>
      </w:pPr>
      <w:r>
        <w:rPr>
          <w:rFonts w:ascii="Arial" w:cs="Arial" w:eastAsia="Arial" w:hAnsi="Arial"/>
          <w:sz w:val="20"/>
          <w:szCs w:val="20"/>
        </w:rPr>
        <w:t xml:space="preserve">Administrator includes: Login, View Dashboard, Manage Users, Moderate Listings, View Activity Logs</w:t>
      </w:r>
    </w:p>
    <w:p>
      <w:pPr>
        <w:pStyle w:val="ListParagraph"/>
        <w:numPr>
          <w:ilvl w:val="0"/>
          <w:numId w:val="2"/>
        </w:numPr>
        <w:spacing w:after="60"/>
      </w:pPr>
      <w:r>
        <w:rPr>
          <w:rFonts w:ascii="Arial" w:cs="Arial" w:eastAsia="Arial" w:hAnsi="Arial"/>
          <w:sz w:val="20"/>
          <w:szCs w:val="20"/>
        </w:rPr>
        <w:t xml:space="preserve">System extends: Send Email Notification (triggered by Meeting Request, Meeting Confirmed events)</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9.2  Appendix B — Entity-Relationship Summary</w:t>
      </w:r>
    </w:p>
    <w:p>
      <w:pPr>
        <w:spacing w:after="80"/>
      </w:pPr>
      <w:r>
        <w:rPr>
          <w:rFonts w:ascii="Arial" w:cs="Arial" w:eastAsia="Arial" w:hAnsi="Arial"/>
          <w:sz w:val="20"/>
          <w:szCs w:val="20"/>
        </w:rPr>
        <w:t xml:space="preserve">Entity relationships (crow's-foot notation):</w:t>
      </w:r>
    </w:p>
    <w:p>
      <w:pPr>
        <w:pStyle w:val="ListParagraph"/>
        <w:numPr>
          <w:ilvl w:val="0"/>
          <w:numId w:val="2"/>
        </w:numPr>
        <w:spacing w:after="60"/>
      </w:pPr>
      <w:r>
        <w:rPr>
          <w:rFonts w:ascii="Arial" w:cs="Arial" w:eastAsia="Arial" w:hAnsi="Arial"/>
          <w:sz w:val="20"/>
          <w:szCs w:val="20"/>
        </w:rPr>
        <w:t xml:space="preserve">User (1) ----&lt; (0..*) Post                [owner of]</w:t>
      </w:r>
    </w:p>
    <w:p>
      <w:pPr>
        <w:pStyle w:val="ListParagraph"/>
        <w:numPr>
          <w:ilvl w:val="0"/>
          <w:numId w:val="2"/>
        </w:numPr>
        <w:spacing w:after="60"/>
      </w:pPr>
      <w:r>
        <w:rPr>
          <w:rFonts w:ascii="Arial" w:cs="Arial" w:eastAsia="Arial" w:hAnsi="Arial"/>
          <w:sz w:val="20"/>
          <w:szCs w:val="20"/>
        </w:rPr>
        <w:t xml:space="preserve">User (1) ----&lt; (0..*) MeetingRequest       [requests as requester]</w:t>
      </w:r>
    </w:p>
    <w:p>
      <w:pPr>
        <w:pStyle w:val="ListParagraph"/>
        <w:numPr>
          <w:ilvl w:val="0"/>
          <w:numId w:val="2"/>
        </w:numPr>
        <w:spacing w:after="60"/>
      </w:pPr>
      <w:r>
        <w:rPr>
          <w:rFonts w:ascii="Arial" w:cs="Arial" w:eastAsia="Arial" w:hAnsi="Arial"/>
          <w:sz w:val="20"/>
          <w:szCs w:val="20"/>
        </w:rPr>
        <w:t xml:space="preserve">User (1) ----&lt; (0..*) MeetingRequest       [receives as postOwner]</w:t>
      </w:r>
    </w:p>
    <w:p>
      <w:pPr>
        <w:pStyle w:val="ListParagraph"/>
        <w:numPr>
          <w:ilvl w:val="0"/>
          <w:numId w:val="2"/>
        </w:numPr>
        <w:spacing w:after="60"/>
      </w:pPr>
      <w:r>
        <w:rPr>
          <w:rFonts w:ascii="Arial" w:cs="Arial" w:eastAsia="Arial" w:hAnsi="Arial"/>
          <w:sz w:val="20"/>
          <w:szCs w:val="20"/>
        </w:rPr>
        <w:t xml:space="preserve">Post (1) ----&lt; (0..*) MeetingRequest       [receives interest]</w:t>
      </w:r>
    </w:p>
    <w:p>
      <w:pPr>
        <w:pStyle w:val="ListParagraph"/>
        <w:numPr>
          <w:ilvl w:val="0"/>
          <w:numId w:val="2"/>
        </w:numPr>
        <w:spacing w:after="60"/>
      </w:pPr>
      <w:r>
        <w:rPr>
          <w:rFonts w:ascii="Arial" w:cs="Arial" w:eastAsia="Arial" w:hAnsi="Arial"/>
          <w:sz w:val="20"/>
          <w:szCs w:val="20"/>
        </w:rPr>
        <w:t xml:space="preserve">User (1) ----&lt; (0..*) NdaAcceptance        [accepts NDAs]</w:t>
      </w:r>
    </w:p>
    <w:p>
      <w:pPr>
        <w:pStyle w:val="ListParagraph"/>
        <w:numPr>
          <w:ilvl w:val="0"/>
          <w:numId w:val="2"/>
        </w:numPr>
        <w:spacing w:after="60"/>
      </w:pPr>
      <w:r>
        <w:rPr>
          <w:rFonts w:ascii="Arial" w:cs="Arial" w:eastAsia="Arial" w:hAnsi="Arial"/>
          <w:sz w:val="20"/>
          <w:szCs w:val="20"/>
        </w:rPr>
        <w:t xml:space="preserve">Post (1) ----&lt; (0..*) NdaAcceptance        [has NDA records]</w:t>
      </w:r>
    </w:p>
    <w:p>
      <w:pPr>
        <w:pStyle w:val="ListParagraph"/>
        <w:numPr>
          <w:ilvl w:val="0"/>
          <w:numId w:val="2"/>
        </w:numPr>
        <w:spacing w:after="60"/>
      </w:pPr>
      <w:r>
        <w:rPr>
          <w:rFonts w:ascii="Arial" w:cs="Arial" w:eastAsia="Arial" w:hAnsi="Arial"/>
          <w:sz w:val="20"/>
          <w:szCs w:val="20"/>
        </w:rPr>
        <w:t xml:space="preserve">User (1) ----&lt; (0..*) ActivityLog          [generates]</w:t>
      </w:r>
    </w:p>
    <w:p>
      <w:pPr>
        <w:spacing w:after="40"/>
      </w:pPr>
      <w:r>
        <w:rPr>
          <w:rFonts w:ascii="Arial" w:cs="Arial" w:eastAsia="Arial" w:hAnsi="Arial"/>
          <w:sz w:val="20"/>
          <w:szCs w:val="20"/>
        </w:rPr>
        <w:t xml:space="preserve"/>
      </w:r>
    </w:p>
    <w:p>
      <w:pPr>
        <w:pStyle w:val="Heading2"/>
        <w:spacing w:after="120" w:before="240"/>
      </w:pPr>
      <w:r>
        <w:rPr>
          <w:rFonts w:ascii="Arial" w:cs="Arial" w:eastAsia="Arial" w:hAnsi="Arial"/>
          <w:b/>
          <w:bCs/>
          <w:color w:val="2E75B5"/>
          <w:sz w:val="24"/>
          <w:szCs w:val="24"/>
        </w:rPr>
        <w:t xml:space="preserve">9.3  Appendix C — Glossary of Action Types (Activity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c>
          <w:tcPr>
            <w:tcW w:type="dxa" w:w="35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Action Type</w:t>
            </w:r>
          </w:p>
        </w:tc>
        <w:tc>
          <w:tcPr>
            <w:tcW w:type="dxa" w:w="6138"/>
            <w:tcBorders>
              <w:top w:val="single" w:color="FFFFFF" w:sz="4"/>
              <w:left w:val="single" w:color="FFFFFF" w:sz="4"/>
              <w:bottom w:val="single" w:color="FFFFFF" w:sz="4"/>
              <w:right w:val="single" w:color="FFFFFF" w:sz="4"/>
            </w:tcBorders>
            <w:shd w:fill="1F3864" w:val="clear"/>
            <w:tcMar>
              <w:top w:type="dxa" w:w="80"/>
              <w:left w:type="dxa" w:w="120"/>
              <w:bottom w:type="dxa" w:w="80"/>
              <w:right w:type="dxa" w:w="80"/>
            </w:tcMar>
          </w:tcPr>
          <w:p>
            <w:pPr>
              <w:spacing w:after="0"/>
            </w:pPr>
            <w:r>
              <w:rPr>
                <w:rFonts w:ascii="Arial" w:cs="Arial" w:eastAsia="Arial" w:hAnsi="Arial"/>
                <w:b/>
                <w:bCs/>
                <w:color w:val="FFFFFF"/>
                <w:sz w:val="20"/>
                <w:szCs w:val="20"/>
              </w:rPr>
              <w:t xml:space="preserve">Description</w:t>
            </w:r>
          </w:p>
        </w:tc>
      </w:tr>
      <w:tr>
        <w:tc>
          <w:tcPr>
            <w:tcW w:type="dxa" w:w="35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18"/>
                <w:szCs w:val="18"/>
              </w:rPr>
              <w:t xml:space="preserve">LOGIN</w:t>
            </w:r>
          </w:p>
        </w:tc>
        <w:tc>
          <w:tcPr>
            <w:tcW w:type="dxa" w:w="61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18"/>
                <w:szCs w:val="18"/>
              </w:rPr>
              <w:t xml:space="preserve">Successful user login</w:t>
            </w:r>
          </w:p>
        </w:tc>
      </w:tr>
      <w:tr>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18"/>
                <w:szCs w:val="18"/>
              </w:rPr>
              <w:t xml:space="preserve">FAILED_LOGIN</w:t>
            </w:r>
          </w:p>
        </w:tc>
        <w:tc>
          <w:tcPr>
            <w:tcW w:type="dxa" w:w="61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18"/>
                <w:szCs w:val="18"/>
              </w:rPr>
              <w:t xml:space="preserve">Failed login attempt (wrong credentials)</w:t>
            </w:r>
          </w:p>
        </w:tc>
      </w:tr>
      <w:tr>
        <w:tc>
          <w:tcPr>
            <w:tcW w:type="dxa" w:w="3500"/>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b/>
                <w:bCs/>
                <w:sz w:val="18"/>
                <w:szCs w:val="18"/>
              </w:rPr>
              <w:t xml:space="preserve">POST_CREATE</w:t>
            </w:r>
          </w:p>
        </w:tc>
        <w:tc>
          <w:tcPr>
            <w:tcW w:type="dxa" w:w="6138"/>
            <w:tcBorders>
              <w:top w:val="single" w:color="AAAAAA" w:sz="4"/>
              <w:left w:val="single" w:color="AAAAAA" w:sz="4"/>
              <w:bottom w:val="single" w:color="AAAAAA" w:sz="4"/>
              <w:right w:val="single" w:color="AAAAAA" w:sz="4"/>
            </w:tcBorders>
            <w:shd w:fill="DEEAF1" w:val="clear"/>
            <w:tcMar>
              <w:top w:type="dxa" w:w="70"/>
              <w:left w:type="dxa" w:w="120"/>
              <w:bottom w:type="dxa" w:w="70"/>
              <w:right w:type="dxa" w:w="80"/>
            </w:tcMar>
          </w:tcPr>
          <w:p>
            <w:pPr>
              <w:spacing w:after="0"/>
            </w:pPr>
            <w:r>
              <w:rPr>
                <w:rFonts w:ascii="Arial" w:cs="Arial" w:eastAsia="Arial" w:hAnsi="Arial"/>
                <w:sz w:val="18"/>
                <w:szCs w:val="18"/>
              </w:rPr>
              <w:t xml:space="preserve">New listing published by a user</w:t>
            </w:r>
          </w:p>
        </w:tc>
      </w:tr>
      <w:tr>
        <w:tc>
          <w:tcPr>
            <w:tcW w:type="dxa" w:w="3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b/>
                <w:bCs/>
                <w:sz w:val="18"/>
                <w:szCs w:val="18"/>
              </w:rPr>
              <w:t xml:space="preserve">POST_CLOSE</w:t>
            </w:r>
          </w:p>
        </w:tc>
        <w:tc>
          <w:tcPr>
            <w:tcW w:type="dxa" w:w="6138"/>
            <w:tcBorders>
              <w:top w:val="single" w:color="AAAAAA" w:sz="4"/>
              <w:left w:val="single" w:color="AAAAAA" w:sz="4"/>
              <w:bottom w:val="single" w:color="AAAAAA" w:sz="4"/>
              <w:right w:val="single" w:color="AAAAAA" w:sz="4"/>
            </w:tcBorders>
            <w:shd w:fill="FFFFFF" w:val="clear"/>
            <w:tcMar>
              <w:top w:type="dxa" w:w="70"/>
              <w:left w:type="dxa" w:w="120"/>
              <w:bottom w:type="dxa" w:w="70"/>
              <w:right w:type="dxa" w:w="80"/>
            </w:tcMar>
          </w:tcPr>
          <w:p>
            <w:pPr>
              <w:spacing w:after="0"/>
            </w:pPr>
            <w:r>
              <w:rPr>
                <w:rFonts w:ascii="Arial" w:cs="Arial" w:eastAsia="Arial" w:hAnsi="Arial"/>
                <w:sz w:val="18"/>
                <w:szCs w:val="18"/>
              </w:rPr>
              <w:t xml:space="preserve">Listing closed (status set to partner_found)</w:t>
            </w:r>
          </w:p>
        </w:tc>
      </w:tr>
    </w:tbl>
    <w:p>
      <w:pPr>
        <w:spacing w:after="40"/>
      </w:pPr>
      <w:r>
        <w:rPr>
          <w:rFonts w:ascii="Arial" w:cs="Arial" w:eastAsia="Arial" w:hAnsi="Arial"/>
          <w:sz w:val="20"/>
          <w:szCs w:val="20"/>
        </w:rPr>
        <w:t xml:space="preserve"/>
      </w:r>
    </w:p>
    <w:p>
      <w:pPr>
        <w:spacing w:after="0" w:before="400"/>
        <w:jc w:val="center"/>
      </w:pPr>
      <w:r>
        <w:rPr>
          <w:rFonts w:ascii="Arial" w:cs="Arial" w:eastAsia="Arial" w:hAnsi="Arial"/>
          <w:i/>
          <w:iCs/>
          <w:color w:val="777777"/>
          <w:sz w:val="18"/>
          <w:szCs w:val="18"/>
        </w:rPr>
        <w:t xml:space="preserve">— End of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Arial" w:cs="Arial" w:eastAsia="Arial" w:hAnsi="Arial"/>
        <w:color w:val="555555"/>
        <w:sz w:val="18"/>
        <w:szCs w:val="18"/>
      </w:rPr>
      <w:t xml:space="preserve">Confidential — Academic Use Only</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0"/>
    </w:pPr>
    <w:r>
      <w:rPr>
        <w:rFonts w:ascii="Arial" w:cs="Arial" w:eastAsia="Arial" w:hAnsi="Arial"/>
        <w:color w:val="555555"/>
        <w:sz w:val="18"/>
        <w:szCs w:val="18"/>
      </w:rPr>
      <w:t xml:space="preserve">HEALTH AI Co-Creation Platform  |  SRS v1.0  |  SENG 384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5"/>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2026-04-15T20:13:59.202Z</dcterms:created>
  <dcterms:modified xsi:type="dcterms:W3CDTF">2026-04-15T20:13:59.203Z</dcterms:modified>
</cp:coreProperties>
</file>

<file path=docProps/custom.xml><?xml version="1.0" encoding="utf-8"?>
<Properties xmlns="http://schemas.openxmlformats.org/officeDocument/2006/custom-properties" xmlns:vt="http://schemas.openxmlformats.org/officeDocument/2006/docPropsVTypes"/>
</file>