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Regulatory Environment for Cryptocurrencies</w:t>
      </w:r>
    </w:p>
    <w:p>
      <w:r>
        <w:t>The regulatory environment for cryptocurrencies is constantly evolving. In India, the Reserve Bank of India (RBI) has issued guidelines for banks and financial institutions, advising them to not deal with cryptocurrencies or provide services to individuals or businesses that deal with them. The Indian government has also clarified that cryptocurrencies are not considered legal tender, but they can be taxed as income.</w:t>
      </w:r>
    </w:p>
    <w:p>
      <w:r>
        <w:t>In other countries, such as the United States, the regulatory environment is complex, with different agencies having different views on the regulation of cryptocurrencies. The European Union has implemented the Fifth Anti-Money Laundering Directive (AMLD5), which requires cryptocurrency exchanges and other service providers to follow AML and KYC regulations.</w:t>
      </w:r>
    </w:p>
    <w:p>
      <w:r>
        <w:t>It is essential to follow local regulations and use reputable exchanges to minimize the risks associated with using cryptocurrencies. Reporting taxes and being cautious of scams and frauds are also crucial.</w:t>
      </w:r>
    </w:p>
    <w:p>
      <w:r>
        <w:t>This document provides an overview of the regulatory environment for cryptocurrencies in India and other countries, including the potential risks and best practices for users.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