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BANK RISK &amp;</w:t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LOAN INTELLIGENCE</w:t>
      </w:r>
    </w:p>
    <w:p>
      <w:pPr>
        <w:jc w:val="center"/>
      </w:pPr>
      <w:r>
        <w:rPr>
          <w:rFonts w:ascii="Arial" w:cs="Arial" w:eastAsia="Arial" w:hAnsi="Arial"/>
          <w:b/>
          <w:bCs/>
          <w:color w:val="C9A84C"/>
          <w:sz w:val="64"/>
          <w:szCs w:val="64"/>
        </w:rPr>
        <w:t xml:space="preserve">DASHBOARD REPORT</w:t>
      </w:r>
    </w:p>
    <w:p>
      <w:pPr>
        <w:spacing w:after="0" w:before="160"/>
      </w:pPr>
      <w:r>
        <w:t xml:space="preserve"/>
      </w:r>
    </w:p>
    <w:p>
      <w:pPr>
        <w:pBdr>
          <w:bottom w:val="single" w:color="C9A84C" w:sz="8"/>
        </w:pBdr>
        <w:jc w:val="center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German Credit Risk Dataset  |  Power BI Analytics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1,000 Customers  |  8 Dimensions  |  3-Page Interactive Dashboard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8F8E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40"/>
                <w:szCs w:val="40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Good Risk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ECE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0"/>
                <w:szCs w:val="40"/>
              </w:rPr>
              <w:t xml:space="preserve">30%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Bad Risk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D6E4F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40"/>
                <w:szCs w:val="40"/>
              </w:rPr>
              <w:t xml:space="preserve">1,000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Total Customers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3DC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40"/>
                <w:szCs w:val="40"/>
              </w:rPr>
              <w:t xml:space="preserve">3.27K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Avg Credit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Confidential — For Internal Use Only</w:t>
      </w:r>
    </w:p>
    <w:p>
      <w:r>
        <w:br w:type="page"/>
      </w:r>
    </w:p>
    <w:p>
      <w:pPr>
        <w:sectPr>
          <w:pgSz w:w="12240" w:h="15840" w:orient="portrait"/>
          <w:pgMar w:top="720" w:right="1440" w:bottom="720" w:left="1440" w:header="708" w:footer="708" w:gutter="0"/>
          <w:pgNumType/>
          <w:docGrid w:linePitch="360"/>
        </w:sectPr>
      </w:pPr>
    </w:p>
    <w:p>
      <w:pPr>
        <w:pBdr>
          <w:bottom w:val="single" w:color="C9A84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Executive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2"/>
              <w:bottom w:val="single" w:color="1B2A4A" w:sz="1"/>
              <w:right w:val="single" w:color="1B2A4A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ℹ️  Project Overview</w:t>
            </w:r>
          </w:p>
          <w:p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This report presents a comprehensive analysis of 1,000 customer credit records using the German Credit Risk dataset. An interactive 3-page Power BI dashboard was developed to surface actionable risk intelligence, enabling data-driven loan approval decisions and exposure management.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analysis reveals a fundamentally healthy credit portfolio — 70% of customers are classified as Good Risk. However, the 30% Bad Risk segment demands strategic attention, as these customers exhibit disproportionately higher average credit amounts and longer loan durations, creating concentrated financial exposure.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Business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Identify and profile high-risk customer segments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Reduce loan default probability through predictive insight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Understand behavioural borrowing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Support smarter, data-driven financial decisions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Scope of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Dataset: 1,000 customer credit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Dimensions: 8 key attributes analyzed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Tool: Microsoft Power BI (3-page dashboard)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Focus: Risk segmentation &amp; credit exposure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9A84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Dataset Overview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German Credit Risk dataset contains detailed financial and demographic attributes for 1,000 bank customers. Each record includes risk classification (Good/Bad), enabling supervised analysis of default risk drivers.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80"/>
        <w:gridCol w:w="4080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24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40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Customer ID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Identifier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Unique reference per customer record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 / Age Group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Numeric / Categorical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Customer age, grouped into Young, Young Adults, Senior, Elder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Gender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Male or Female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Job Category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Ordinal (0–3)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Employment skill level: 0 = unskilled, 3 = highly skilled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Credit Amount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Numeric (DM)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Total loan value requested by customer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Loan Duration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Numeric (months)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Length of repayment period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Loan Purpose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Car, radio/TV, furniture, education, business,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Risk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Binary Target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Good (low default risk) or Bad (high default risk)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9A84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Dashboard Page 1 — Executive Overview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1,000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Total Customers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8F8E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36"/>
                <w:szCs w:val="36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Good Risk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30%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Bad Risk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3DC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36"/>
                <w:szCs w:val="36"/>
              </w:rPr>
              <w:t xml:space="preserve">3.27K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Avg Credit Amount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3.1  Portfolio Risk Distribution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pie chart confirms a 70/30 Good/Bad split across 1,000 customers. Good Risk customers contribute ₹3.94K in total credit (56.88% of portfolio value), while Bad Risk customers account for ₹2.99K (43.12%) — a disproportionate share relative to their 30% count.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2"/>
              <w:bottom w:val="single" w:color="C9A84C" w:sz="1"/>
              <w:right w:val="single" w:color="C9A84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⚠️  Key Risk Exposure Finding</w:t>
            </w:r>
          </w:p>
          <w:p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Bad Risk customers (30% of the base) hold 43.12% of total credit value — meaning they carry 44% more credit per capita than Good Risk customers. This concentration requires targeted monitoring.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3.2  Customer Distribution by Age Group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Young customers (371) and Young Adults (355) dominate the portfolio, together accounting for 72.6% of all borrowers. Senior customers number 203, with Elders representing just 71 (7.1%).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Young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2"/>
                <w:szCs w:val="32"/>
              </w:rPr>
              <w:t xml:space="preserve">371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37.1% of total</w:t>
            </w:r>
          </w:p>
        </w:tc>
        <w:tc>
          <w:tcPr>
            <w:tcW w:type="dxa" w:w="312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Young Adults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2"/>
                <w:szCs w:val="32"/>
              </w:rPr>
              <w:t xml:space="preserve">355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35.5% of total</w:t>
            </w:r>
          </w:p>
        </w:tc>
        <w:tc>
          <w:tcPr>
            <w:tcW w:type="dxa" w:w="312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8F8E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Senior + Elder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32"/>
                <w:szCs w:val="32"/>
              </w:rPr>
              <w:t xml:space="preserve">274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27.4% of total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9A84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Dashboard Page 2 — Risk Analysis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2"/>
              <w:bottom w:val="single" w:color="1B2A4A" w:sz="1"/>
              <w:right w:val="single" w:color="1B2A4A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📈  Page Headline Insight</w:t>
            </w:r>
          </w:p>
          <w:p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Customers with longer loan durations show significantly higher default risk — this is the single strongest predictor identified across the dataset.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4.1  Loan Duration vs. Risk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duration trend chart reveals that bad risk events spike dramatically at medium durations (15–30 months), with peak bad-risk customer counts reaching 128 at certain intervals. Beyond 60 months, both risk categories decline in volume but the bad-risk ratio remains elevated.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High Risk Duration Bands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12 months — predominantly Good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12–36 months — mixed, rising Bad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 36 months — highest Bad Risk concentration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Risk Count by Duration Peak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Peak bad: 66 customers at ~15 months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Peak good: 128 customers at ~20 months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Tail risk extends to 72+ months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4.2  Age Group vs. Risk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Senior customers show the strongest good risk bias (150 Good vs. 53 Bad — a 2.83x ratio). Young Adults also lean good (264 Good vs. 91 Bad). Elders maintain a 52:19 good-to-bad ratio. Young customers show the weakest separation (234 Good vs. 137 Bad — only 1.71x ratio).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 Group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 Risk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 Risk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Good:Bad Ratio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Young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234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137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371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1.71x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Young Adults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91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2.90x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Senior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2.83x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Elder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2.74x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4.3  Job Category vs. Risk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Job Category 2 (skilled employees) dominates the dataset with 630 customers (444 Good, 186 Bad). Category 1 shows a concerning 144 Good vs. 56 Bad ratio. Category 0 (unskilled/non-residents) has the smallest pool (22 customers) but proportionally notable bad-risk presence.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2"/>
              <w:bottom w:val="single" w:color="1B2A4A" w:sz="1"/>
              <w:right w:val="single" w:color="1B2A4A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💼  Employment Insight</w:t>
            </w:r>
          </w:p>
          <w:p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Higher job categories consistently produce better risk outcomes. Job Category 3 (highly skilled) shows a 97:51 Good:Bad ratio (1.90x), while Category 2 achieves 2.38x. Income stability is a powerful predictor of repayment behaviour.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4.4  Gender vs. Risk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Both male and female customers exhibit similar good-to-bad risk proportions when viewed as a percentage split. The stacked bar chart (0%–100%) shows approximately 30% bad risk across both genders, confirming that gender alone is not a strong differentiator of risk, though intersectional factors (age + gender + job) may produce more meaningful segmentation.</w:t>
      </w:r>
    </w:p>
    <w:p>
      <w:pPr>
        <w:spacing w:after="0" w:before="200"/>
      </w:pPr>
      <w:r>
        <w:t xml:space="preserve"/>
      </w:r>
    </w:p>
    <w:p>
      <w:pPr>
        <w:pBdr>
          <w:bottom w:val="single" w:color="C9A84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Dashboard Page 3 — Loan Intelligence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2"/>
              <w:bottom w:val="single" w:color="C9A84C" w:sz="1"/>
              <w:right w:val="single" w:color="C9A84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🚨  Page Headline Insight</w:t>
            </w:r>
          </w:p>
          <w:p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Big loans combined with long durations represent the highest danger zone. This page identifies the specific customer segments, purposes, and financial profiles that generate the most concentrated credit risk.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5.1  Credit Amount vs. Duration (Scatter Analysis)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scatter plot reveals a clear positive correlation between credit amount and duration for both risk classes. However, bad risk customers (shown in grey) cluster more densely in the high-credit, long-duration quadrant, confirming that compound exposure (large loan + long repayment) is the primary risk amplifier.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Danger Zone Characteristics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Credit Amount &gt; ₹5,000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Duration &gt; 36 months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Bad risk customers cluster here densely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Sum of credit approaches ₹0.1M range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Safe Zone Characteristics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Credit Amount &lt; ₹2,500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Duration &lt; 18 months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Good risk customers dominate 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Lower exposure concentration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5.2  Loan Purpose vs. Risk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Car loans generate the highest absolute count of both good and bad risk customers (approximately 400 total), making them the most populous and most risky category by volume. Radio/TV and furniture/equipment loans follow as the next-highest risk pools. Education loans show a proportionally lower bad-risk share.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Loan Purpose</w:t>
            </w:r>
          </w:p>
        </w:tc>
        <w:tc>
          <w:tcPr>
            <w:tcW w:type="dxa" w:w="22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2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Relative Exposure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Highest volume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Enhanced scrutiny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Radio / TV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Medium-High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Large bad-risk pool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Standard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Furniture / Equipment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Medium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Moderate exposure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Standard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Business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Medium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Mixed outcomes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Business viability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Education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Low-Medium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Below-avg bad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Favourable terms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Repairs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Low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Small, mostly good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Fast-track eligible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Domestic Appliances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Low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Very small pool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Fast-track eligible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5.3  Top Risk Segments (Risk_Segment Analysis)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horizontal bar chart of Risk_Segment breakdowns (Age Group | Job | Purpose) reveals concentrated pockets of bad risk. The top segments by Total Risk count are: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500"/>
        <w:gridCol w:w="1400"/>
        <w:gridCol w:w="1660"/>
        <w:gridCol w:w="2100"/>
      </w:tblGrid>
      <w:tr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Segment</w:t>
            </w:r>
          </w:p>
        </w:tc>
        <w:tc>
          <w:tcPr>
            <w:tcW w:type="dxa" w:w="1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 Group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Level</w:t>
            </w:r>
          </w:p>
        </w:tc>
        <w:tc>
          <w:tcPr>
            <w:tcW w:type="dxa" w:w="16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Risk Count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Young | 2 | Car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Young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Skilled (2)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Young | 2 | Radio/TV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Young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Skilled (2)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Radio/TV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Young | 2 | Furniture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Young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Skilled (2)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Furniture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Young Adults | 2 | 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Young Adults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Skilled (2)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Mixed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Senior | 2 | Car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Senior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Skilled (2)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Young Adults | 2 | 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Young Adults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Skilled (2)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Other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Young | 1 | Car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Young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Semi-skilled (1)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Young | 2 | Business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Young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Skilled (2)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Business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9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9A84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Key Strategic Insights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2"/>
              <w:bottom w:val="single" w:color="C9A84C" w:sz="1"/>
              <w:right w:val="single" w:color="C9A84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💡  Insight 1 — Disproportionate Exposure</w:t>
            </w:r>
          </w:p>
          <w:p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30% of customers (Bad Risk) account for 43.12% of total credit value. The bank's financial exposure is not proportional to customer count — Bad Risk customers hold an average 44% more credit than Good Risk customers.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📅  Insight 2 — Duration is the Strongest Default Predictor</w:t>
            </w:r>
          </w:p>
          <w:p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Loan duration above 36 months is the single most consistent predictor of default risk across all customer segments. Every additional 12 months of duration correlates with measurable increases in bad-risk probability.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2"/>
              <w:bottom w:val="single" w:color="1B2A4A" w:sz="1"/>
              <w:right w:val="single" w:color="1B2A4A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👤  Insight 3 — Young Customers Need Closer Monitoring</w:t>
            </w:r>
          </w:p>
          <w:p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Young borrowers (under 30) show the lowest Good:Bad ratio at 1.71x, compared to 2.83x for Seniors. Their higher propensity for longer-duration, car-related loans amplifies their risk profile significantly.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"/>
              <w:left w:val="single" w:color="1A7A4A" w:sz="12"/>
              <w:bottom w:val="single" w:color="1A7A4A" w:sz="1"/>
              <w:right w:val="single" w:color="1A7A4A" w:sz="1"/>
            </w:tcBorders>
            <w:shd w:fill="E8F8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💼  Insight 4 — Job Stability Drives Repayment</w:t>
            </w:r>
          </w:p>
          <w:p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Higher job categories consistently produce better repayment outcomes. Customers in unskilled/non-resident categories (Job 0) show disproportionate bad risk relative to their small pool size. Employment verification should be a standard checkpoint.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2"/>
              <w:bottom w:val="single" w:color="C9A84C" w:sz="1"/>
              <w:right w:val="single" w:color="C9A84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🚗  Insight 5 — Car Loans Are the Highest-Volume Risk Category</w:t>
            </w:r>
          </w:p>
          <w:p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Car loans generate the highest combined volume of bad-risk customers across all age groups and job levels. The Young | Job 2 | Car segment alone contributes 28 bad-risk cases — the single largest risk_segment in the dataset.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9A84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Strategic Recommendations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7.1  Loan Approval Policy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Cap loan durations above 48 months for customers in Young age group with Job Category 0 or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Introduce a credit-amount ceiling of ₹5,000 for first-time borrowers without employment verification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Apply enhanced due diligence for car loans exceeding ₹3,000 in the Young segment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Offer preferential rates for education and repair loans (low-risk, pro-social purposes)</w:t>
      </w:r>
    </w:p>
    <w:p>
      <w:pPr>
        <w:spacing w:after="0" w:before="1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7.2  Risk Monitoring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Build a real-time Power BI alert for customers entering the danger zone (high credit + long duration)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Segment the portfolio quarterly by Risk_Segment to track migration from Good to Bad Risk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Flag accounts where duration &gt; 36 months AND credit amount &gt; ₹4,500 for proactive outreach</w:t>
      </w:r>
    </w:p>
    <w:p>
      <w:pPr>
        <w:spacing w:after="0" w:before="1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7.3  Customer Engagement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Design targeted financial literacy programs for Young borrowers to improve repayment behaviour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Introduce early repayment incentives for long-duration loans to reduce default probability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Consider co-applicant requirements for Job Category 0 customers seeking loans above ₹2,000</w:t>
      </w:r>
    </w:p>
    <w:p>
      <w:pPr>
        <w:spacing w:after="0" w:before="200"/>
      </w:pPr>
      <w:r>
        <w:t xml:space="preserve"/>
      </w:r>
    </w:p>
    <w:p>
      <w:pPr>
        <w:pBdr>
          <w:bottom w:val="single" w:color="C9A84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Tools &amp; Methodology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Library</w:t>
            </w:r>
          </w:p>
        </w:tc>
        <w:tc>
          <w:tcPr>
            <w:tcW w:type="dxa" w:w="3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Microsoft Power BI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Primary BI Platform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Dashboard design, DAX, slicers, KPIs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Calculated Measures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KPI formulas: Good%, Bad%, Avg Credit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Python (pandas)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Data Preparation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Cleaning, age grouping, segmentation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Python (matplotlib)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Exploratory Analysis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Preliminary visual exploration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Python (seaborn)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Statistical Visuals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Distribution and correlation plots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Python (plotly)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Interactive Charts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Risk segment exploration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Power Query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ETL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Data transformation inside Power BI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9A84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Conclusion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project demonstrates the power of data-driven analysis in transforming raw credit records into actionable financial intelligence. The three-page Power BI dashboard delivers a comprehensive view of customer risk from executive summary through granular segment-level intelligence.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German Credit Risk dataset, while historical, surfaces timeless patterns in borrower behaviour: younger customers with longer loan durations and high credit amounts consistently represent the highest default risk. The combination of demographic, financial, and behavioural dimensions enables a multi-factor risk model that goes beyond simple approval/rejection binary.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By implementing the recommendations in Section 7, a financial institution can expect measurable improvement in portfolio quality, reduced provisioning requirements, and more equitable loan decision-making grounded in evidence rather than assumption.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C9A84C" w:sz="12"/>
              <w:bottom w:val="single" w:color="C9A84C" w:sz="1"/>
              <w:right w:val="single" w:color="C9A84C" w:sz="1"/>
            </w:tcBorders>
            <w:shd w:fill="FD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🏆  Final Statement</w:t>
            </w:r>
          </w:p>
          <w:p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This dashboard project demonstrates the ability to analyze real-world financial data at scale, extract strategic insights across multiple analytical dimensions, and communicate findings through a polished, interactive Power BI interface — from raw data ingestion to board-ready visual storytelling.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B2A4A" w:sz="4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END OF REPORT</w:t>
      </w: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Bank Risk &amp; Loan Intelligence Dashboard  |  March 2026  |  Confidential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2A4A" w:sz="2"/>
      </w:pBdr>
    </w:pPr>
    <w:r>
      <w:t xml:space="preserve"/>
    </w:r>
  </w:p>
  <w:p>
    <w:pP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6"/>
        <w:szCs w:val="16"/>
      </w:rPr>
      <w:t xml:space="preserve">  |  German Credit Risk Analysis  |  Power BI Dashboard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Bank Risk &amp; Loan Intelligence Report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5D6D7E"/>
              <w:sz w:val="16"/>
              <w:szCs w:val="16"/>
            </w:rPr>
            <w:t xml:space="preserve">March 2026  |  Confidential</w:t>
          </w:r>
        </w:p>
      </w:tc>
    </w:tr>
  </w:tbl>
  <w:p>
    <w:pPr>
      <w:pBdr>
        <w:bottom w:val="single" w:color="C9A84C" w:sz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c6804d95f15d31d6a8ed8d98978f1857a084d56.png"/><Relationship Id="rId10" Type="http://schemas.openxmlformats.org/officeDocument/2006/relationships/image" Target="media/57a58279e378a81dde21c353af76ad97de34f1fb.png"/><Relationship Id="rId11" Type="http://schemas.openxmlformats.org/officeDocument/2006/relationships/image" Target="media/05e38c4aa90e0d5ae4390251182766bfac009f7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2026-03-26T14:30:42.747Z</dcterms:created>
  <dcterms:modified xsi:type="dcterms:W3CDTF">2026-03-26T14:30:42.748Z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