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THE NOTPETYA CYBER WAR:</w:t>
        <w:br/>
        <w:t>RELATIONAL DATABASE-DRIVEN INCIDENT INVESTIGATION PLATFORM</w:t>
      </w:r>
    </w:p>
    <w:p>
      <w:pPr>
        <w:jc w:val="center"/>
      </w:pPr>
      <w:r>
        <w:rPr>
          <w:i/>
          <w:color w:val="64748B"/>
          <w:sz w:val="26"/>
        </w:rPr>
        <w:t>Database Management Systems (DBMS) Academic Case Study &amp; Implementation Report</w:t>
      </w:r>
    </w:p>
    <w:p/>
    <w:tbl>
      <w:tblPr>
        <w:tblW w:type="auto" w:w="0"/>
        <w:jc w:val="center"/>
        <w:tblLook w:firstColumn="1" w:firstRow="1" w:lastColumn="0" w:lastRow="0" w:noHBand="0" w:noVBand="1" w:val="04A0"/>
      </w:tblPr>
      <w:tblGrid>
        <w:gridCol w:w="4680"/>
        <w:gridCol w:w="4680"/>
      </w:tblGrid>
      <w:tr>
        <w:trPr>
          <w:cantSplit/>
          <w:tblHeader/>
        </w:trPr>
        <w:tc>
          <w:tcPr>
            <w:tcW w:type="dxa" w:w="3168"/>
            <w:vAlign w:val="center"/>
            <w:tcMar>
              <w:top w:w="120" w:type="dxa"/>
              <w:bottom w:w="120" w:type="dxa"/>
              <w:left w:w="150" w:type="dxa"/>
              <w:right w:w="150" w:type="dxa"/>
            </w:tcMar>
            <w:shd w:fill="334155"/>
          </w:tcPr>
          <w:p>
            <w:pPr>
              <w:jc w:val="left"/>
            </w:pPr>
            <w:r>
              <w:rPr>
                <w:rFonts w:ascii="Calibri" w:hAnsi="Calibri"/>
                <w:b/>
                <w:color w:val="FFFFFF"/>
                <w:sz w:val="19"/>
              </w:rPr>
              <w:t>Course / Subject:</w:t>
            </w:r>
          </w:p>
        </w:tc>
        <w:tc>
          <w:tcPr>
            <w:tcW w:type="dxa" w:w="6192"/>
            <w:vAlign w:val="center"/>
            <w:tcMar>
              <w:top w:w="120" w:type="dxa"/>
              <w:bottom w:w="120" w:type="dxa"/>
              <w:left w:w="150" w:type="dxa"/>
              <w:right w:w="150" w:type="dxa"/>
            </w:tcMar>
            <w:shd w:fill="334155"/>
          </w:tcPr>
          <w:p>
            <w:pPr>
              <w:jc w:val="left"/>
            </w:pPr>
            <w:r>
              <w:rPr>
                <w:rFonts w:ascii="Calibri" w:hAnsi="Calibri"/>
                <w:b/>
                <w:color w:val="FFFFFF"/>
                <w:sz w:val="19"/>
              </w:rPr>
              <w:t>Database Management Systems (DBMS) Laboratory &amp; Project</w:t>
            </w:r>
          </w:p>
        </w:tc>
      </w:tr>
      <w:tr>
        <w:trPr>
          <w:cantSplit/>
        </w:trPr>
        <w:tc>
          <w:tcPr>
            <w:tcW w:type="dxa" w:w="3168"/>
            <w:vAlign w:val="center"/>
            <w:tcMar>
              <w:top w:w="120" w:type="dxa"/>
              <w:bottom w:w="120" w:type="dxa"/>
              <w:left w:w="150" w:type="dxa"/>
              <w:right w:w="150" w:type="dxa"/>
            </w:tcMar>
            <w:shd w:fill="F8FAFC"/>
          </w:tcPr>
          <w:p>
            <w:pPr>
              <w:jc w:val="left"/>
            </w:pPr>
            <w:r>
              <w:rPr>
                <w:rFonts w:ascii="Calibri" w:hAnsi="Calibri"/>
                <w:b/>
                <w:color w:val="1E293B"/>
                <w:sz w:val="18"/>
              </w:rPr>
              <w:t>Project Title:</w:t>
            </w:r>
          </w:p>
        </w:tc>
        <w:tc>
          <w:tcPr>
            <w:tcW w:type="dxa" w:w="6192"/>
            <w:vAlign w:val="center"/>
            <w:tcMar>
              <w:top w:w="120" w:type="dxa"/>
              <w:bottom w:w="120" w:type="dxa"/>
              <w:left w:w="150" w:type="dxa"/>
              <w:right w:w="150" w:type="dxa"/>
            </w:tcMar>
            <w:shd w:fill="F8FAFC"/>
          </w:tcPr>
          <w:p>
            <w:pPr>
              <w:jc w:val="left"/>
            </w:pPr>
            <w:r>
              <w:rPr>
                <w:rFonts w:ascii="Calibri" w:hAnsi="Calibri"/>
                <w:color w:val="1E293B"/>
                <w:sz w:val="18"/>
              </w:rPr>
              <w:t>NotPetya Cyber Incident: Relational 3NF Threat Intelligence &amp; Query Engine</w:t>
            </w:r>
          </w:p>
        </w:tc>
      </w:tr>
      <w:tr>
        <w:trPr>
          <w:cantSplit/>
        </w:trPr>
        <w:tc>
          <w:tcPr>
            <w:tcW w:type="dxa" w:w="3168"/>
            <w:vAlign w:val="center"/>
            <w:tcMar>
              <w:top w:w="120" w:type="dxa"/>
              <w:bottom w:w="120" w:type="dxa"/>
              <w:left w:w="150" w:type="dxa"/>
              <w:right w:w="150" w:type="dxa"/>
            </w:tcMar>
            <w:shd w:fill="FFFFFF"/>
          </w:tcPr>
          <w:p>
            <w:pPr>
              <w:jc w:val="left"/>
            </w:pPr>
            <w:r>
              <w:rPr>
                <w:rFonts w:ascii="Calibri" w:hAnsi="Calibri"/>
                <w:b/>
                <w:color w:val="1E293B"/>
                <w:sz w:val="18"/>
              </w:rPr>
              <w:t>Live Demonstration URL:</w:t>
            </w:r>
          </w:p>
        </w:tc>
        <w:tc>
          <w:tcPr>
            <w:tcW w:type="dxa" w:w="6192"/>
            <w:vAlign w:val="center"/>
            <w:tcMar>
              <w:top w:w="120" w:type="dxa"/>
              <w:bottom w:w="120" w:type="dxa"/>
              <w:left w:w="150" w:type="dxa"/>
              <w:right w:w="150" w:type="dxa"/>
            </w:tcMar>
            <w:shd w:fill="FFFFFF"/>
          </w:tcPr>
          <w:p>
            <w:pPr>
              <w:jc w:val="left"/>
            </w:pPr>
            <w:r>
              <w:rPr>
                <w:rFonts w:ascii="Calibri" w:hAnsi="Calibri"/>
                <w:color w:val="1E293B"/>
                <w:sz w:val="18"/>
              </w:rPr>
              <w:t>http://notpetya.vercel.app/</w:t>
            </w:r>
          </w:p>
        </w:tc>
      </w:tr>
      <w:tr>
        <w:trPr>
          <w:cantSplit/>
        </w:trPr>
        <w:tc>
          <w:tcPr>
            <w:tcW w:type="dxa" w:w="3168"/>
            <w:vAlign w:val="center"/>
            <w:tcMar>
              <w:top w:w="120" w:type="dxa"/>
              <w:bottom w:w="120" w:type="dxa"/>
              <w:left w:w="150" w:type="dxa"/>
              <w:right w:w="150" w:type="dxa"/>
            </w:tcMar>
            <w:shd w:fill="F8FAFC"/>
          </w:tcPr>
          <w:p>
            <w:pPr>
              <w:jc w:val="left"/>
            </w:pPr>
            <w:r>
              <w:rPr>
                <w:rFonts w:ascii="Calibri" w:hAnsi="Calibri"/>
                <w:b/>
                <w:color w:val="1E293B"/>
                <w:sz w:val="18"/>
              </w:rPr>
              <w:t>GitHub Repository:</w:t>
            </w:r>
          </w:p>
        </w:tc>
        <w:tc>
          <w:tcPr>
            <w:tcW w:type="dxa" w:w="6192"/>
            <w:vAlign w:val="center"/>
            <w:tcMar>
              <w:top w:w="120" w:type="dxa"/>
              <w:bottom w:w="120" w:type="dxa"/>
              <w:left w:w="150" w:type="dxa"/>
              <w:right w:w="150" w:type="dxa"/>
            </w:tcMar>
            <w:shd w:fill="F8FAFC"/>
          </w:tcPr>
          <w:p>
            <w:pPr>
              <w:jc w:val="left"/>
            </w:pPr>
            <w:r>
              <w:rPr>
                <w:rFonts w:ascii="Calibri" w:hAnsi="Calibri"/>
                <w:color w:val="1E293B"/>
                <w:sz w:val="18"/>
              </w:rPr>
              <w:t>https://github.com/gokulanandh-21/notpetya-case-study</w:t>
            </w:r>
          </w:p>
        </w:tc>
      </w:tr>
      <w:tr>
        <w:trPr>
          <w:cantSplit/>
        </w:trPr>
        <w:tc>
          <w:tcPr>
            <w:tcW w:type="dxa" w:w="3168"/>
            <w:vAlign w:val="center"/>
            <w:tcMar>
              <w:top w:w="120" w:type="dxa"/>
              <w:bottom w:w="120" w:type="dxa"/>
              <w:left w:w="150" w:type="dxa"/>
              <w:right w:w="150" w:type="dxa"/>
            </w:tcMar>
            <w:shd w:fill="FFFFFF"/>
          </w:tcPr>
          <w:p>
            <w:pPr>
              <w:jc w:val="left"/>
            </w:pPr>
            <w:r>
              <w:rPr>
                <w:rFonts w:ascii="Calibri" w:hAnsi="Calibri"/>
                <w:b/>
                <w:color w:val="1E293B"/>
                <w:sz w:val="18"/>
              </w:rPr>
              <w:t>Primary Database Engine:</w:t>
            </w:r>
          </w:p>
        </w:tc>
        <w:tc>
          <w:tcPr>
            <w:tcW w:type="dxa" w:w="6192"/>
            <w:vAlign w:val="center"/>
            <w:tcMar>
              <w:top w:w="120" w:type="dxa"/>
              <w:bottom w:w="120" w:type="dxa"/>
              <w:left w:w="150" w:type="dxa"/>
              <w:right w:w="150" w:type="dxa"/>
            </w:tcMar>
            <w:shd w:fill="FFFFFF"/>
          </w:tcPr>
          <w:p>
            <w:pPr>
              <w:jc w:val="left"/>
            </w:pPr>
            <w:r>
              <w:rPr>
                <w:rFonts w:ascii="Calibri" w:hAnsi="Calibri"/>
                <w:color w:val="1E293B"/>
                <w:sz w:val="18"/>
              </w:rPr>
              <w:t>PostgreSQL 14+ (Hosted on Neon / Prisma Cloud, Managed via node-postgres)</w:t>
            </w:r>
          </w:p>
        </w:tc>
      </w:tr>
    </w:tbl>
    <w:p>
      <w:r>
        <w:br w:type="page"/>
      </w:r>
    </w:p>
    <w:p>
      <w:pPr>
        <w:pStyle w:val="Heading1"/>
      </w:pPr>
      <w:r>
        <w:rPr>
          <w:color w:val="0F172A"/>
        </w:rPr>
        <w:t>1. Executive Summary &amp; Project Objectives</w:t>
      </w:r>
    </w:p>
    <w:p>
      <w:r>
        <w:t>On June 27, 2017, the NotPetya cyber incident emerged as one of the most economically devastating cyberattacks in recorded history. Originating from a compromised software update mechanism of Ukraine's ubiquitous tax software (M.E.Doc), the malware weaponized NSA-developed exploits (EternalBlue, EternalRomance) combined with memory credential scraping (Mimikatz) and administrative execution utilities (PsExec, WMIC). Despite presenting as ransomware demanding $300 in Bitcoin, the payload was a military-grade destructive wiper that irreversibly wiped the Master Boot Record (MBR) and encrypted the Master File Table (MFT) using non-recoverable keys, inflicting over $10 Billion USD in verified global damages across multinational enterprises such as A.P. Møller–Maersk, Merck &amp; Co., and FedEx TNT Express.</w:t>
      </w:r>
    </w:p>
    <w:p>
      <w:r>
        <w:t>The objective of this academic project is to bridge Database Management Systems (DBMS) theory with Cyber Threat Intelligence (CTI). Rather than presenting static text or simulated UI data, this system is backed by a fully normalized (Third Normal Form - 3NF) PostgreSQL relational database. The web platform enables students, faculty, and security analysts to interactively explore and query the NotPetya forensic corpus via two synchronized modalities: (1) a Natural Language Query Engine powered by automated SQL translation, and (2) a secure, interactive manual SQL Console enforcing strict read-only execution policies.</w:t>
      </w:r>
    </w:p>
    <w:p>
      <w:pPr>
        <w:pStyle w:val="Heading1"/>
      </w:pPr>
      <w:r>
        <w:rPr>
          <w:color w:val="0F172A"/>
        </w:rPr>
        <w:t>2. Relational Database Design &amp; Normalization (3NF)</w:t>
      </w:r>
    </w:p>
    <w:p>
      <w:r>
        <w:t>To ensure zero data redundancy, high transactional integrity, and prevent update/deletion anomalies, the schema is organized in strict Third Normal Form (3NF):</w:t>
        <w:br/>
        <w:t>• First Normal Form (1NF): All attributes contain strictly atomic values; multi-valued attributes (such as aliases) are decoupled or handled as typed relational arrays.</w:t>
        <w:br/>
        <w:t>• Second Normal Form (2NF): All relations possess explicit primary keys, and every non-key attribute is fully functionally dependent on the entire primary key.</w:t>
        <w:br/>
        <w:t>• Third Normal Form (3NF): Non-prime attributes depend solely on candidate keys with zero transitive dependencies. Junction tables resolve all Many-to-Many (M:N) cardinalities.</w:t>
      </w:r>
    </w:p>
    <w:p>
      <w:pPr>
        <w:pStyle w:val="Heading2"/>
      </w:pPr>
      <w:r>
        <w:t>2.1 Entity Relationship Table Directory</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160"/>
            <w:vAlign w:val="center"/>
            <w:tcMar>
              <w:top w:w="120" w:type="dxa"/>
              <w:bottom w:w="120" w:type="dxa"/>
              <w:left w:w="150" w:type="dxa"/>
              <w:right w:w="150" w:type="dxa"/>
            </w:tcMar>
            <w:shd w:fill="1A2536"/>
          </w:tcPr>
          <w:p>
            <w:pPr>
              <w:jc w:val="left"/>
            </w:pPr>
            <w:r>
              <w:rPr>
                <w:rFonts w:ascii="Calibri" w:hAnsi="Calibri"/>
                <w:b/>
                <w:color w:val="FFFFFF"/>
                <w:sz w:val="19"/>
              </w:rPr>
              <w:t>Table Name</w:t>
            </w:r>
          </w:p>
        </w:tc>
        <w:tc>
          <w:tcPr>
            <w:tcW w:type="dxa" w:w="2016"/>
            <w:vAlign w:val="center"/>
            <w:tcMar>
              <w:top w:w="120" w:type="dxa"/>
              <w:bottom w:w="120" w:type="dxa"/>
              <w:left w:w="150" w:type="dxa"/>
              <w:right w:w="150" w:type="dxa"/>
            </w:tcMar>
            <w:shd w:fill="1A2536"/>
          </w:tcPr>
          <w:p>
            <w:pPr>
              <w:jc w:val="left"/>
            </w:pPr>
            <w:r>
              <w:rPr>
                <w:rFonts w:ascii="Calibri" w:hAnsi="Calibri"/>
                <w:b/>
                <w:color w:val="FFFFFF"/>
                <w:sz w:val="19"/>
              </w:rPr>
              <w:t>Relation Role</w:t>
            </w:r>
          </w:p>
        </w:tc>
        <w:tc>
          <w:tcPr>
            <w:tcW w:type="dxa" w:w="2304"/>
            <w:vAlign w:val="center"/>
            <w:tcMar>
              <w:top w:w="120" w:type="dxa"/>
              <w:bottom w:w="120" w:type="dxa"/>
              <w:left w:w="150" w:type="dxa"/>
              <w:right w:w="150" w:type="dxa"/>
            </w:tcMar>
            <w:shd w:fill="1A2536"/>
          </w:tcPr>
          <w:p>
            <w:pPr>
              <w:jc w:val="left"/>
            </w:pPr>
            <w:r>
              <w:rPr>
                <w:rFonts w:ascii="Calibri" w:hAnsi="Calibri"/>
                <w:b/>
                <w:color w:val="FFFFFF"/>
                <w:sz w:val="19"/>
              </w:rPr>
              <w:t>Primary Key (PK)</w:t>
            </w:r>
          </w:p>
        </w:tc>
        <w:tc>
          <w:tcPr>
            <w:tcW w:type="dxa" w:w="2880"/>
            <w:vAlign w:val="center"/>
            <w:tcMar>
              <w:top w:w="120" w:type="dxa"/>
              <w:bottom w:w="120" w:type="dxa"/>
              <w:left w:w="150" w:type="dxa"/>
              <w:right w:w="150" w:type="dxa"/>
            </w:tcMar>
            <w:shd w:fill="1A2536"/>
          </w:tcPr>
          <w:p>
            <w:pPr>
              <w:jc w:val="left"/>
            </w:pPr>
            <w:r>
              <w:rPr>
                <w:rFonts w:ascii="Calibri" w:hAnsi="Calibri"/>
                <w:b/>
                <w:color w:val="FFFFFF"/>
                <w:sz w:val="19"/>
              </w:rPr>
              <w:t>Foreign Key (FK) References</w:t>
            </w:r>
          </w:p>
        </w:tc>
      </w:tr>
      <w:tr>
        <w:trPr>
          <w:cantSplit/>
        </w:trPr>
        <w:tc>
          <w:tcPr>
            <w:tcW w:type="dxa" w:w="2160"/>
            <w:vAlign w:val="center"/>
            <w:tcMar>
              <w:top w:w="120" w:type="dxa"/>
              <w:bottom w:w="120" w:type="dxa"/>
              <w:left w:w="150" w:type="dxa"/>
              <w:right w:w="150" w:type="dxa"/>
            </w:tcMar>
            <w:shd w:fill="F8FAFC"/>
          </w:tcPr>
          <w:p>
            <w:pPr>
              <w:jc w:val="left"/>
            </w:pPr>
            <w:r>
              <w:rPr>
                <w:rFonts w:ascii="Calibri" w:hAnsi="Calibri"/>
                <w:color w:val="1E293B"/>
                <w:sz w:val="18"/>
              </w:rPr>
              <w:t>incidents</w:t>
            </w:r>
          </w:p>
        </w:tc>
        <w:tc>
          <w:tcPr>
            <w:tcW w:type="dxa" w:w="2016"/>
            <w:vAlign w:val="center"/>
            <w:tcMar>
              <w:top w:w="120" w:type="dxa"/>
              <w:bottom w:w="120" w:type="dxa"/>
              <w:left w:w="150" w:type="dxa"/>
              <w:right w:w="150" w:type="dxa"/>
            </w:tcMar>
            <w:shd w:fill="F8FAFC"/>
          </w:tcPr>
          <w:p>
            <w:pPr>
              <w:jc w:val="left"/>
            </w:pPr>
            <w:r>
              <w:rPr>
                <w:rFonts w:ascii="Calibri" w:hAnsi="Calibri"/>
                <w:color w:val="1E293B"/>
                <w:sz w:val="18"/>
              </w:rPr>
              <w:t>Master Root Entity</w:t>
            </w:r>
          </w:p>
        </w:tc>
        <w:tc>
          <w:tcPr>
            <w:tcW w:type="dxa" w:w="2304"/>
            <w:vAlign w:val="center"/>
            <w:tcMar>
              <w:top w:w="120" w:type="dxa"/>
              <w:bottom w:w="120" w:type="dxa"/>
              <w:left w:w="150" w:type="dxa"/>
              <w:right w:w="150" w:type="dxa"/>
            </w:tcMar>
            <w:shd w:fill="F8FAFC"/>
          </w:tcPr>
          <w:p>
            <w:pPr>
              <w:jc w:val="left"/>
            </w:pPr>
            <w:r>
              <w:rPr>
                <w:rFonts w:ascii="Calibri" w:hAnsi="Calibri"/>
                <w:color w:val="1E293B"/>
                <w:sz w:val="18"/>
              </w:rPr>
              <w:t>incident_id</w:t>
            </w:r>
          </w:p>
        </w:tc>
        <w:tc>
          <w:tcPr>
            <w:tcW w:type="dxa" w:w="2880"/>
            <w:vAlign w:val="center"/>
            <w:tcMar>
              <w:top w:w="120" w:type="dxa"/>
              <w:bottom w:w="120" w:type="dxa"/>
              <w:left w:w="150" w:type="dxa"/>
              <w:right w:w="150" w:type="dxa"/>
            </w:tcMar>
            <w:shd w:fill="F8FAFC"/>
          </w:tcPr>
          <w:p>
            <w:pPr>
              <w:jc w:val="left"/>
            </w:pPr>
            <w:r>
              <w:rPr>
                <w:rFonts w:ascii="Calibri" w:hAnsi="Calibri"/>
                <w:color w:val="1E293B"/>
                <w:sz w:val="18"/>
              </w:rPr>
              <w:t>None (Top-level parent)</w:t>
            </w:r>
          </w:p>
        </w:tc>
      </w:tr>
      <w:tr>
        <w:trPr>
          <w:cantSplit/>
        </w:trPr>
        <w:tc>
          <w:tcPr>
            <w:tcW w:type="dxa" w:w="2160"/>
            <w:vAlign w:val="center"/>
            <w:tcMar>
              <w:top w:w="120" w:type="dxa"/>
              <w:bottom w:w="120" w:type="dxa"/>
              <w:left w:w="150" w:type="dxa"/>
              <w:right w:w="150" w:type="dxa"/>
            </w:tcMar>
            <w:shd w:fill="FFFFFF"/>
          </w:tcPr>
          <w:p>
            <w:pPr>
              <w:jc w:val="left"/>
            </w:pPr>
            <w:r>
              <w:rPr>
                <w:rFonts w:ascii="Calibri" w:hAnsi="Calibri"/>
                <w:color w:val="1E293B"/>
                <w:sz w:val="18"/>
              </w:rPr>
              <w:t>sources</w:t>
            </w:r>
          </w:p>
        </w:tc>
        <w:tc>
          <w:tcPr>
            <w:tcW w:type="dxa" w:w="2016"/>
            <w:vAlign w:val="center"/>
            <w:tcMar>
              <w:top w:w="120" w:type="dxa"/>
              <w:bottom w:w="120" w:type="dxa"/>
              <w:left w:w="150" w:type="dxa"/>
              <w:right w:w="150" w:type="dxa"/>
            </w:tcMar>
            <w:shd w:fill="FFFFFF"/>
          </w:tcPr>
          <w:p>
            <w:pPr>
              <w:jc w:val="left"/>
            </w:pPr>
            <w:r>
              <w:rPr>
                <w:rFonts w:ascii="Calibri" w:hAnsi="Calibri"/>
                <w:color w:val="1E293B"/>
                <w:sz w:val="18"/>
              </w:rPr>
              <w:t>Evidence / Citations</w:t>
            </w:r>
          </w:p>
        </w:tc>
        <w:tc>
          <w:tcPr>
            <w:tcW w:type="dxa" w:w="2304"/>
            <w:vAlign w:val="center"/>
            <w:tcMar>
              <w:top w:w="120" w:type="dxa"/>
              <w:bottom w:w="120" w:type="dxa"/>
              <w:left w:w="150" w:type="dxa"/>
              <w:right w:w="150" w:type="dxa"/>
            </w:tcMar>
            <w:shd w:fill="FFFFFF"/>
          </w:tcPr>
          <w:p>
            <w:pPr>
              <w:jc w:val="left"/>
            </w:pPr>
            <w:r>
              <w:rPr>
                <w:rFonts w:ascii="Calibri" w:hAnsi="Calibri"/>
                <w:color w:val="1E293B"/>
                <w:sz w:val="18"/>
              </w:rPr>
              <w:t>source_id</w:t>
            </w:r>
          </w:p>
        </w:tc>
        <w:tc>
          <w:tcPr>
            <w:tcW w:type="dxa" w:w="2880"/>
            <w:vAlign w:val="center"/>
            <w:tcMar>
              <w:top w:w="120" w:type="dxa"/>
              <w:bottom w:w="120" w:type="dxa"/>
              <w:left w:w="150" w:type="dxa"/>
              <w:right w:w="150" w:type="dxa"/>
            </w:tcMar>
            <w:shd w:fill="FFFFFF"/>
          </w:tcPr>
          <w:p>
            <w:pPr>
              <w:jc w:val="left"/>
            </w:pPr>
            <w:r>
              <w:rPr>
                <w:rFonts w:ascii="Calibri" w:hAnsi="Calibri"/>
                <w:color w:val="1E293B"/>
                <w:sz w:val="18"/>
              </w:rPr>
              <w:t>None (Independent registry)</w:t>
            </w:r>
          </w:p>
        </w:tc>
      </w:tr>
      <w:tr>
        <w:trPr>
          <w:cantSplit/>
        </w:trPr>
        <w:tc>
          <w:tcPr>
            <w:tcW w:type="dxa" w:w="2160"/>
            <w:vAlign w:val="center"/>
            <w:tcMar>
              <w:top w:w="120" w:type="dxa"/>
              <w:bottom w:w="120" w:type="dxa"/>
              <w:left w:w="150" w:type="dxa"/>
              <w:right w:w="150" w:type="dxa"/>
            </w:tcMar>
            <w:shd w:fill="F8FAFC"/>
          </w:tcPr>
          <w:p>
            <w:pPr>
              <w:jc w:val="left"/>
            </w:pPr>
            <w:r>
              <w:rPr>
                <w:rFonts w:ascii="Calibri" w:hAnsi="Calibri"/>
                <w:color w:val="1E293B"/>
                <w:sz w:val="18"/>
              </w:rPr>
              <w:t>attack_stages</w:t>
            </w:r>
          </w:p>
        </w:tc>
        <w:tc>
          <w:tcPr>
            <w:tcW w:type="dxa" w:w="2016"/>
            <w:vAlign w:val="center"/>
            <w:tcMar>
              <w:top w:w="120" w:type="dxa"/>
              <w:bottom w:w="120" w:type="dxa"/>
              <w:left w:w="150" w:type="dxa"/>
              <w:right w:w="150" w:type="dxa"/>
            </w:tcMar>
            <w:shd w:fill="F8FAFC"/>
          </w:tcPr>
          <w:p>
            <w:pPr>
              <w:jc w:val="left"/>
            </w:pPr>
            <w:r>
              <w:rPr>
                <w:rFonts w:ascii="Calibri" w:hAnsi="Calibri"/>
                <w:color w:val="1E293B"/>
                <w:sz w:val="18"/>
              </w:rPr>
              <w:t>Kill Chain Phases</w:t>
            </w:r>
          </w:p>
        </w:tc>
        <w:tc>
          <w:tcPr>
            <w:tcW w:type="dxa" w:w="2304"/>
            <w:vAlign w:val="center"/>
            <w:tcMar>
              <w:top w:w="120" w:type="dxa"/>
              <w:bottom w:w="120" w:type="dxa"/>
              <w:left w:w="150" w:type="dxa"/>
              <w:right w:w="150" w:type="dxa"/>
            </w:tcMar>
            <w:shd w:fill="F8FAFC"/>
          </w:tcPr>
          <w:p>
            <w:pPr>
              <w:jc w:val="left"/>
            </w:pPr>
            <w:r>
              <w:rPr>
                <w:rFonts w:ascii="Calibri" w:hAnsi="Calibri"/>
                <w:color w:val="1E293B"/>
                <w:sz w:val="18"/>
              </w:rPr>
              <w:t>stage_id</w:t>
            </w:r>
          </w:p>
        </w:tc>
        <w:tc>
          <w:tcPr>
            <w:tcW w:type="dxa" w:w="2880"/>
            <w:vAlign w:val="center"/>
            <w:tcMar>
              <w:top w:w="120" w:type="dxa"/>
              <w:bottom w:w="120" w:type="dxa"/>
              <w:left w:w="150" w:type="dxa"/>
              <w:right w:w="150" w:type="dxa"/>
            </w:tcMar>
            <w:shd w:fill="F8FAFC"/>
          </w:tcPr>
          <w:p>
            <w:pPr>
              <w:jc w:val="left"/>
            </w:pPr>
            <w:r>
              <w:rPr>
                <w:rFonts w:ascii="Calibri" w:hAnsi="Calibri"/>
                <w:color w:val="1E293B"/>
                <w:sz w:val="18"/>
              </w:rPr>
              <w:t>None (Ordered sequentially)</w:t>
            </w:r>
          </w:p>
        </w:tc>
      </w:tr>
      <w:tr>
        <w:trPr>
          <w:cantSplit/>
        </w:trPr>
        <w:tc>
          <w:tcPr>
            <w:tcW w:type="dxa" w:w="2160"/>
            <w:vAlign w:val="center"/>
            <w:tcMar>
              <w:top w:w="120" w:type="dxa"/>
              <w:bottom w:w="120" w:type="dxa"/>
              <w:left w:w="150" w:type="dxa"/>
              <w:right w:w="150" w:type="dxa"/>
            </w:tcMar>
            <w:shd w:fill="FFFFFF"/>
          </w:tcPr>
          <w:p>
            <w:pPr>
              <w:jc w:val="left"/>
            </w:pPr>
            <w:r>
              <w:rPr>
                <w:rFonts w:ascii="Calibri" w:hAnsi="Calibri"/>
                <w:color w:val="1E293B"/>
                <w:sz w:val="18"/>
              </w:rPr>
              <w:t>attack_techniques</w:t>
            </w:r>
          </w:p>
        </w:tc>
        <w:tc>
          <w:tcPr>
            <w:tcW w:type="dxa" w:w="2016"/>
            <w:vAlign w:val="center"/>
            <w:tcMar>
              <w:top w:w="120" w:type="dxa"/>
              <w:bottom w:w="120" w:type="dxa"/>
              <w:left w:w="150" w:type="dxa"/>
              <w:right w:w="150" w:type="dxa"/>
            </w:tcMar>
            <w:shd w:fill="FFFFFF"/>
          </w:tcPr>
          <w:p>
            <w:pPr>
              <w:jc w:val="left"/>
            </w:pPr>
            <w:r>
              <w:rPr>
                <w:rFonts w:ascii="Calibri" w:hAnsi="Calibri"/>
                <w:color w:val="1E293B"/>
                <w:sz w:val="18"/>
              </w:rPr>
              <w:t>MITRE ATT&amp;CK Matrix</w:t>
            </w:r>
          </w:p>
        </w:tc>
        <w:tc>
          <w:tcPr>
            <w:tcW w:type="dxa" w:w="2304"/>
            <w:vAlign w:val="center"/>
            <w:tcMar>
              <w:top w:w="120" w:type="dxa"/>
              <w:bottom w:w="120" w:type="dxa"/>
              <w:left w:w="150" w:type="dxa"/>
              <w:right w:w="150" w:type="dxa"/>
            </w:tcMar>
            <w:shd w:fill="FFFFFF"/>
          </w:tcPr>
          <w:p>
            <w:pPr>
              <w:jc w:val="left"/>
            </w:pPr>
            <w:r>
              <w:rPr>
                <w:rFonts w:ascii="Calibri" w:hAnsi="Calibri"/>
                <w:color w:val="1E293B"/>
                <w:sz w:val="18"/>
              </w:rPr>
              <w:t>technique_id</w:t>
            </w:r>
          </w:p>
        </w:tc>
        <w:tc>
          <w:tcPr>
            <w:tcW w:type="dxa" w:w="2880"/>
            <w:vAlign w:val="center"/>
            <w:tcMar>
              <w:top w:w="120" w:type="dxa"/>
              <w:bottom w:w="120" w:type="dxa"/>
              <w:left w:w="150" w:type="dxa"/>
              <w:right w:w="150" w:type="dxa"/>
            </w:tcMar>
            <w:shd w:fill="FFFFFF"/>
          </w:tcPr>
          <w:p>
            <w:pPr>
              <w:jc w:val="left"/>
            </w:pPr>
            <w:r>
              <w:rPr>
                <w:rFonts w:ascii="Calibri" w:hAnsi="Calibri"/>
                <w:color w:val="1E293B"/>
                <w:sz w:val="18"/>
              </w:rPr>
              <w:t>source_id → sources</w:t>
            </w:r>
          </w:p>
        </w:tc>
      </w:tr>
      <w:tr>
        <w:trPr>
          <w:cantSplit/>
        </w:trPr>
        <w:tc>
          <w:tcPr>
            <w:tcW w:type="dxa" w:w="2160"/>
            <w:vAlign w:val="center"/>
            <w:tcMar>
              <w:top w:w="120" w:type="dxa"/>
              <w:bottom w:w="120" w:type="dxa"/>
              <w:left w:w="150" w:type="dxa"/>
              <w:right w:w="150" w:type="dxa"/>
            </w:tcMar>
            <w:shd w:fill="F8FAFC"/>
          </w:tcPr>
          <w:p>
            <w:pPr>
              <w:jc w:val="left"/>
            </w:pPr>
            <w:r>
              <w:rPr>
                <w:rFonts w:ascii="Calibri" w:hAnsi="Calibri"/>
                <w:color w:val="1E293B"/>
                <w:sz w:val="18"/>
              </w:rPr>
              <w:t>timeline_events</w:t>
            </w:r>
          </w:p>
        </w:tc>
        <w:tc>
          <w:tcPr>
            <w:tcW w:type="dxa" w:w="2016"/>
            <w:vAlign w:val="center"/>
            <w:tcMar>
              <w:top w:w="120" w:type="dxa"/>
              <w:bottom w:w="120" w:type="dxa"/>
              <w:left w:w="150" w:type="dxa"/>
              <w:right w:w="150" w:type="dxa"/>
            </w:tcMar>
            <w:shd w:fill="F8FAFC"/>
          </w:tcPr>
          <w:p>
            <w:pPr>
              <w:jc w:val="left"/>
            </w:pPr>
            <w:r>
              <w:rPr>
                <w:rFonts w:ascii="Calibri" w:hAnsi="Calibri"/>
                <w:color w:val="1E293B"/>
                <w:sz w:val="18"/>
              </w:rPr>
              <w:t>Chronological Log</w:t>
            </w:r>
          </w:p>
        </w:tc>
        <w:tc>
          <w:tcPr>
            <w:tcW w:type="dxa" w:w="2304"/>
            <w:vAlign w:val="center"/>
            <w:tcMar>
              <w:top w:w="120" w:type="dxa"/>
              <w:bottom w:w="120" w:type="dxa"/>
              <w:left w:w="150" w:type="dxa"/>
              <w:right w:w="150" w:type="dxa"/>
            </w:tcMar>
            <w:shd w:fill="F8FAFC"/>
          </w:tcPr>
          <w:p>
            <w:pPr>
              <w:jc w:val="left"/>
            </w:pPr>
            <w:r>
              <w:rPr>
                <w:rFonts w:ascii="Calibri" w:hAnsi="Calibri"/>
                <w:color w:val="1E293B"/>
                <w:sz w:val="18"/>
              </w:rPr>
              <w:t>event_id</w:t>
            </w:r>
          </w:p>
        </w:tc>
        <w:tc>
          <w:tcPr>
            <w:tcW w:type="dxa" w:w="2880"/>
            <w:vAlign w:val="center"/>
            <w:tcMar>
              <w:top w:w="120" w:type="dxa"/>
              <w:bottom w:w="120" w:type="dxa"/>
              <w:left w:w="150" w:type="dxa"/>
              <w:right w:w="150" w:type="dxa"/>
            </w:tcMar>
            <w:shd w:fill="F8FAFC"/>
          </w:tcPr>
          <w:p>
            <w:pPr>
              <w:jc w:val="left"/>
            </w:pPr>
            <w:r>
              <w:rPr>
                <w:rFonts w:ascii="Calibri" w:hAnsi="Calibri"/>
                <w:color w:val="1E293B"/>
                <w:sz w:val="18"/>
              </w:rPr>
              <w:t>incident_id, source_id</w:t>
            </w:r>
          </w:p>
        </w:tc>
      </w:tr>
      <w:tr>
        <w:trPr>
          <w:cantSplit/>
        </w:trPr>
        <w:tc>
          <w:tcPr>
            <w:tcW w:type="dxa" w:w="2160"/>
            <w:vAlign w:val="center"/>
            <w:tcMar>
              <w:top w:w="120" w:type="dxa"/>
              <w:bottom w:w="120" w:type="dxa"/>
              <w:left w:w="150" w:type="dxa"/>
              <w:right w:w="150" w:type="dxa"/>
            </w:tcMar>
            <w:shd w:fill="FFFFFF"/>
          </w:tcPr>
          <w:p>
            <w:pPr>
              <w:jc w:val="left"/>
            </w:pPr>
            <w:r>
              <w:rPr>
                <w:rFonts w:ascii="Calibri" w:hAnsi="Calibri"/>
                <w:color w:val="1E293B"/>
                <w:sz w:val="18"/>
              </w:rPr>
              <w:t>malware_components</w:t>
            </w:r>
          </w:p>
        </w:tc>
        <w:tc>
          <w:tcPr>
            <w:tcW w:type="dxa" w:w="2016"/>
            <w:vAlign w:val="center"/>
            <w:tcMar>
              <w:top w:w="120" w:type="dxa"/>
              <w:bottom w:w="120" w:type="dxa"/>
              <w:left w:w="150" w:type="dxa"/>
              <w:right w:w="150" w:type="dxa"/>
            </w:tcMar>
            <w:shd w:fill="FFFFFF"/>
          </w:tcPr>
          <w:p>
            <w:pPr>
              <w:jc w:val="left"/>
            </w:pPr>
            <w:r>
              <w:rPr>
                <w:rFonts w:ascii="Calibri" w:hAnsi="Calibri"/>
                <w:color w:val="1E293B"/>
                <w:sz w:val="18"/>
              </w:rPr>
              <w:t>Modular Payloads</w:t>
            </w:r>
          </w:p>
        </w:tc>
        <w:tc>
          <w:tcPr>
            <w:tcW w:type="dxa" w:w="2304"/>
            <w:vAlign w:val="center"/>
            <w:tcMar>
              <w:top w:w="120" w:type="dxa"/>
              <w:bottom w:w="120" w:type="dxa"/>
              <w:left w:w="150" w:type="dxa"/>
              <w:right w:w="150" w:type="dxa"/>
            </w:tcMar>
            <w:shd w:fill="FFFFFF"/>
          </w:tcPr>
          <w:p>
            <w:pPr>
              <w:jc w:val="left"/>
            </w:pPr>
            <w:r>
              <w:rPr>
                <w:rFonts w:ascii="Calibri" w:hAnsi="Calibri"/>
                <w:color w:val="1E293B"/>
                <w:sz w:val="18"/>
              </w:rPr>
              <w:t>component_id</w:t>
            </w:r>
          </w:p>
        </w:tc>
        <w:tc>
          <w:tcPr>
            <w:tcW w:type="dxa" w:w="2880"/>
            <w:vAlign w:val="center"/>
            <w:tcMar>
              <w:top w:w="120" w:type="dxa"/>
              <w:bottom w:w="120" w:type="dxa"/>
              <w:left w:w="150" w:type="dxa"/>
              <w:right w:w="150" w:type="dxa"/>
            </w:tcMar>
            <w:shd w:fill="FFFFFF"/>
          </w:tcPr>
          <w:p>
            <w:pPr>
              <w:jc w:val="left"/>
            </w:pPr>
            <w:r>
              <w:rPr>
                <w:rFonts w:ascii="Calibri" w:hAnsi="Calibri"/>
                <w:color w:val="1E293B"/>
                <w:sz w:val="18"/>
              </w:rPr>
              <w:t>incident_id, source_id</w:t>
            </w:r>
          </w:p>
        </w:tc>
      </w:tr>
      <w:tr>
        <w:trPr>
          <w:cantSplit/>
        </w:trPr>
        <w:tc>
          <w:tcPr>
            <w:tcW w:type="dxa" w:w="2160"/>
            <w:vAlign w:val="center"/>
            <w:tcMar>
              <w:top w:w="120" w:type="dxa"/>
              <w:bottom w:w="120" w:type="dxa"/>
              <w:left w:w="150" w:type="dxa"/>
              <w:right w:w="150" w:type="dxa"/>
            </w:tcMar>
            <w:shd w:fill="F8FAFC"/>
          </w:tcPr>
          <w:p>
            <w:pPr>
              <w:jc w:val="left"/>
            </w:pPr>
            <w:r>
              <w:rPr>
                <w:rFonts w:ascii="Calibri" w:hAnsi="Calibri"/>
                <w:color w:val="1E293B"/>
                <w:sz w:val="18"/>
              </w:rPr>
              <w:t>vulnerabilities</w:t>
            </w:r>
          </w:p>
        </w:tc>
        <w:tc>
          <w:tcPr>
            <w:tcW w:type="dxa" w:w="2016"/>
            <w:vAlign w:val="center"/>
            <w:tcMar>
              <w:top w:w="120" w:type="dxa"/>
              <w:bottom w:w="120" w:type="dxa"/>
              <w:left w:w="150" w:type="dxa"/>
              <w:right w:w="150" w:type="dxa"/>
            </w:tcMar>
            <w:shd w:fill="F8FAFC"/>
          </w:tcPr>
          <w:p>
            <w:pPr>
              <w:jc w:val="left"/>
            </w:pPr>
            <w:r>
              <w:rPr>
                <w:rFonts w:ascii="Calibri" w:hAnsi="Calibri"/>
                <w:color w:val="1E293B"/>
                <w:sz w:val="18"/>
              </w:rPr>
              <w:t>CVE Vulnerabilities</w:t>
            </w:r>
          </w:p>
        </w:tc>
        <w:tc>
          <w:tcPr>
            <w:tcW w:type="dxa" w:w="2304"/>
            <w:vAlign w:val="center"/>
            <w:tcMar>
              <w:top w:w="120" w:type="dxa"/>
              <w:bottom w:w="120" w:type="dxa"/>
              <w:left w:w="150" w:type="dxa"/>
              <w:right w:w="150" w:type="dxa"/>
            </w:tcMar>
            <w:shd w:fill="F8FAFC"/>
          </w:tcPr>
          <w:p>
            <w:pPr>
              <w:jc w:val="left"/>
            </w:pPr>
            <w:r>
              <w:rPr>
                <w:rFonts w:ascii="Calibri" w:hAnsi="Calibri"/>
                <w:color w:val="1E293B"/>
                <w:sz w:val="18"/>
              </w:rPr>
              <w:t>vulnerability_id</w:t>
            </w:r>
          </w:p>
        </w:tc>
        <w:tc>
          <w:tcPr>
            <w:tcW w:type="dxa" w:w="2880"/>
            <w:vAlign w:val="center"/>
            <w:tcMar>
              <w:top w:w="120" w:type="dxa"/>
              <w:bottom w:w="120" w:type="dxa"/>
              <w:left w:w="150" w:type="dxa"/>
              <w:right w:w="150" w:type="dxa"/>
            </w:tcMar>
            <w:shd w:fill="F8FAFC"/>
          </w:tcPr>
          <w:p>
            <w:pPr>
              <w:jc w:val="left"/>
            </w:pPr>
            <w:r>
              <w:rPr>
                <w:rFonts w:ascii="Calibri" w:hAnsi="Calibri"/>
                <w:color w:val="1E293B"/>
                <w:sz w:val="18"/>
              </w:rPr>
              <w:t>source_id → sources</w:t>
            </w:r>
          </w:p>
        </w:tc>
      </w:tr>
      <w:tr>
        <w:trPr>
          <w:cantSplit/>
        </w:trPr>
        <w:tc>
          <w:tcPr>
            <w:tcW w:type="dxa" w:w="2160"/>
            <w:vAlign w:val="center"/>
            <w:tcMar>
              <w:top w:w="120" w:type="dxa"/>
              <w:bottom w:w="120" w:type="dxa"/>
              <w:left w:w="150" w:type="dxa"/>
              <w:right w:w="150" w:type="dxa"/>
            </w:tcMar>
            <w:shd w:fill="FFFFFF"/>
          </w:tcPr>
          <w:p>
            <w:pPr>
              <w:jc w:val="left"/>
            </w:pPr>
            <w:r>
              <w:rPr>
                <w:rFonts w:ascii="Calibri" w:hAnsi="Calibri"/>
                <w:color w:val="1E293B"/>
                <w:sz w:val="18"/>
              </w:rPr>
              <w:t>victims</w:t>
            </w:r>
          </w:p>
        </w:tc>
        <w:tc>
          <w:tcPr>
            <w:tcW w:type="dxa" w:w="2016"/>
            <w:vAlign w:val="center"/>
            <w:tcMar>
              <w:top w:w="120" w:type="dxa"/>
              <w:bottom w:w="120" w:type="dxa"/>
              <w:left w:w="150" w:type="dxa"/>
              <w:right w:w="150" w:type="dxa"/>
            </w:tcMar>
            <w:shd w:fill="FFFFFF"/>
          </w:tcPr>
          <w:p>
            <w:pPr>
              <w:jc w:val="left"/>
            </w:pPr>
            <w:r>
              <w:rPr>
                <w:rFonts w:ascii="Calibri" w:hAnsi="Calibri"/>
                <w:color w:val="1E293B"/>
                <w:sz w:val="18"/>
              </w:rPr>
              <w:t>Afflicted Entities</w:t>
            </w:r>
          </w:p>
        </w:tc>
        <w:tc>
          <w:tcPr>
            <w:tcW w:type="dxa" w:w="2304"/>
            <w:vAlign w:val="center"/>
            <w:tcMar>
              <w:top w:w="120" w:type="dxa"/>
              <w:bottom w:w="120" w:type="dxa"/>
              <w:left w:w="150" w:type="dxa"/>
              <w:right w:w="150" w:type="dxa"/>
            </w:tcMar>
            <w:shd w:fill="FFFFFF"/>
          </w:tcPr>
          <w:p>
            <w:pPr>
              <w:jc w:val="left"/>
            </w:pPr>
            <w:r>
              <w:rPr>
                <w:rFonts w:ascii="Calibri" w:hAnsi="Calibri"/>
                <w:color w:val="1E293B"/>
                <w:sz w:val="18"/>
              </w:rPr>
              <w:t>victim_id</w:t>
            </w:r>
          </w:p>
        </w:tc>
        <w:tc>
          <w:tcPr>
            <w:tcW w:type="dxa" w:w="2880"/>
            <w:vAlign w:val="center"/>
            <w:tcMar>
              <w:top w:w="120" w:type="dxa"/>
              <w:bottom w:w="120" w:type="dxa"/>
              <w:left w:w="150" w:type="dxa"/>
              <w:right w:w="150" w:type="dxa"/>
            </w:tcMar>
            <w:shd w:fill="FFFFFF"/>
          </w:tcPr>
          <w:p>
            <w:pPr>
              <w:jc w:val="left"/>
            </w:pPr>
            <w:r>
              <w:rPr>
                <w:rFonts w:ascii="Calibri" w:hAnsi="Calibri"/>
                <w:color w:val="1E293B"/>
                <w:sz w:val="18"/>
              </w:rPr>
              <w:t>source_id → sources</w:t>
            </w:r>
          </w:p>
        </w:tc>
      </w:tr>
      <w:tr>
        <w:trPr>
          <w:cantSplit/>
        </w:trPr>
        <w:tc>
          <w:tcPr>
            <w:tcW w:type="dxa" w:w="2160"/>
            <w:vAlign w:val="center"/>
            <w:tcMar>
              <w:top w:w="120" w:type="dxa"/>
              <w:bottom w:w="120" w:type="dxa"/>
              <w:left w:w="150" w:type="dxa"/>
              <w:right w:w="150" w:type="dxa"/>
            </w:tcMar>
            <w:shd w:fill="F8FAFC"/>
          </w:tcPr>
          <w:p>
            <w:pPr>
              <w:jc w:val="left"/>
            </w:pPr>
            <w:r>
              <w:rPr>
                <w:rFonts w:ascii="Calibri" w:hAnsi="Calibri"/>
                <w:color w:val="1E293B"/>
                <w:sz w:val="18"/>
              </w:rPr>
              <w:t>impact_events</w:t>
            </w:r>
          </w:p>
        </w:tc>
        <w:tc>
          <w:tcPr>
            <w:tcW w:type="dxa" w:w="2016"/>
            <w:vAlign w:val="center"/>
            <w:tcMar>
              <w:top w:w="120" w:type="dxa"/>
              <w:bottom w:w="120" w:type="dxa"/>
              <w:left w:w="150" w:type="dxa"/>
              <w:right w:w="150" w:type="dxa"/>
            </w:tcMar>
            <w:shd w:fill="F8FAFC"/>
          </w:tcPr>
          <w:p>
            <w:pPr>
              <w:jc w:val="left"/>
            </w:pPr>
            <w:r>
              <w:rPr>
                <w:rFonts w:ascii="Calibri" w:hAnsi="Calibri"/>
                <w:color w:val="1E293B"/>
                <w:sz w:val="18"/>
              </w:rPr>
              <w:t>Forensic Consequences</w:t>
            </w:r>
          </w:p>
        </w:tc>
        <w:tc>
          <w:tcPr>
            <w:tcW w:type="dxa" w:w="2304"/>
            <w:vAlign w:val="center"/>
            <w:tcMar>
              <w:top w:w="120" w:type="dxa"/>
              <w:bottom w:w="120" w:type="dxa"/>
              <w:left w:w="150" w:type="dxa"/>
              <w:right w:w="150" w:type="dxa"/>
            </w:tcMar>
            <w:shd w:fill="F8FAFC"/>
          </w:tcPr>
          <w:p>
            <w:pPr>
              <w:jc w:val="left"/>
            </w:pPr>
            <w:r>
              <w:rPr>
                <w:rFonts w:ascii="Calibri" w:hAnsi="Calibri"/>
                <w:color w:val="1E293B"/>
                <w:sz w:val="18"/>
              </w:rPr>
              <w:t>impact_id</w:t>
            </w:r>
          </w:p>
        </w:tc>
        <w:tc>
          <w:tcPr>
            <w:tcW w:type="dxa" w:w="2880"/>
            <w:vAlign w:val="center"/>
            <w:tcMar>
              <w:top w:w="120" w:type="dxa"/>
              <w:bottom w:w="120" w:type="dxa"/>
              <w:left w:w="150" w:type="dxa"/>
              <w:right w:w="150" w:type="dxa"/>
            </w:tcMar>
            <w:shd w:fill="F8FAFC"/>
          </w:tcPr>
          <w:p>
            <w:pPr>
              <w:jc w:val="left"/>
            </w:pPr>
            <w:r>
              <w:rPr>
                <w:rFonts w:ascii="Calibri" w:hAnsi="Calibri"/>
                <w:color w:val="1E293B"/>
                <w:sz w:val="18"/>
              </w:rPr>
              <w:t>victim_id, source_id</w:t>
            </w:r>
          </w:p>
        </w:tc>
      </w:tr>
      <w:tr>
        <w:trPr>
          <w:cantSplit/>
        </w:trPr>
        <w:tc>
          <w:tcPr>
            <w:tcW w:type="dxa" w:w="2160"/>
            <w:vAlign w:val="center"/>
            <w:tcMar>
              <w:top w:w="120" w:type="dxa"/>
              <w:bottom w:w="120" w:type="dxa"/>
              <w:left w:w="150" w:type="dxa"/>
              <w:right w:w="150" w:type="dxa"/>
            </w:tcMar>
            <w:shd w:fill="FFFFFF"/>
          </w:tcPr>
          <w:p>
            <w:pPr>
              <w:jc w:val="left"/>
            </w:pPr>
            <w:r>
              <w:rPr>
                <w:rFonts w:ascii="Calibri" w:hAnsi="Calibri"/>
                <w:color w:val="1E293B"/>
                <w:sz w:val="18"/>
              </w:rPr>
              <w:t>mitigations</w:t>
            </w:r>
          </w:p>
        </w:tc>
        <w:tc>
          <w:tcPr>
            <w:tcW w:type="dxa" w:w="2016"/>
            <w:vAlign w:val="center"/>
            <w:tcMar>
              <w:top w:w="120" w:type="dxa"/>
              <w:bottom w:w="120" w:type="dxa"/>
              <w:left w:w="150" w:type="dxa"/>
              <w:right w:w="150" w:type="dxa"/>
            </w:tcMar>
            <w:shd w:fill="FFFFFF"/>
          </w:tcPr>
          <w:p>
            <w:pPr>
              <w:jc w:val="left"/>
            </w:pPr>
            <w:r>
              <w:rPr>
                <w:rFonts w:ascii="Calibri" w:hAnsi="Calibri"/>
                <w:color w:val="1E293B"/>
                <w:sz w:val="18"/>
              </w:rPr>
              <w:t>Defensive Controls</w:t>
            </w:r>
          </w:p>
        </w:tc>
        <w:tc>
          <w:tcPr>
            <w:tcW w:type="dxa" w:w="2304"/>
            <w:vAlign w:val="center"/>
            <w:tcMar>
              <w:top w:w="120" w:type="dxa"/>
              <w:bottom w:w="120" w:type="dxa"/>
              <w:left w:w="150" w:type="dxa"/>
              <w:right w:w="150" w:type="dxa"/>
            </w:tcMar>
            <w:shd w:fill="FFFFFF"/>
          </w:tcPr>
          <w:p>
            <w:pPr>
              <w:jc w:val="left"/>
            </w:pPr>
            <w:r>
              <w:rPr>
                <w:rFonts w:ascii="Calibri" w:hAnsi="Calibri"/>
                <w:color w:val="1E293B"/>
                <w:sz w:val="18"/>
              </w:rPr>
              <w:t>mitigation_id</w:t>
            </w:r>
          </w:p>
        </w:tc>
        <w:tc>
          <w:tcPr>
            <w:tcW w:type="dxa" w:w="2880"/>
            <w:vAlign w:val="center"/>
            <w:tcMar>
              <w:top w:w="120" w:type="dxa"/>
              <w:bottom w:w="120" w:type="dxa"/>
              <w:left w:w="150" w:type="dxa"/>
              <w:right w:w="150" w:type="dxa"/>
            </w:tcMar>
            <w:shd w:fill="FFFFFF"/>
          </w:tcPr>
          <w:p>
            <w:pPr>
              <w:jc w:val="left"/>
            </w:pPr>
            <w:r>
              <w:rPr>
                <w:rFonts w:ascii="Calibri" w:hAnsi="Calibri"/>
                <w:color w:val="1E293B"/>
                <w:sz w:val="18"/>
              </w:rPr>
              <w:t>source_id → sources</w:t>
            </w:r>
          </w:p>
        </w:tc>
      </w:tr>
      <w:tr>
        <w:trPr>
          <w:cantSplit/>
        </w:trPr>
        <w:tc>
          <w:tcPr>
            <w:tcW w:type="dxa" w:w="2160"/>
            <w:vAlign w:val="center"/>
            <w:tcMar>
              <w:top w:w="120" w:type="dxa"/>
              <w:bottom w:w="120" w:type="dxa"/>
              <w:left w:w="150" w:type="dxa"/>
              <w:right w:w="150" w:type="dxa"/>
            </w:tcMar>
            <w:shd w:fill="F8FAFC"/>
          </w:tcPr>
          <w:p>
            <w:pPr>
              <w:jc w:val="left"/>
            </w:pPr>
            <w:r>
              <w:rPr>
                <w:rFonts w:ascii="Calibri" w:hAnsi="Calibri"/>
                <w:color w:val="1E293B"/>
                <w:sz w:val="18"/>
              </w:rPr>
              <w:t>incident_techniques</w:t>
            </w:r>
          </w:p>
        </w:tc>
        <w:tc>
          <w:tcPr>
            <w:tcW w:type="dxa" w:w="2016"/>
            <w:vAlign w:val="center"/>
            <w:tcMar>
              <w:top w:w="120" w:type="dxa"/>
              <w:bottom w:w="120" w:type="dxa"/>
              <w:left w:w="150" w:type="dxa"/>
              <w:right w:w="150" w:type="dxa"/>
            </w:tcMar>
            <w:shd w:fill="F8FAFC"/>
          </w:tcPr>
          <w:p>
            <w:pPr>
              <w:jc w:val="left"/>
            </w:pPr>
            <w:r>
              <w:rPr>
                <w:rFonts w:ascii="Calibri" w:hAnsi="Calibri"/>
                <w:color w:val="1E293B"/>
                <w:sz w:val="18"/>
              </w:rPr>
              <w:t>Junction (M:N)</w:t>
            </w:r>
          </w:p>
        </w:tc>
        <w:tc>
          <w:tcPr>
            <w:tcW w:type="dxa" w:w="2304"/>
            <w:vAlign w:val="center"/>
            <w:tcMar>
              <w:top w:w="120" w:type="dxa"/>
              <w:bottom w:w="120" w:type="dxa"/>
              <w:left w:w="150" w:type="dxa"/>
              <w:right w:w="150" w:type="dxa"/>
            </w:tcMar>
            <w:shd w:fill="F8FAFC"/>
          </w:tcPr>
          <w:p>
            <w:pPr>
              <w:jc w:val="left"/>
            </w:pPr>
            <w:r>
              <w:rPr>
                <w:rFonts w:ascii="Calibri" w:hAnsi="Calibri"/>
                <w:color w:val="1E293B"/>
                <w:sz w:val="18"/>
              </w:rPr>
              <w:t>(incident_id, technique_id)</w:t>
            </w:r>
          </w:p>
        </w:tc>
        <w:tc>
          <w:tcPr>
            <w:tcW w:type="dxa" w:w="2880"/>
            <w:vAlign w:val="center"/>
            <w:tcMar>
              <w:top w:w="120" w:type="dxa"/>
              <w:bottom w:w="120" w:type="dxa"/>
              <w:left w:w="150" w:type="dxa"/>
              <w:right w:w="150" w:type="dxa"/>
            </w:tcMar>
            <w:shd w:fill="F8FAFC"/>
          </w:tcPr>
          <w:p>
            <w:pPr>
              <w:jc w:val="left"/>
            </w:pPr>
            <w:r>
              <w:rPr>
                <w:rFonts w:ascii="Calibri" w:hAnsi="Calibri"/>
                <w:color w:val="1E293B"/>
                <w:sz w:val="18"/>
              </w:rPr>
              <w:t>incidents, attack_techniques</w:t>
            </w:r>
          </w:p>
        </w:tc>
      </w:tr>
      <w:tr>
        <w:trPr>
          <w:cantSplit/>
        </w:trPr>
        <w:tc>
          <w:tcPr>
            <w:tcW w:type="dxa" w:w="2160"/>
            <w:vAlign w:val="center"/>
            <w:tcMar>
              <w:top w:w="120" w:type="dxa"/>
              <w:bottom w:w="120" w:type="dxa"/>
              <w:left w:w="150" w:type="dxa"/>
              <w:right w:w="150" w:type="dxa"/>
            </w:tcMar>
            <w:shd w:fill="FFFFFF"/>
          </w:tcPr>
          <w:p>
            <w:pPr>
              <w:jc w:val="left"/>
            </w:pPr>
            <w:r>
              <w:rPr>
                <w:rFonts w:ascii="Calibri" w:hAnsi="Calibri"/>
                <w:color w:val="1E293B"/>
                <w:sz w:val="18"/>
              </w:rPr>
              <w:t>technique_vulnerabilities</w:t>
            </w:r>
          </w:p>
        </w:tc>
        <w:tc>
          <w:tcPr>
            <w:tcW w:type="dxa" w:w="2016"/>
            <w:vAlign w:val="center"/>
            <w:tcMar>
              <w:top w:w="120" w:type="dxa"/>
              <w:bottom w:w="120" w:type="dxa"/>
              <w:left w:w="150" w:type="dxa"/>
              <w:right w:w="150" w:type="dxa"/>
            </w:tcMar>
            <w:shd w:fill="FFFFFF"/>
          </w:tcPr>
          <w:p>
            <w:pPr>
              <w:jc w:val="left"/>
            </w:pPr>
            <w:r>
              <w:rPr>
                <w:rFonts w:ascii="Calibri" w:hAnsi="Calibri"/>
                <w:color w:val="1E293B"/>
                <w:sz w:val="18"/>
              </w:rPr>
              <w:t>Junction (M:N)</w:t>
            </w:r>
          </w:p>
        </w:tc>
        <w:tc>
          <w:tcPr>
            <w:tcW w:type="dxa" w:w="2304"/>
            <w:vAlign w:val="center"/>
            <w:tcMar>
              <w:top w:w="120" w:type="dxa"/>
              <w:bottom w:w="120" w:type="dxa"/>
              <w:left w:w="150" w:type="dxa"/>
              <w:right w:w="150" w:type="dxa"/>
            </w:tcMar>
            <w:shd w:fill="FFFFFF"/>
          </w:tcPr>
          <w:p>
            <w:pPr>
              <w:jc w:val="left"/>
            </w:pPr>
            <w:r>
              <w:rPr>
                <w:rFonts w:ascii="Calibri" w:hAnsi="Calibri"/>
                <w:color w:val="1E293B"/>
                <w:sz w:val="18"/>
              </w:rPr>
              <w:t>(technique_id, vulnerability_id)</w:t>
            </w:r>
          </w:p>
        </w:tc>
        <w:tc>
          <w:tcPr>
            <w:tcW w:type="dxa" w:w="2880"/>
            <w:vAlign w:val="center"/>
            <w:tcMar>
              <w:top w:w="120" w:type="dxa"/>
              <w:bottom w:w="120" w:type="dxa"/>
              <w:left w:w="150" w:type="dxa"/>
              <w:right w:w="150" w:type="dxa"/>
            </w:tcMar>
            <w:shd w:fill="FFFFFF"/>
          </w:tcPr>
          <w:p>
            <w:pPr>
              <w:jc w:val="left"/>
            </w:pPr>
            <w:r>
              <w:rPr>
                <w:rFonts w:ascii="Calibri" w:hAnsi="Calibri"/>
                <w:color w:val="1E293B"/>
                <w:sz w:val="18"/>
              </w:rPr>
              <w:t>attack_techniques, vulnerabilities</w:t>
            </w:r>
          </w:p>
        </w:tc>
      </w:tr>
      <w:tr>
        <w:trPr>
          <w:cantSplit/>
        </w:trPr>
        <w:tc>
          <w:tcPr>
            <w:tcW w:type="dxa" w:w="2160"/>
            <w:vAlign w:val="center"/>
            <w:tcMar>
              <w:top w:w="120" w:type="dxa"/>
              <w:bottom w:w="120" w:type="dxa"/>
              <w:left w:w="150" w:type="dxa"/>
              <w:right w:w="150" w:type="dxa"/>
            </w:tcMar>
            <w:shd w:fill="F8FAFC"/>
          </w:tcPr>
          <w:p>
            <w:pPr>
              <w:jc w:val="left"/>
            </w:pPr>
            <w:r>
              <w:rPr>
                <w:rFonts w:ascii="Calibri" w:hAnsi="Calibri"/>
                <w:color w:val="1E293B"/>
                <w:sz w:val="18"/>
              </w:rPr>
              <w:t>incident_victims</w:t>
            </w:r>
          </w:p>
        </w:tc>
        <w:tc>
          <w:tcPr>
            <w:tcW w:type="dxa" w:w="2016"/>
            <w:vAlign w:val="center"/>
            <w:tcMar>
              <w:top w:w="120" w:type="dxa"/>
              <w:bottom w:w="120" w:type="dxa"/>
              <w:left w:w="150" w:type="dxa"/>
              <w:right w:w="150" w:type="dxa"/>
            </w:tcMar>
            <w:shd w:fill="F8FAFC"/>
          </w:tcPr>
          <w:p>
            <w:pPr>
              <w:jc w:val="left"/>
            </w:pPr>
            <w:r>
              <w:rPr>
                <w:rFonts w:ascii="Calibri" w:hAnsi="Calibri"/>
                <w:color w:val="1E293B"/>
                <w:sz w:val="18"/>
              </w:rPr>
              <w:t>Junction (M:N)</w:t>
            </w:r>
          </w:p>
        </w:tc>
        <w:tc>
          <w:tcPr>
            <w:tcW w:type="dxa" w:w="2304"/>
            <w:vAlign w:val="center"/>
            <w:tcMar>
              <w:top w:w="120" w:type="dxa"/>
              <w:bottom w:w="120" w:type="dxa"/>
              <w:left w:w="150" w:type="dxa"/>
              <w:right w:w="150" w:type="dxa"/>
            </w:tcMar>
            <w:shd w:fill="F8FAFC"/>
          </w:tcPr>
          <w:p>
            <w:pPr>
              <w:jc w:val="left"/>
            </w:pPr>
            <w:r>
              <w:rPr>
                <w:rFonts w:ascii="Calibri" w:hAnsi="Calibri"/>
                <w:color w:val="1E293B"/>
                <w:sz w:val="18"/>
              </w:rPr>
              <w:t>(incident_id, victim_id)</w:t>
            </w:r>
          </w:p>
        </w:tc>
        <w:tc>
          <w:tcPr>
            <w:tcW w:type="dxa" w:w="2880"/>
            <w:vAlign w:val="center"/>
            <w:tcMar>
              <w:top w:w="120" w:type="dxa"/>
              <w:bottom w:w="120" w:type="dxa"/>
              <w:left w:w="150" w:type="dxa"/>
              <w:right w:w="150" w:type="dxa"/>
            </w:tcMar>
            <w:shd w:fill="F8FAFC"/>
          </w:tcPr>
          <w:p>
            <w:pPr>
              <w:jc w:val="left"/>
            </w:pPr>
            <w:r>
              <w:rPr>
                <w:rFonts w:ascii="Calibri" w:hAnsi="Calibri"/>
                <w:color w:val="1E293B"/>
                <w:sz w:val="18"/>
              </w:rPr>
              <w:t>incidents, victims</w:t>
            </w:r>
          </w:p>
        </w:tc>
      </w:tr>
      <w:tr>
        <w:trPr>
          <w:cantSplit/>
        </w:trPr>
        <w:tc>
          <w:tcPr>
            <w:tcW w:type="dxa" w:w="2160"/>
            <w:vAlign w:val="center"/>
            <w:tcMar>
              <w:top w:w="120" w:type="dxa"/>
              <w:bottom w:w="120" w:type="dxa"/>
              <w:left w:w="150" w:type="dxa"/>
              <w:right w:w="150" w:type="dxa"/>
            </w:tcMar>
            <w:shd w:fill="FFFFFF"/>
          </w:tcPr>
          <w:p>
            <w:pPr>
              <w:jc w:val="left"/>
            </w:pPr>
            <w:r>
              <w:rPr>
                <w:rFonts w:ascii="Calibri" w:hAnsi="Calibri"/>
                <w:color w:val="1E293B"/>
                <w:sz w:val="18"/>
              </w:rPr>
              <w:t>stage_techniques</w:t>
            </w:r>
          </w:p>
        </w:tc>
        <w:tc>
          <w:tcPr>
            <w:tcW w:type="dxa" w:w="2016"/>
            <w:vAlign w:val="center"/>
            <w:tcMar>
              <w:top w:w="120" w:type="dxa"/>
              <w:bottom w:w="120" w:type="dxa"/>
              <w:left w:w="150" w:type="dxa"/>
              <w:right w:w="150" w:type="dxa"/>
            </w:tcMar>
            <w:shd w:fill="FFFFFF"/>
          </w:tcPr>
          <w:p>
            <w:pPr>
              <w:jc w:val="left"/>
            </w:pPr>
            <w:r>
              <w:rPr>
                <w:rFonts w:ascii="Calibri" w:hAnsi="Calibri"/>
                <w:color w:val="1E293B"/>
                <w:sz w:val="18"/>
              </w:rPr>
              <w:t>Junction (M:N)</w:t>
            </w:r>
          </w:p>
        </w:tc>
        <w:tc>
          <w:tcPr>
            <w:tcW w:type="dxa" w:w="2304"/>
            <w:vAlign w:val="center"/>
            <w:tcMar>
              <w:top w:w="120" w:type="dxa"/>
              <w:bottom w:w="120" w:type="dxa"/>
              <w:left w:w="150" w:type="dxa"/>
              <w:right w:w="150" w:type="dxa"/>
            </w:tcMar>
            <w:shd w:fill="FFFFFF"/>
          </w:tcPr>
          <w:p>
            <w:pPr>
              <w:jc w:val="left"/>
            </w:pPr>
            <w:r>
              <w:rPr>
                <w:rFonts w:ascii="Calibri" w:hAnsi="Calibri"/>
                <w:color w:val="1E293B"/>
                <w:sz w:val="18"/>
              </w:rPr>
              <w:t>(stage_id, technique_id)</w:t>
            </w:r>
          </w:p>
        </w:tc>
        <w:tc>
          <w:tcPr>
            <w:tcW w:type="dxa" w:w="2880"/>
            <w:vAlign w:val="center"/>
            <w:tcMar>
              <w:top w:w="120" w:type="dxa"/>
              <w:bottom w:w="120" w:type="dxa"/>
              <w:left w:w="150" w:type="dxa"/>
              <w:right w:w="150" w:type="dxa"/>
            </w:tcMar>
            <w:shd w:fill="FFFFFF"/>
          </w:tcPr>
          <w:p>
            <w:pPr>
              <w:jc w:val="left"/>
            </w:pPr>
            <w:r>
              <w:rPr>
                <w:rFonts w:ascii="Calibri" w:hAnsi="Calibri"/>
                <w:color w:val="1E293B"/>
                <w:sz w:val="18"/>
              </w:rPr>
              <w:t>attack_stages, attack_techniques</w:t>
            </w:r>
          </w:p>
        </w:tc>
      </w:tr>
      <w:tr>
        <w:trPr>
          <w:cantSplit/>
        </w:trPr>
        <w:tc>
          <w:tcPr>
            <w:tcW w:type="dxa" w:w="2160"/>
            <w:vAlign w:val="center"/>
            <w:tcMar>
              <w:top w:w="120" w:type="dxa"/>
              <w:bottom w:w="120" w:type="dxa"/>
              <w:left w:w="150" w:type="dxa"/>
              <w:right w:w="150" w:type="dxa"/>
            </w:tcMar>
            <w:shd w:fill="F8FAFC"/>
          </w:tcPr>
          <w:p>
            <w:pPr>
              <w:jc w:val="left"/>
            </w:pPr>
            <w:r>
              <w:rPr>
                <w:rFonts w:ascii="Calibri" w:hAnsi="Calibri"/>
                <w:color w:val="1E293B"/>
                <w:sz w:val="18"/>
              </w:rPr>
              <w:t>mitigation_techniques</w:t>
            </w:r>
          </w:p>
        </w:tc>
        <w:tc>
          <w:tcPr>
            <w:tcW w:type="dxa" w:w="2016"/>
            <w:vAlign w:val="center"/>
            <w:tcMar>
              <w:top w:w="120" w:type="dxa"/>
              <w:bottom w:w="120" w:type="dxa"/>
              <w:left w:w="150" w:type="dxa"/>
              <w:right w:w="150" w:type="dxa"/>
            </w:tcMar>
            <w:shd w:fill="F8FAFC"/>
          </w:tcPr>
          <w:p>
            <w:pPr>
              <w:jc w:val="left"/>
            </w:pPr>
            <w:r>
              <w:rPr>
                <w:rFonts w:ascii="Calibri" w:hAnsi="Calibri"/>
                <w:color w:val="1E293B"/>
                <w:sz w:val="18"/>
              </w:rPr>
              <w:t>Junction (M:N)</w:t>
            </w:r>
          </w:p>
        </w:tc>
        <w:tc>
          <w:tcPr>
            <w:tcW w:type="dxa" w:w="2304"/>
            <w:vAlign w:val="center"/>
            <w:tcMar>
              <w:top w:w="120" w:type="dxa"/>
              <w:bottom w:w="120" w:type="dxa"/>
              <w:left w:w="150" w:type="dxa"/>
              <w:right w:w="150" w:type="dxa"/>
            </w:tcMar>
            <w:shd w:fill="F8FAFC"/>
          </w:tcPr>
          <w:p>
            <w:pPr>
              <w:jc w:val="left"/>
            </w:pPr>
            <w:r>
              <w:rPr>
                <w:rFonts w:ascii="Calibri" w:hAnsi="Calibri"/>
                <w:color w:val="1E293B"/>
                <w:sz w:val="18"/>
              </w:rPr>
              <w:t>(mitigation_id, technique_id)</w:t>
            </w:r>
          </w:p>
        </w:tc>
        <w:tc>
          <w:tcPr>
            <w:tcW w:type="dxa" w:w="2880"/>
            <w:vAlign w:val="center"/>
            <w:tcMar>
              <w:top w:w="120" w:type="dxa"/>
              <w:bottom w:w="120" w:type="dxa"/>
              <w:left w:w="150" w:type="dxa"/>
              <w:right w:w="150" w:type="dxa"/>
            </w:tcMar>
            <w:shd w:fill="F8FAFC"/>
          </w:tcPr>
          <w:p>
            <w:pPr>
              <w:jc w:val="left"/>
            </w:pPr>
            <w:r>
              <w:rPr>
                <w:rFonts w:ascii="Calibri" w:hAnsi="Calibri"/>
                <w:color w:val="1E293B"/>
                <w:sz w:val="18"/>
              </w:rPr>
              <w:t>mitigations, attack_techniques</w:t>
            </w:r>
          </w:p>
        </w:tc>
      </w:tr>
    </w:tbl>
    <w:p>
      <w:r>
        <w:br w:type="page"/>
      </w:r>
    </w:p>
    <w:p>
      <w:pPr>
        <w:pStyle w:val="Heading1"/>
      </w:pPr>
      <w:r>
        <w:rPr>
          <w:color w:val="0F172A"/>
        </w:rPr>
        <w:t>3. Schema DDL &amp; Referential Integrity Constraints</w:t>
      </w:r>
    </w:p>
    <w:p>
      <w:r>
        <w:t>Below is an excerpt of the core Data Definition Language (DDL) demonstrating referential constraints, CHECK validation constraints, and indexing structures implemented in PostgreSQL:</w:t>
      </w:r>
    </w:p>
    <w:p>
      <w:r>
        <w:rPr>
          <w:rFonts w:ascii="Consolas" w:hAnsi="Consolas"/>
          <w:color w:val="0F172A"/>
          <w:sz w:val="17"/>
        </w:rPr>
        <w:t>-- Sources Table with Credibility CHECK Constraints</w:t>
        <w:br/>
        <w:t>CREATE TABLE sources (</w:t>
        <w:br/>
        <w:t xml:space="preserve">    source_id VARCHAR(32) PRIMARY KEY,</w:t>
        <w:br/>
        <w:t xml:space="preserve">    source_name VARCHAR(255) NOT NULL,</w:t>
        <w:br/>
        <w:t xml:space="preserve">    publisher VARCHAR(255) NOT NULL,</w:t>
        <w:br/>
        <w:t xml:space="preserve">    source_type VARCHAR(64) NOT NULL CHECK (source_type IN (</w:t>
        <w:br/>
        <w:t xml:space="preserve">        'Government / Advisory', 'Threat Intelligence Report',</w:t>
        <w:br/>
        <w:t xml:space="preserve">        'Vendor Technical Bulletin', 'MITRE ATT&amp;CK',</w:t>
        <w:br/>
        <w:t xml:space="preserve">        'Corporate Disclosure', 'Reputable Journalism')),</w:t>
        <w:br/>
        <w:t xml:space="preserve">    publication_date DATE,</w:t>
        <w:br/>
        <w:t xml:space="preserve">    url TEXT,</w:t>
        <w:br/>
        <w:t xml:space="preserve">    credibility_level VARCHAR(32) NOT NULL DEFAULT 'High' CHECK (</w:t>
        <w:br/>
        <w:t xml:space="preserve">        credibility_level IN ('Primary / Official', 'High', 'Corroborated Secondary'))</w:t>
        <w:br/>
        <w:t>);</w:t>
        <w:br/>
        <w:br/>
        <w:t>-- Attack Techniques Aligned with MITRE ATT&amp;CK</w:t>
        <w:br/>
        <w:t>CREATE TABLE attack_techniques (</w:t>
        <w:br/>
        <w:t xml:space="preserve">    technique_id VARCHAR(32) PRIMARY KEY,</w:t>
        <w:br/>
        <w:t xml:space="preserve">    mitre_id VARCHAR(32) NOT NULL,</w:t>
        <w:br/>
        <w:t xml:space="preserve">    technique_name VARCHAR(255) NOT NULL,</w:t>
        <w:br/>
        <w:t xml:space="preserve">    tactic VARCHAR(128) NOT NULL,</w:t>
        <w:br/>
        <w:t xml:space="preserve">    description TEXT NOT NULL,</w:t>
        <w:br/>
        <w:t xml:space="preserve">    observed_behavior TEXT NOT NULL,</w:t>
        <w:br/>
        <w:t xml:space="preserve">    detection_opportunity TEXT,</w:t>
        <w:br/>
        <w:t xml:space="preserve">    mitigation_strategy TEXT,</w:t>
        <w:br/>
        <w:t xml:space="preserve">    source_id VARCHAR(32) REFERENCES sources(source_id) ON DELETE SET NULL</w:t>
        <w:br/>
        <w:t>);</w:t>
        <w:br/>
        <w:t>CREATE INDEX idx_attack_techniques_tactic ON attack_techniques(tactic);</w:t>
        <w:br/>
        <w:t>CREATE INDEX idx_attack_techniques_mitre ON attack_techniques(mitre_id);</w:t>
        <w:br/>
        <w:br/>
        <w:t>-- Impact Events Distinguishing Direct Actions from Consequences</w:t>
        <w:br/>
        <w:t>CREATE TABLE impact_events (</w:t>
        <w:br/>
        <w:t xml:space="preserve">    impact_id VARCHAR(32) PRIMARY KEY,</w:t>
        <w:br/>
        <w:t xml:space="preserve">    victim_id VARCHAR(32) NOT NULL REFERENCES victims(victim_id) ON DELETE CASCADE,</w:t>
        <w:br/>
        <w:t xml:space="preserve">    impact_type VARCHAR(128) NOT NULL,</w:t>
        <w:br/>
        <w:t xml:space="preserve">    severity VARCHAR(32) NOT NULL CHECK (severity IN ('Catastrophic', 'Critical', 'Severe', 'Moderate')),</w:t>
        <w:br/>
        <w:t xml:space="preserve">    direct_malware_action TEXT NOT NULL,</w:t>
        <w:br/>
        <w:t xml:space="preserve">    operational_consequence TEXT NOT NULL,</w:t>
        <w:br/>
        <w:t xml:space="preserve">    recovery_duration_days INT,</w:t>
        <w:br/>
        <w:t xml:space="preserve">    source_id VARCHAR(32) REFERENCES sources(source_id) ON DELETE SET NULL</w:t>
        <w:br/>
        <w:t>);</w:t>
      </w:r>
    </w:p>
    <w:p>
      <w:pPr>
        <w:pStyle w:val="Heading1"/>
      </w:pPr>
      <w:r>
        <w:rPr>
          <w:color w:val="0F172A"/>
        </w:rPr>
        <w:t>4. The Dual Query Engine &amp; Security Architecture</w:t>
      </w:r>
    </w:p>
    <w:p>
      <w:r>
        <w:t>A critical innovation of this project is the Dual Query Engine architecture. Users can interact with the underlying relational database through two safe, pedagogical workflows without risking SQL injection or unauthorized schema modification.</w:t>
      </w:r>
    </w:p>
    <w:p>
      <w:pPr>
        <w:pStyle w:val="Heading2"/>
      </w:pPr>
      <w:r>
        <w:t>4.1 Natural Language Query to SQL Flow</w:t>
      </w:r>
    </w:p>
    <w:p>
      <w:r>
        <w:t>1. Natural Language Input: User enters an investigative question (e.g., 'Show all lateral movement techniques').</w:t>
        <w:br/>
        <w:t>2. Automated Translation (/api/nl-query): The system prompts an LLM compiler constrained strictly by the database catalog, with an instant fallback to a deterministic cyber regex rules compiler if offline.</w:t>
        <w:br/>
        <w:t>3. AST &amp; Lexical Policy Guard: The generated SQL is parsed by the security validator.</w:t>
        <w:br/>
        <w:t>4. Execution &amp; Display: Generated SQL is populated into an editable syntax console and executed against PostgreSQL (/api/query).</w:t>
      </w:r>
    </w:p>
    <w:p>
      <w:pPr>
        <w:pStyle w:val="Heading2"/>
      </w:pPr>
      <w:r>
        <w:t>4.2 Read-Only Enforcement &amp; Anti-SQL Injection Defenses</w:t>
      </w:r>
    </w:p>
    <w:p>
      <w:r>
        <w:t>Because the query console is exposed to user input, multiple layers of defense-in-depth are enforced:</w:t>
        <w:br/>
        <w:t>• Strict Keyword Filter: Queries must begin strictly with SELECT or WITH. Any DDL/DML token (INSERT, UPDATE, DELETE, DROP, ALTER, TRUNCATE, GRANT, REVOKE, PG_SLEEP, INTO) is rejected prior to execution.</w:t>
        <w:br/>
        <w:t>• Anti-Stacking Semicolon Guard: Trailing semicolons are sanitized, and internal semicolons are rejected to block stacked injection attacks.</w:t>
        <w:br/>
        <w:t>• Server-Side Execution Timeout: The PostgreSQL client executes `SET statement_timeout = 5000` on every pooled connection to prevent denial-of-service via computationally expensive queries.</w:t>
        <w:br/>
        <w:t>• Output Row Cap: Queries are automatically capped at 100 rows using automatic LIMIT injection.</w:t>
        <w:br/>
        <w:t>• Pedagogical Error Diagnostics: When typographical errors occur (such as `SELECT * FORM victims;`), the system outputs friendly instructional suggestions ('Did you mean FROM?') rather than exposing backend database stack traces.</w:t>
      </w:r>
    </w:p>
    <w:p>
      <w:r>
        <w:br w:type="page"/>
      </w:r>
    </w:p>
    <w:p>
      <w:pPr>
        <w:pStyle w:val="Heading1"/>
      </w:pPr>
      <w:r>
        <w:rPr>
          <w:color w:val="0F172A"/>
        </w:rPr>
        <w:t>5. Academic Benchmark SQL Queries</w:t>
      </w:r>
    </w:p>
    <w:p>
      <w:r>
        <w:t>The system includes 8 academic benchmark queries that verify core relational algebra operations (Selection, Projection, Cartesian Product, Joins, Grouping, and Aggregation):</w:t>
      </w:r>
    </w:p>
    <w:p>
      <w:pPr>
        <w:pStyle w:val="Heading2"/>
      </w:pPr>
      <w:r>
        <w:t>Benchmark 1: Full Relation Selection</w:t>
      </w:r>
    </w:p>
    <w:p>
      <w:r>
        <w:t>Verifies basic relational scanning across all 10 MITRE techniques.</w:t>
      </w:r>
    </w:p>
    <w:p>
      <w:r>
        <w:rPr>
          <w:rFonts w:ascii="Consolas" w:hAnsi="Consolas"/>
          <w:color w:val="1E3A8A"/>
          <w:sz w:val="19"/>
        </w:rPr>
        <w:t>SELECT * FROM attack_techniques;</w:t>
      </w:r>
    </w:p>
    <w:p>
      <w:pPr>
        <w:pStyle w:val="Heading2"/>
      </w:pPr>
      <w:r>
        <w:t>Benchmark 2: Filtered Projection (WHERE Clause)</w:t>
      </w:r>
    </w:p>
    <w:p>
      <w:r>
        <w:t>Filters propagation techniques (EternalBlue, PsExec, WMIC).</w:t>
      </w:r>
    </w:p>
    <w:p>
      <w:r>
        <w:rPr>
          <w:rFonts w:ascii="Consolas" w:hAnsi="Consolas"/>
          <w:color w:val="1E3A8A"/>
          <w:sz w:val="19"/>
        </w:rPr>
        <w:t>SELECT technique_name, mitre_id FROM attack_techniques WHERE tactic = 'Lateral Movement';</w:t>
      </w:r>
    </w:p>
    <w:p>
      <w:pPr>
        <w:pStyle w:val="Heading2"/>
      </w:pPr>
      <w:r>
        <w:t>Benchmark 3: Entity Inspection (Vulnerabilities)</w:t>
      </w:r>
    </w:p>
    <w:p>
      <w:r>
        <w:t>Retrieves CVE-2017-0144 and CVE-2017-0145 details with CVSS scores.</w:t>
      </w:r>
    </w:p>
    <w:p>
      <w:r>
        <w:rPr>
          <w:rFonts w:ascii="Consolas" w:hAnsi="Consolas"/>
          <w:color w:val="1E3A8A"/>
          <w:sz w:val="19"/>
        </w:rPr>
        <w:t>SELECT cve_id, ms_bulletin, vulnerability_name, cvss_score FROM vulnerabilities;</w:t>
      </w:r>
    </w:p>
    <w:p>
      <w:pPr>
        <w:pStyle w:val="Heading2"/>
      </w:pPr>
      <w:r>
        <w:t>Benchmark 4: Geographic &amp; Sector Projections</w:t>
      </w:r>
    </w:p>
    <w:p>
      <w:r>
        <w:t>Projects victim demographic profiles across multinational sectors.</w:t>
      </w:r>
    </w:p>
    <w:p>
      <w:r>
        <w:rPr>
          <w:rFonts w:ascii="Consolas" w:hAnsi="Consolas"/>
          <w:color w:val="1E3A8A"/>
          <w:sz w:val="19"/>
        </w:rPr>
        <w:t>SELECT organization_name, country, sector FROM victims ORDER BY country;</w:t>
      </w:r>
    </w:p>
    <w:p>
      <w:pPr>
        <w:pStyle w:val="Heading2"/>
      </w:pPr>
      <w:r>
        <w:t>Benchmark 5: Aggregation &amp; Grouping (GROUP BY)</w:t>
      </w:r>
    </w:p>
    <w:p>
      <w:r>
        <w:t>Demonstrates relational aggregation across distinct operational outage categories.</w:t>
      </w:r>
    </w:p>
    <w:p>
      <w:r>
        <w:rPr>
          <w:rFonts w:ascii="Consolas" w:hAnsi="Consolas"/>
          <w:color w:val="1E3A8A"/>
          <w:sz w:val="19"/>
        </w:rPr>
        <w:t>SELECT impact_type, COUNT(*) as count FROM impact_events GROUP BY impact_type;</w:t>
      </w:r>
    </w:p>
    <w:p>
      <w:pPr>
        <w:pStyle w:val="Heading2"/>
      </w:pPr>
      <w:r>
        <w:t>Benchmark 6: Sorting &amp; Ranking (ORDER BY DESC)</w:t>
      </w:r>
    </w:p>
    <w:p>
      <w:r>
        <w:t>Ranks MITRE tactics by the volume of weaponized techniques.</w:t>
      </w:r>
    </w:p>
    <w:p>
      <w:r>
        <w:rPr>
          <w:rFonts w:ascii="Consolas" w:hAnsi="Consolas"/>
          <w:color w:val="1E3A8A"/>
          <w:sz w:val="19"/>
        </w:rPr>
        <w:t>SELECT tactic, COUNT(*) as technique_count FROM attack_techniques GROUP BY tactic ORDER BY technique_count DESC;</w:t>
      </w:r>
    </w:p>
    <w:p>
      <w:pPr>
        <w:pStyle w:val="Heading2"/>
      </w:pPr>
      <w:r>
        <w:t>Benchmark 7: 2-Table Relational Inner Join</w:t>
      </w:r>
    </w:p>
    <w:p>
      <w:r>
        <w:t>Demonstrates primary-to-foreign key joining across victim and impact tables.</w:t>
      </w:r>
    </w:p>
    <w:p>
      <w:r>
        <w:rPr>
          <w:rFonts w:ascii="Consolas" w:hAnsi="Consolas"/>
          <w:color w:val="1E3A8A"/>
          <w:sz w:val="19"/>
        </w:rPr>
        <w:t>SELECT v.organization_name, i.impact_type, i.severity FROM victims v JOIN impact_events i ON v.victim_id = i.victim_id;</w:t>
      </w:r>
    </w:p>
    <w:p>
      <w:pPr>
        <w:pStyle w:val="Heading2"/>
      </w:pPr>
      <w:r>
        <w:t>Benchmark 8: Multi-Table Join via M:N Junction Table</w:t>
      </w:r>
    </w:p>
    <w:p>
      <w:r>
        <w:t>Traverses a 3-table relational path across the M:N junction table stage_techniques.</w:t>
      </w:r>
    </w:p>
    <w:p>
      <w:r>
        <w:rPr>
          <w:rFonts w:ascii="Consolas" w:hAnsi="Consolas"/>
          <w:color w:val="1E3A8A"/>
          <w:sz w:val="19"/>
        </w:rPr>
        <w:t>SELECT a.technique_name, s.stage_name FROM attack_techniques a JOIN stage_techniques st ON a.technique_id = st.technique_id JOIN attack_stages s ON st.stage_id = s.stage_id ORDER BY s.stage_number;</w:t>
      </w:r>
    </w:p>
    <w:p>
      <w:r>
        <w:br w:type="page"/>
      </w:r>
    </w:p>
    <w:p>
      <w:pPr>
        <w:pStyle w:val="Heading1"/>
      </w:pPr>
      <w:r>
        <w:rPr>
          <w:color w:val="0F172A"/>
        </w:rPr>
        <w:t>6. Forensic Fact-Checking &amp; Academic Audit</w:t>
      </w:r>
    </w:p>
    <w:p>
      <w:r>
        <w:t>In accordance with rigorous academic standards, all historical and technical claims were cross-referenced against official disclosures (CISA TA17-181A, UK NCSC, US Department of Justice 2020 Indictment, Microsoft MSRC, and corporate SEC Form 10-K filings). Key corrections applied to the investigation corpus include:</w:t>
      </w:r>
    </w:p>
    <w:p>
      <w:r>
        <w:t>1. Removal of TradeLens Anachronism: Unsubstantiated claims attributing the disruption of TradeLens to the 2017 NotPetya attack were excised. Historically accurate descriptions ('terminal cargo booking and operational logistics systems') were instituted.</w:t>
        <w:br/>
        <w:t>2. Code-Signing Precision: Statements claiming that NotPetya itself was signed with a legitimate digital certificate were corrected. The update mechanism of M.E.Doc was compromised to distribute the malicious DLL; the wiper binary perfc.dat was unsigned.</w:t>
        <w:br/>
        <w:t>3. Removal of Invented Minute Timestamps: Unsupported precise minute-by-minute timestamps (e.g., 10:30, 10:45) were replaced with qualified operational phase bands ('Morning (~10:30 UTC)', 'Midday', 'Early Afternoon').</w:t>
        <w:br/>
        <w:t>4. Qualified Ukrainian Saturation Claims: Blanket claims stating '80% of Ukrainian businesses were infected' were adjusted to accurate legal-regulatory context: 'M.E.Doc was mandatory tax software utilized by the vast majority of corporations operating in Ukraine'.</w:t>
        <w:br/>
        <w:t>5. Technical Disaggregation of Impact: Phrasing stating 'Domain Controllers destroyed' was refined to 'Active Directory services rendered completely unavailable across global sites', rigorously separating direct disk encryption actions from systemic operational enterprise consequences.</w:t>
      </w:r>
    </w:p>
    <w:p>
      <w:pPr>
        <w:pStyle w:val="Heading1"/>
      </w:pPr>
      <w:r>
        <w:rPr>
          <w:color w:val="0F172A"/>
        </w:rPr>
        <w:t>7. Interactive SOC Simulator &amp; Kill-Chain Defense</w:t>
      </w:r>
    </w:p>
    <w:p>
      <w:r>
        <w:t>To complement the DBMS architecture, two advanced threat intelligence modules were integrated:</w:t>
        <w:br/>
        <w:t>• 'You Are the SOC' Simulator: A 3-phase real-time incident decision matrix challenging analysts with authentic telemetry (C2 HTTP beacons, EternalBlue SMB sweeps, and LSASS injection/PsExec service creation). Evaluates containment outcomes and teaches defensive consequences.</w:t>
        <w:br/>
        <w:t>• What Would Have Stopped NotPetya?: A 6-tier defense-in-depth breakdown covering (1) Software Supply Chain SLSA attestation, (2) Windows Defender Credential Guard, (3) SMBv1 removal, (4) Active Directory Tiered Administration, (5) Workstation microsegmentation, and (6) Air-gapped immutable disaster recovery.</w:t>
      </w:r>
    </w:p>
    <w:p>
      <w:pPr>
        <w:pStyle w:val="Heading1"/>
      </w:pPr>
      <w:r>
        <w:rPr>
          <w:color w:val="0F172A"/>
        </w:rPr>
        <w:t>8. Conclusion &amp; Demonstration Verification</w:t>
      </w:r>
    </w:p>
    <w:p>
      <w:r>
        <w:t>The upgraded NotPetya Investigation Platform demonstrates that complex cybersecurity case studies can be elevated from static web pages into academically rigorous, database-backed laboratory environments. By integrating a normalized 3NF PostgreSQL database, a dual natural language / SQL execution engine, and strict read-only execution guardrails, this project serves as a comprehensive demonstration of DBMS principles in high-stakes threat intelligence applications.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