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028090"/>
          <w:sz w:val="28"/>
          <w:szCs w:val="28"/>
        </w:rPr>
        <w:t xml:space="preserve">JM/\N GROUP</w:t>
      </w:r>
    </w:p>
    <w:p>
      <w:pPr>
        <w:pBdr>
          <w:bottom w:val="single" w:color="E84393" w:sz="16" w:space="1"/>
        </w:pBdr>
        <w:spacing w:after="120" w:before="0"/>
      </w:pPr>
    </w:p>
    <w:p>
      <w:pPr>
        <w:spacing w:after="120" w:before="240"/>
      </w:pPr>
      <w:r>
        <w:rPr>
          <w:rFonts w:ascii="Calibri" w:cs="Calibri" w:eastAsia="Calibri" w:hAnsi="Calibri"/>
          <w:b/>
          <w:bCs/>
          <w:color w:val="0D1B4B"/>
          <w:sz w:val="52"/>
          <w:szCs w:val="52"/>
        </w:rPr>
        <w:t xml:space="preserve">POST-RENEWAL CHURN PREDICTION</w:t>
      </w:r>
    </w:p>
    <w:p>
      <w:pPr>
        <w:spacing w:after="120" w:before="0"/>
      </w:pPr>
      <w:r>
        <w:rPr>
          <w:rFonts w:ascii="Calibri" w:cs="Calibri" w:eastAsia="Calibri" w:hAnsi="Calibri"/>
          <w:color w:val="374151"/>
          <w:sz w:val="28"/>
          <w:szCs w:val="28"/>
        </w:rPr>
        <w:t xml:space="preserve">Technical Documentation — Model Development, Evaluation &amp; Explanation</w:t>
      </w:r>
    </w:p>
    <w:p>
      <w:pPr>
        <w:spacing w:after="80" w:before="240"/>
      </w:pPr>
      <w:r>
        <w:rPr>
          <w:rFonts w:ascii="Calibri" w:cs="Calibri" w:eastAsia="Calibri" w:hAnsi="Calibri"/>
          <w:color w:val="6B7280"/>
          <w:sz w:val="22"/>
          <w:szCs w:val="22"/>
        </w:rPr>
        <w:t xml:space="preserve">DS Team 16  |  JMAN Group  |  April 2026</w:t>
      </w:r>
    </w:p>
    <w:p>
      <w:pPr>
        <w:spacing w:after="80" w:before="40"/>
      </w:pPr>
      <w:r>
        <w:rPr>
          <w:rFonts w:ascii="Calibri" w:cs="Calibri" w:eastAsia="Calibri" w:hAnsi="Calibri"/>
          <w:color w:val="028090"/>
          <w:sz w:val="22"/>
          <w:szCs w:val="22"/>
        </w:rPr>
        <w:t xml:space="preserve">XGBoost Binary Classifier  |  88% Accuracy  |  AUC 0.94</w:t>
      </w:r>
    </w:p>
    <w:p>
      <w:r>
        <w:br/>
      </w:r>
    </w:p>
    <w:p>
      <w:pPr>
        <w:pStyle w:val="Heading1"/>
        <w:spacing w:after="120" w:before="360"/>
      </w:pPr>
      <w:r>
        <w:rPr>
          <w:rFonts w:ascii="Calibri" w:cs="Calibri" w:eastAsia="Calibri" w:hAnsi="Calibri"/>
          <w:b/>
          <w:bCs/>
          <w:color w:val="0D1B4B"/>
          <w:sz w:val="36"/>
          <w:szCs w:val="36"/>
        </w:rPr>
        <w:t xml:space="preserve">1. Executive Summary</w:t>
      </w:r>
    </w:p>
    <w:p>
      <w:pPr>
        <w:pBdr>
          <w:bottom w:val="single" w:color="028090" w:sz="6" w:space="1"/>
        </w:pBdr>
        <w:spacing w:after="120" w:before="120"/>
      </w:pPr>
    </w:p>
    <w:p>
      <w:pPr>
        <w:spacing w:after="80" w:before="60"/>
      </w:pPr>
      <w:r>
        <w:rPr>
          <w:rFonts w:ascii="Calibri" w:cs="Calibri" w:eastAsia="Calibri" w:hAnsi="Calibri"/>
          <w:color w:val="1F2937"/>
          <w:sz w:val="22"/>
          <w:szCs w:val="22"/>
        </w:rPr>
        <w:t xml:space="preserve">This document provides full technical documentation for the Post-Renewal Churn Prediction project completed by DS Team 16 for JMAN Group. The project aimed to identify customers likely to churn after their accreditation service renewal date has passed, enabling proactive intervention before revenue leakage occurs.</w:t>
      </w:r>
    </w:p>
    <w:p>
      <w:pPr>
        <w:spacing w:after="80" w:before="60"/>
      </w:pPr>
      <w:r>
        <w:rPr>
          <w:rFonts w:ascii="Calibri" w:cs="Calibri" w:eastAsia="Calibri" w:hAnsi="Calibri"/>
          <w:color w:val="1F2937"/>
          <w:sz w:val="22"/>
          <w:szCs w:val="22"/>
        </w:rPr>
        <w:t xml:space="preserve">The final deliverable is an XGBoost binary classifier trained on 25,925 labelled customer records, achieving 88% overall accuracy, a ROC-AUC score of 0.94, and precision of 84% for the churned class. The model relies on 23 structurally safe, pre-renewal historical features spanning four business pillars: loyalty, financial, customer care friction, and platform engagement.</w:t>
      </w:r>
    </w:p>
    <w:p>
      <w:pPr>
        <w:spacing w:after="60" w:before="120"/>
      </w:pPr>
      <w:r>
        <w:rPr>
          <w:rFonts w:ascii="Calibri" w:cs="Calibri" w:eastAsia="Calibri" w:hAnsi="Calibri"/>
          <w:b/>
          <w:bCs/>
          <w:color w:val="0D1B4B"/>
          <w:sz w:val="24"/>
          <w:szCs w:val="24"/>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312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c>
          <w:tcPr>
            <w:tcW w:type="dxa" w:w="312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Notes</w:t>
            </w:r>
          </w:p>
        </w:tc>
      </w:tr>
      <w:tr>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Total Records (Merged)</w:t>
            </w:r>
          </w:p>
        </w:tc>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25,925</w:t>
            </w:r>
          </w:p>
        </w:tc>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After label assignment &amp; NaN exclusion</w:t>
            </w:r>
          </w:p>
        </w:tc>
      </w:tr>
      <w:tr>
        <w:tc>
          <w:tcPr>
            <w:tcW w:type="dxa" w:w="312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Churn Rate</w:t>
            </w:r>
          </w:p>
        </w:tc>
        <w:tc>
          <w:tcPr>
            <w:tcW w:type="dxa" w:w="312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36.3% (9,427)</w:t>
            </w:r>
          </w:p>
        </w:tc>
        <w:tc>
          <w:tcPr>
            <w:tcW w:type="dxa" w:w="312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Won: 16,498 (63.7%)</w:t>
            </w:r>
          </w:p>
        </w:tc>
      </w:tr>
      <w:tr>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Model Accuracy</w:t>
            </w:r>
          </w:p>
        </w:tc>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88%</w:t>
            </w:r>
          </w:p>
        </w:tc>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On held-out 20% test set</w:t>
            </w:r>
          </w:p>
        </w:tc>
      </w:tr>
      <w:tr>
        <w:tc>
          <w:tcPr>
            <w:tcW w:type="dxa" w:w="312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ROC-AUC Score</w:t>
            </w:r>
          </w:p>
        </w:tc>
        <w:tc>
          <w:tcPr>
            <w:tcW w:type="dxa" w:w="312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0.94</w:t>
            </w:r>
          </w:p>
        </w:tc>
        <w:tc>
          <w:tcPr>
            <w:tcW w:type="dxa" w:w="312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Excellent discrimination</w:t>
            </w:r>
          </w:p>
        </w:tc>
      </w:tr>
      <w:tr>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Precision (Churned)</w:t>
            </w:r>
          </w:p>
        </w:tc>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84%</w:t>
            </w:r>
          </w:p>
        </w:tc>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Low false alarm rate</w:t>
            </w:r>
          </w:p>
        </w:tc>
      </w:tr>
      <w:tr>
        <w:tc>
          <w:tcPr>
            <w:tcW w:type="dxa" w:w="312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Recall (Churned)</w:t>
            </w:r>
          </w:p>
        </w:tc>
        <w:tc>
          <w:tcPr>
            <w:tcW w:type="dxa" w:w="312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79%</w:t>
            </w:r>
          </w:p>
        </w:tc>
        <w:tc>
          <w:tcPr>
            <w:tcW w:type="dxa" w:w="312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Captures majority of churners</w:t>
            </w:r>
          </w:p>
        </w:tc>
      </w:tr>
      <w:tr>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F1-Score (Churned)</w:t>
            </w:r>
          </w:p>
        </w:tc>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0.81</w:t>
            </w:r>
          </w:p>
        </w:tc>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Balanced precision/recall</w:t>
            </w:r>
          </w:p>
        </w:tc>
      </w:tr>
      <w:tr>
        <w:tc>
          <w:tcPr>
            <w:tcW w:type="dxa" w:w="312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Hypotheses Validated</w:t>
            </w:r>
          </w:p>
        </w:tc>
        <w:tc>
          <w:tcPr>
            <w:tcW w:type="dxa" w:w="312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20 / 20</w:t>
            </w:r>
          </w:p>
        </w:tc>
        <w:tc>
          <w:tcPr>
            <w:tcW w:type="dxa" w:w="312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All passed p &lt; 0.05 significance</w:t>
            </w:r>
          </w:p>
        </w:tc>
      </w:tr>
      <w:tr>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Final Feature Count</w:t>
            </w:r>
          </w:p>
        </w:tc>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23</w:t>
            </w:r>
          </w:p>
        </w:tc>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After leakage purge &amp; OHE expansion</w:t>
            </w:r>
          </w:p>
        </w:tc>
      </w:tr>
    </w:tbl>
    <w:p>
      <w:r>
        <w:br/>
      </w:r>
    </w:p>
    <w:p>
      <w:pPr>
        <w:pStyle w:val="Heading1"/>
        <w:spacing w:after="120" w:before="360"/>
      </w:pPr>
      <w:r>
        <w:rPr>
          <w:rFonts w:ascii="Calibri" w:cs="Calibri" w:eastAsia="Calibri" w:hAnsi="Calibri"/>
          <w:b/>
          <w:bCs/>
          <w:color w:val="0D1B4B"/>
          <w:sz w:val="36"/>
          <w:szCs w:val="36"/>
        </w:rPr>
        <w:t xml:space="preserve">2. Business Problem Statement</w:t>
      </w:r>
    </w:p>
    <w:p>
      <w:pPr>
        <w:pBdr>
          <w:bottom w:val="single" w:color="028090" w:sz="6" w:space="1"/>
        </w:pBdr>
        <w:spacing w:after="120" w:before="120"/>
      </w:pPr>
    </w:p>
    <w:p>
      <w:pPr>
        <w:pStyle w:val="Heading2"/>
        <w:spacing w:after="80" w:before="240"/>
      </w:pPr>
      <w:r>
        <w:rPr>
          <w:rFonts w:ascii="Calibri" w:cs="Calibri" w:eastAsia="Calibri" w:hAnsi="Calibri"/>
          <w:b/>
          <w:bCs/>
          <w:color w:val="028090"/>
          <w:sz w:val="28"/>
          <w:szCs w:val="28"/>
        </w:rPr>
        <w:t xml:space="preserve">2.1 The Challenge</w:t>
      </w:r>
    </w:p>
    <w:p>
      <w:pPr>
        <w:spacing w:after="80" w:before="60"/>
      </w:pPr>
      <w:r>
        <w:rPr>
          <w:rFonts w:ascii="Calibri" w:cs="Calibri" w:eastAsia="Calibri" w:hAnsi="Calibri"/>
          <w:color w:val="1F2937"/>
          <w:sz w:val="22"/>
          <w:szCs w:val="22"/>
        </w:rPr>
        <w:t xml:space="preserve">Accreditation service providers rely on annual or multi-year subscription renewals for their core revenue. When a customer's renewal date passes without action, their account enters an ambiguous 'open' state — neither confirmed renewed nor explicitly cancelled. In this window, revenue leakage occurs silently as customers disengage without formal notification.</w:t>
      </w:r>
    </w:p>
    <w:p>
      <w:pPr>
        <w:spacing w:after="80" w:before="60"/>
      </w:pPr>
      <w:r>
        <w:rPr>
          <w:rFonts w:ascii="Calibri" w:cs="Calibri" w:eastAsia="Calibri" w:hAnsi="Calibri"/>
          <w:color w:val="1F2937"/>
          <w:sz w:val="22"/>
          <w:szCs w:val="22"/>
        </w:rPr>
        <w:t xml:space="preserve">Traditional CRM systems record churn retrospectively: they update status fields after cancellation has been confirmed, by which point retention intervention is no longer possible. There was no proactive signal to identify at-risk accounts before they crossed the point of no return.</w:t>
      </w:r>
    </w:p>
    <w:p>
      <w:pPr>
        <w:pStyle w:val="Heading2"/>
        <w:spacing w:after="80" w:before="240"/>
      </w:pPr>
      <w:r>
        <w:rPr>
          <w:rFonts w:ascii="Calibri" w:cs="Calibri" w:eastAsia="Calibri" w:hAnsi="Calibri"/>
          <w:b/>
          <w:bCs/>
          <w:color w:val="028090"/>
          <w:sz w:val="28"/>
          <w:szCs w:val="28"/>
        </w:rPr>
        <w:t xml:space="preserve">2.2 Objectives</w:t>
      </w:r>
    </w:p>
    <w:p>
      <w:pPr>
        <w:pStyle w:val="ListParagraph"/>
        <w:numPr>
          <w:ilvl w:val="0"/>
          <w:numId w:val="2"/>
        </w:numPr>
        <w:spacing w:after="40" w:before="40"/>
      </w:pPr>
      <w:r>
        <w:rPr>
          <w:rFonts w:ascii="Calibri" w:cs="Calibri" w:eastAsia="Calibri" w:hAnsi="Calibri"/>
          <w:color w:val="374151"/>
          <w:sz w:val="22"/>
          <w:szCs w:val="22"/>
        </w:rPr>
        <w:t xml:space="preserve">Build a binary classifier to predict which customers will churn in the post-renewal window, trained exclusively on pre-renewal behavioural data.</w:t>
      </w:r>
    </w:p>
    <w:p>
      <w:pPr>
        <w:pStyle w:val="ListParagraph"/>
        <w:numPr>
          <w:ilvl w:val="0"/>
          <w:numId w:val="2"/>
        </w:numPr>
        <w:spacing w:after="40" w:before="40"/>
      </w:pPr>
      <w:r>
        <w:rPr>
          <w:rFonts w:ascii="Calibri" w:cs="Calibri" w:eastAsia="Calibri" w:hAnsi="Calibri"/>
          <w:color w:val="374151"/>
          <w:sz w:val="22"/>
          <w:szCs w:val="22"/>
        </w:rPr>
        <w:t xml:space="preserve">Identify the key financial, behavioural, and historical drivers of post-renewal churn.</w:t>
      </w:r>
    </w:p>
    <w:p>
      <w:pPr>
        <w:pStyle w:val="ListParagraph"/>
        <w:numPr>
          <w:ilvl w:val="0"/>
          <w:numId w:val="2"/>
        </w:numPr>
        <w:spacing w:after="40" w:before="40"/>
      </w:pPr>
      <w:r>
        <w:rPr>
          <w:rFonts w:ascii="Calibri" w:cs="Calibri" w:eastAsia="Calibri" w:hAnsi="Calibri"/>
          <w:color w:val="374151"/>
          <w:sz w:val="22"/>
          <w:szCs w:val="22"/>
        </w:rPr>
        <w:t xml:space="preserve">Validate 20 business hypotheses using rigorous inferential statistics (t-tests and chi-square tests).</w:t>
      </w:r>
    </w:p>
    <w:p>
      <w:pPr>
        <w:pStyle w:val="ListParagraph"/>
        <w:numPr>
          <w:ilvl w:val="0"/>
          <w:numId w:val="2"/>
        </w:numPr>
        <w:spacing w:after="40" w:before="40"/>
      </w:pPr>
      <w:r>
        <w:rPr>
          <w:rFonts w:ascii="Calibri" w:cs="Calibri" w:eastAsia="Calibri" w:hAnsi="Calibri"/>
          <w:color w:val="374151"/>
          <w:sz w:val="22"/>
          <w:szCs w:val="22"/>
        </w:rPr>
        <w:t xml:space="preserve">Deliver a clean, leakage-free feature set deployable in real-time CRM workflows.</w:t>
      </w:r>
    </w:p>
    <w:p>
      <w:pPr>
        <w:pStyle w:val="ListParagraph"/>
        <w:numPr>
          <w:ilvl w:val="0"/>
          <w:numId w:val="2"/>
        </w:numPr>
        <w:spacing w:after="40" w:before="40"/>
      </w:pPr>
      <w:r>
        <w:rPr>
          <w:rFonts w:ascii="Calibri" w:cs="Calibri" w:eastAsia="Calibri" w:hAnsi="Calibri"/>
          <w:color w:val="374151"/>
          <w:sz w:val="22"/>
          <w:szCs w:val="22"/>
        </w:rPr>
        <w:t xml:space="preserve">Provide per-feature explanations rooted in business interpretation, not just model coefficients.</w:t>
      </w:r>
    </w:p>
    <w:p>
      <w:pPr>
        <w:pStyle w:val="Heading2"/>
        <w:spacing w:after="80" w:before="240"/>
      </w:pPr>
      <w:r>
        <w:rPr>
          <w:rFonts w:ascii="Calibri" w:cs="Calibri" w:eastAsia="Calibri" w:hAnsi="Calibri"/>
          <w:b/>
          <w:bCs/>
          <w:color w:val="028090"/>
          <w:sz w:val="28"/>
          <w:szCs w:val="28"/>
        </w:rPr>
        <w:t xml:space="preserve">2.3 Target Variable Definition</w:t>
      </w:r>
    </w:p>
    <w:p>
      <w:pPr>
        <w:spacing w:after="80" w:before="60"/>
      </w:pPr>
      <w:r>
        <w:rPr>
          <w:rFonts w:ascii="Calibri" w:cs="Calibri" w:eastAsia="Calibri" w:hAnsi="Calibri"/>
          <w:color w:val="1F2937"/>
          <w:sz w:val="22"/>
          <w:szCs w:val="22"/>
        </w:rPr>
        <w:t xml:space="preserve">The churn label was constructed using the following deterministic logic applied to the prospect_outcome field in the billing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prospect_outcome</w:t>
            </w:r>
          </w:p>
        </w:tc>
        <w:tc>
          <w:tcPr>
            <w:tcW w:type="dxa" w:w="234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churn_label</w:t>
            </w:r>
          </w:p>
        </w:tc>
        <w:tc>
          <w:tcPr>
            <w:tcW w:type="dxa" w:w="468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Business Interpretation</w:t>
            </w:r>
          </w:p>
        </w:tc>
      </w:tr>
      <w:tr>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'won'</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0</w:t>
            </w:r>
          </w:p>
        </w:tc>
        <w:tc>
          <w:tcPr>
            <w:tcW w:type="dxa" w:w="46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Customer renewed — confirmed retained.</w:t>
            </w:r>
          </w:p>
        </w:tc>
      </w:tr>
      <w:tr>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'churned'</w:t>
            </w:r>
          </w:p>
        </w:tc>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1</w:t>
            </w:r>
          </w:p>
        </w:tc>
        <w:tc>
          <w:tcPr>
            <w:tcW w:type="dxa" w:w="46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Customer explicitly cancelled — confirmed churned.</w:t>
            </w:r>
          </w:p>
        </w:tc>
      </w:tr>
      <w:tr>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'open' + post-renewal call ≤28 days</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1</w:t>
            </w:r>
          </w:p>
        </w:tc>
        <w:tc>
          <w:tcPr>
            <w:tcW w:type="dxa" w:w="46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4-week proxy: contacting support post-renewal signals intent to leave.</w:t>
            </w:r>
          </w:p>
        </w:tc>
      </w:tr>
      <w:tr>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'open' (no contact)</w:t>
            </w:r>
          </w:p>
        </w:tc>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NaN</w:t>
            </w:r>
          </w:p>
        </w:tc>
        <w:tc>
          <w:tcPr>
            <w:tcW w:type="dxa" w:w="46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Ambiguous — excluded from training data.</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6"/>
              <w:left w:val="single" w:color="028090" w:sz="24"/>
              <w:bottom w:val="single" w:color="028090" w:sz="6"/>
              <w:right w:val="single" w:color="028090" w:sz="6"/>
            </w:tcBorders>
            <w:shd w:fill="F5F7FA" w:val="clear"/>
            <w:tcMar>
              <w:top w:type="dxa" w:w="80"/>
              <w:left w:type="dxa" w:w="120"/>
              <w:bottom w:type="dxa" w:w="80"/>
              <w:right w:type="dxa" w:w="120"/>
            </w:tcMar>
          </w:tcPr>
          <w:p>
            <w:r>
              <w:rPr>
                <w:rFonts w:ascii="Calibri" w:cs="Calibri" w:eastAsia="Calibri" w:hAnsi="Calibri"/>
                <w:b/>
                <w:bCs/>
                <w:color w:val="028090"/>
                <w:sz w:val="22"/>
                <w:szCs w:val="22"/>
              </w:rPr>
              <w:t xml:space="preserve">4-Week Proxy Rationale</w:t>
            </w:r>
          </w:p>
          <w:p>
            <w:pPr>
              <w:spacing w:before="40"/>
            </w:pPr>
            <w:r>
              <w:rPr>
                <w:rFonts w:ascii="Calibri" w:cs="Calibri" w:eastAsia="Calibri" w:hAnsi="Calibri"/>
                <w:color w:val="374151"/>
                <w:sz w:val="21"/>
                <w:szCs w:val="21"/>
              </w:rPr>
              <w:t xml:space="preserve">The 28-day window was selected based on domain knowledge: payment processing typically completes within 2-3 weeks of the renewal date. A customer contacting Customer Care within this window without confirming renewal is a reliable signal of at-risk status. This rule converts 8,096 ambiguous 'open' accounts, labelling those with post-renewal contact as churned and excluding the remainder.</w:t>
            </w:r>
          </w:p>
        </w:tc>
      </w:tr>
    </w:tbl>
    <w:p>
      <w:r>
        <w:br/>
      </w:r>
    </w:p>
    <w:p>
      <w:pPr>
        <w:pStyle w:val="Heading1"/>
        <w:spacing w:after="120" w:before="360"/>
      </w:pPr>
      <w:r>
        <w:rPr>
          <w:rFonts w:ascii="Calibri" w:cs="Calibri" w:eastAsia="Calibri" w:hAnsi="Calibri"/>
          <w:b/>
          <w:bCs/>
          <w:color w:val="0D1B4B"/>
          <w:sz w:val="36"/>
          <w:szCs w:val="36"/>
        </w:rPr>
        <w:t xml:space="preserve">3. Data Pipeline &amp; Sources</w:t>
      </w:r>
    </w:p>
    <w:p>
      <w:pPr>
        <w:pBdr>
          <w:bottom w:val="single" w:color="028090" w:sz="6" w:space="1"/>
        </w:pBdr>
        <w:spacing w:after="120" w:before="120"/>
      </w:pPr>
    </w:p>
    <w:p>
      <w:pPr>
        <w:pStyle w:val="Heading2"/>
        <w:spacing w:after="80" w:before="240"/>
      </w:pPr>
      <w:r>
        <w:rPr>
          <w:rFonts w:ascii="Calibri" w:cs="Calibri" w:eastAsia="Calibri" w:hAnsi="Calibri"/>
          <w:b/>
          <w:bCs/>
          <w:color w:val="028090"/>
          <w:sz w:val="28"/>
          <w:szCs w:val="28"/>
        </w:rPr>
        <w:t xml:space="preserve">3.1 Raw Data Sources</w:t>
      </w:r>
    </w:p>
    <w:p>
      <w:pPr>
        <w:spacing w:after="80" w:before="60"/>
      </w:pPr>
      <w:r>
        <w:rPr>
          <w:rFonts w:ascii="Calibri" w:cs="Calibri" w:eastAsia="Calibri" w:hAnsi="Calibri"/>
          <w:color w:val="1F2937"/>
          <w:sz w:val="22"/>
          <w:szCs w:val="22"/>
        </w:rPr>
        <w:t xml:space="preserve">Four primary CSV data sources were ingested from Azure Blob Storage into Databricks via the nb_data_ingestion.ipynb notebook, with columns normalised to snake_case upon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170"/>
        <w:gridCol w:w="4290"/>
      </w:tblGrid>
      <w:tr>
        <w:trPr>
          <w:tblHeader/>
        </w:trPr>
        <w:tc>
          <w:tcPr>
            <w:tcW w:type="dxa" w:w="234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Source</w:t>
            </w:r>
          </w:p>
        </w:tc>
        <w:tc>
          <w:tcPr>
            <w:tcW w:type="dxa" w:w="156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Raw Rows</w:t>
            </w:r>
          </w:p>
        </w:tc>
        <w:tc>
          <w:tcPr>
            <w:tcW w:type="dxa" w:w="117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Columns</w:t>
            </w:r>
          </w:p>
        </w:tc>
        <w:tc>
          <w:tcPr>
            <w:tcW w:type="dxa" w:w="429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billings.csv</w:t>
            </w:r>
          </w:p>
        </w:tc>
        <w:tc>
          <w:tcPr>
            <w:tcW w:type="dxa" w:w="15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122,082</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59</w:t>
            </w:r>
          </w:p>
        </w:tc>
        <w:tc>
          <w:tcPr>
            <w:tcW w:type="dxa" w:w="429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Customer master: subscription details, financial terms, renewal dates, CRM status flags</w:t>
            </w:r>
          </w:p>
        </w:tc>
      </w:tr>
      <w:tr>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cc_calls.csv</w:t>
            </w:r>
          </w:p>
        </w:tc>
        <w:tc>
          <w:tcPr>
            <w:tcW w:type="dxa" w:w="156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32,000</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25</w:t>
            </w:r>
          </w:p>
        </w:tc>
        <w:tc>
          <w:tcPr>
            <w:tcW w:type="dxa" w:w="429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Customer Care interaction logs with NLP-extracted sentiment and complaint category flags</w:t>
            </w:r>
          </w:p>
        </w:tc>
      </w:tr>
      <w:tr>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renewal_calls.csv</w:t>
            </w:r>
          </w:p>
        </w:tc>
        <w:tc>
          <w:tcPr>
            <w:tcW w:type="dxa" w:w="15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186,000</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28</w:t>
            </w:r>
          </w:p>
        </w:tc>
        <w:tc>
          <w:tcPr>
            <w:tcW w:type="dxa" w:w="429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Renewal call transcripts with 30+ NLP-parsed conversational features per call</w:t>
            </w:r>
          </w:p>
        </w:tc>
      </w:tr>
      <w:tr>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emails.csv</w:t>
            </w:r>
          </w:p>
        </w:tc>
        <w:tc>
          <w:tcPr>
            <w:tcW w:type="dxa" w:w="156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~30K</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w:t>
            </w:r>
          </w:p>
        </w:tc>
        <w:tc>
          <w:tcPr>
            <w:tcW w:type="dxa" w:w="429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Supplementary engagement data (used for context, not in final model)</w:t>
            </w:r>
          </w:p>
        </w:tc>
      </w:tr>
    </w:tbl>
    <w:p>
      <w:pPr>
        <w:pStyle w:val="Heading2"/>
        <w:spacing w:after="80" w:before="240"/>
      </w:pPr>
      <w:r>
        <w:rPr>
          <w:rFonts w:ascii="Calibri" w:cs="Calibri" w:eastAsia="Calibri" w:hAnsi="Calibri"/>
          <w:b/>
          <w:bCs/>
          <w:color w:val="028090"/>
          <w:sz w:val="28"/>
          <w:szCs w:val="28"/>
        </w:rPr>
        <w:t xml:space="preserve">3.2 Billing Data Cleaning (nb_data_clean_billings.ipynb)</w:t>
      </w:r>
    </w:p>
    <w:p>
      <w:pPr>
        <w:pStyle w:val="ListParagraph"/>
        <w:numPr>
          <w:ilvl w:val="0"/>
          <w:numId w:val="2"/>
        </w:numPr>
        <w:spacing w:after="40" w:before="40"/>
      </w:pPr>
      <w:r>
        <w:rPr>
          <w:rFonts w:ascii="Calibri" w:cs="Calibri" w:eastAsia="Calibri" w:hAnsi="Calibri"/>
          <w:color w:val="374151"/>
          <w:sz w:val="22"/>
          <w:szCs w:val="22"/>
        </w:rPr>
        <w:t xml:space="preserve">Column normalisation: Regex-based function converts all column names to lowercase snake_case (e.g. '#_of_Connection' → 'of_connection').</w:t>
      </w:r>
    </w:p>
    <w:p>
      <w:pPr>
        <w:pStyle w:val="ListParagraph"/>
        <w:numPr>
          <w:ilvl w:val="0"/>
          <w:numId w:val="2"/>
        </w:numPr>
        <w:spacing w:after="40" w:before="40"/>
      </w:pPr>
      <w:r>
        <w:rPr>
          <w:rFonts w:ascii="Calibri" w:cs="Calibri" w:eastAsia="Calibri" w:hAnsi="Calibri"/>
          <w:color w:val="374151"/>
          <w:sz w:val="22"/>
          <w:szCs w:val="22"/>
        </w:rPr>
        <w:t xml:space="preserve">Data type correction: Date strings parsed to datetime64; boolean-text columns ('y/n/true/false') mapped to integer 1/0; percentage strings stripped and cast to float.</w:t>
      </w:r>
    </w:p>
    <w:p>
      <w:pPr>
        <w:pStyle w:val="ListParagraph"/>
        <w:numPr>
          <w:ilvl w:val="0"/>
          <w:numId w:val="2"/>
        </w:numPr>
        <w:spacing w:after="40" w:before="40"/>
      </w:pPr>
      <w:r>
        <w:rPr>
          <w:rFonts w:ascii="Calibri" w:cs="Calibri" w:eastAsia="Calibri" w:hAnsi="Calibri"/>
          <w:color w:val="374151"/>
          <w:sz w:val="22"/>
          <w:szCs w:val="22"/>
        </w:rPr>
        <w:t xml:space="preserve">Deduplication: Raw 122,082 rows reduced to 47,826 unique customers by sorting on prospect_renewal_date and datetime_out (ascending) and keeping the most recent record per co_ref.</w:t>
      </w:r>
    </w:p>
    <w:p>
      <w:pPr>
        <w:pStyle w:val="ListParagraph"/>
        <w:numPr>
          <w:ilvl w:val="0"/>
          <w:numId w:val="2"/>
        </w:numPr>
        <w:spacing w:after="40" w:before="40"/>
      </w:pPr>
      <w:r>
        <w:rPr>
          <w:rFonts w:ascii="Calibri" w:cs="Calibri" w:eastAsia="Calibri" w:hAnsi="Calibri"/>
          <w:color w:val="374151"/>
          <w:sz w:val="22"/>
          <w:szCs w:val="22"/>
        </w:rPr>
        <w:t xml:space="preserve">Post-renewal date filter: Rows where closed_date precedes prospect_renewal_date are removed (13,805 premature closures), yielding 34,021 clean post-renewal records across 37 columns.</w:t>
      </w:r>
    </w:p>
    <w:p>
      <w:pPr>
        <w:pStyle w:val="Heading2"/>
        <w:spacing w:after="80" w:before="240"/>
      </w:pPr>
      <w:r>
        <w:rPr>
          <w:rFonts w:ascii="Calibri" w:cs="Calibri" w:eastAsia="Calibri" w:hAnsi="Calibri"/>
          <w:b/>
          <w:bCs/>
          <w:color w:val="028090"/>
          <w:sz w:val="28"/>
          <w:szCs w:val="28"/>
        </w:rPr>
        <w:t xml:space="preserve">3.3 Customer Care Calls Cleaning (nb_data_clean_cc_calls.ipynb)</w:t>
      </w:r>
    </w:p>
    <w:p>
      <w:pPr>
        <w:pStyle w:val="ListParagraph"/>
        <w:numPr>
          <w:ilvl w:val="0"/>
          <w:numId w:val="2"/>
        </w:numPr>
        <w:spacing w:after="40" w:before="40"/>
      </w:pPr>
      <w:r>
        <w:rPr>
          <w:rFonts w:ascii="Calibri" w:cs="Calibri" w:eastAsia="Calibri" w:hAnsi="Calibri"/>
          <w:color w:val="374151"/>
          <w:sz w:val="22"/>
          <w:szCs w:val="22"/>
        </w:rPr>
        <w:t xml:space="preserve">INNER JOIN with billing master on co_ref filters to 31,208 CC records belonging to active customers.</w:t>
      </w:r>
    </w:p>
    <w:p>
      <w:pPr>
        <w:pStyle w:val="ListParagraph"/>
        <w:numPr>
          <w:ilvl w:val="0"/>
          <w:numId w:val="2"/>
        </w:numPr>
        <w:spacing w:after="40" w:before="40"/>
      </w:pPr>
      <w:r>
        <w:rPr>
          <w:rFonts w:ascii="Calibri" w:cs="Calibri" w:eastAsia="Calibri" w:hAnsi="Calibri"/>
          <w:color w:val="374151"/>
          <w:sz w:val="22"/>
          <w:szCs w:val="22"/>
        </w:rPr>
        <w:t xml:space="preserve">Boolean normalisation: A clean_messy_binary function maps free-text cells ('customer is struggling...') to canonical Yes/No/Unknown labels.</w:t>
      </w:r>
    </w:p>
    <w:p>
      <w:pPr>
        <w:pStyle w:val="ListParagraph"/>
        <w:numPr>
          <w:ilvl w:val="0"/>
          <w:numId w:val="2"/>
        </w:numPr>
        <w:spacing w:after="40" w:before="40"/>
      </w:pPr>
      <w:r>
        <w:rPr>
          <w:rFonts w:ascii="Calibri" w:cs="Calibri" w:eastAsia="Calibri" w:hAnsi="Calibri"/>
          <w:color w:val="374151"/>
          <w:sz w:val="22"/>
          <w:szCs w:val="22"/>
        </w:rPr>
        <w:t xml:space="preserve">CRITICAL — Historical Filter: Only CC calls where Call_Date ≤ Prospect_Renewal_Date are retained. This is the core data integrity rule preventing temporal leakage of post-churn complaint signals.</w:t>
      </w:r>
    </w:p>
    <w:p>
      <w:pPr>
        <w:pStyle w:val="ListParagraph"/>
        <w:numPr>
          <w:ilvl w:val="0"/>
          <w:numId w:val="2"/>
        </w:numPr>
        <w:spacing w:after="40" w:before="40"/>
      </w:pPr>
      <w:r>
        <w:rPr>
          <w:rFonts w:ascii="Calibri" w:cs="Calibri" w:eastAsia="Calibri" w:hAnsi="Calibri"/>
          <w:color w:val="374151"/>
          <w:sz w:val="22"/>
          <w:szCs w:val="22"/>
        </w:rPr>
        <w:t xml:space="preserve">Aggregation: Individual call rows collapsed to one row per customer using max aggregation across binary flags (1 if the customer ever had a 'Yes' for that flag). Output: embedded_cc_calls.csv with one row per customer and 22 binary feature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393" w:sz="6"/>
              <w:left w:val="single" w:color="E84393" w:sz="24"/>
              <w:bottom w:val="single" w:color="E84393" w:sz="6"/>
              <w:right w:val="single" w:color="E84393" w:sz="6"/>
            </w:tcBorders>
            <w:shd w:fill="F5F7FA" w:val="clear"/>
            <w:tcMar>
              <w:top w:type="dxa" w:w="80"/>
              <w:left w:type="dxa" w:w="120"/>
              <w:bottom w:type="dxa" w:w="80"/>
              <w:right w:type="dxa" w:w="120"/>
            </w:tcMar>
          </w:tcPr>
          <w:p>
            <w:r>
              <w:rPr>
                <w:rFonts w:ascii="Calibri" w:cs="Calibri" w:eastAsia="Calibri" w:hAnsi="Calibri"/>
                <w:b/>
                <w:bCs/>
                <w:color w:val="E84393"/>
                <w:sz w:val="22"/>
                <w:szCs w:val="22"/>
              </w:rPr>
              <w:t xml:space="preserve">Why the Historical Filter is Critical</w:t>
            </w:r>
          </w:p>
          <w:p>
            <w:pPr>
              <w:spacing w:before="40"/>
            </w:pPr>
            <w:r>
              <w:rPr>
                <w:rFonts w:ascii="Calibri" w:cs="Calibri" w:eastAsia="Calibri" w:hAnsi="Calibri"/>
                <w:color w:val="374151"/>
                <w:sz w:val="21"/>
                <w:szCs w:val="21"/>
              </w:rPr>
              <w:t xml:space="preserve">Allowing CC calls after the renewal date would create target leakage: a churned customer's complaint about cancellation would be used to predict... their cancellation. The temporal filter ensures only historical friction signals (complaints, sentiment, pricing concerns) recorded before the renewal decision are used as predictors.</w:t>
            </w:r>
          </w:p>
        </w:tc>
      </w:tr>
    </w:tbl>
    <w:p>
      <w:pPr>
        <w:pStyle w:val="Heading2"/>
        <w:spacing w:after="80" w:before="240"/>
      </w:pPr>
      <w:r>
        <w:rPr>
          <w:rFonts w:ascii="Calibri" w:cs="Calibri" w:eastAsia="Calibri" w:hAnsi="Calibri"/>
          <w:b/>
          <w:bCs/>
          <w:color w:val="028090"/>
          <w:sz w:val="28"/>
          <w:szCs w:val="28"/>
        </w:rPr>
        <w:t xml:space="preserve">3.4 Renewal Calls Cleaning (nb_data_clean_renewal_calls.ipynb)</w:t>
      </w:r>
    </w:p>
    <w:p>
      <w:pPr>
        <w:pStyle w:val="ListParagraph"/>
        <w:numPr>
          <w:ilvl w:val="0"/>
          <w:numId w:val="2"/>
        </w:numPr>
        <w:spacing w:after="40" w:before="40"/>
      </w:pPr>
      <w:r>
        <w:rPr>
          <w:rFonts w:ascii="Calibri" w:cs="Calibri" w:eastAsia="Calibri" w:hAnsi="Calibri"/>
          <w:color w:val="374151"/>
          <w:sz w:val="22"/>
          <w:szCs w:val="22"/>
        </w:rPr>
        <w:t xml:space="preserve">28 NLP-parsed conversational feature columns retained, covering pricing discussions, competitor mentions, sentiment, and renewal decisions.</w:t>
      </w:r>
    </w:p>
    <w:p>
      <w:pPr>
        <w:pStyle w:val="ListParagraph"/>
        <w:numPr>
          <w:ilvl w:val="0"/>
          <w:numId w:val="2"/>
        </w:numPr>
        <w:spacing w:after="40" w:before="40"/>
      </w:pPr>
      <w:r>
        <w:rPr>
          <w:rFonts w:ascii="Calibri" w:cs="Calibri" w:eastAsia="Calibri" w:hAnsi="Calibri"/>
          <w:color w:val="374151"/>
          <w:sz w:val="22"/>
          <w:szCs w:val="22"/>
        </w:rPr>
        <w:t xml:space="preserve">Null filling via groupby-mode: Missing values filled using the mode within groups defined by membership_renewal_decision, customer_renewal_response_category, and agent_response_category.</w:t>
      </w:r>
    </w:p>
    <w:p>
      <w:pPr>
        <w:pStyle w:val="ListParagraph"/>
        <w:numPr>
          <w:ilvl w:val="0"/>
          <w:numId w:val="2"/>
        </w:numPr>
        <w:spacing w:after="40" w:before="40"/>
      </w:pPr>
      <w:r>
        <w:rPr>
          <w:rFonts w:ascii="Calibri" w:cs="Calibri" w:eastAsia="Calibri" w:hAnsi="Calibri"/>
          <w:color w:val="374151"/>
          <w:sz w:val="22"/>
          <w:szCs w:val="22"/>
        </w:rPr>
        <w:t xml:space="preserve">Value standardisation: 300+ inconsistent free-text values mapped to clean canonical labels (e.g. 'Prompt 3: No' → 'No', 'UNAVAILABLE' → 'No', 'Better Value' → 'Safe').</w:t>
      </w:r>
    </w:p>
    <w:p>
      <w:pPr>
        <w:pStyle w:val="ListParagraph"/>
        <w:numPr>
          <w:ilvl w:val="0"/>
          <w:numId w:val="2"/>
        </w:numPr>
        <w:spacing w:after="40" w:before="40"/>
      </w:pPr>
      <w:r>
        <w:rPr>
          <w:rFonts w:ascii="Calibri" w:cs="Calibri" w:eastAsia="Calibri" w:hAnsi="Calibri"/>
          <w:color w:val="374151"/>
          <w:sz w:val="22"/>
          <w:szCs w:val="22"/>
        </w:rPr>
        <w:t xml:space="preserve">Integer encoding: All categorical columns encoded to integers for downstream join compatibility.</w:t>
      </w:r>
    </w:p>
    <w:p>
      <w:pPr>
        <w:pStyle w:val="ListParagraph"/>
        <w:numPr>
          <w:ilvl w:val="0"/>
          <w:numId w:val="2"/>
        </w:numPr>
        <w:spacing w:after="40" w:before="40"/>
      </w:pPr>
      <w:r>
        <w:rPr>
          <w:rFonts w:ascii="Calibri" w:cs="Calibri" w:eastAsia="Calibri" w:hAnsi="Calibri"/>
          <w:color w:val="374151"/>
          <w:sz w:val="22"/>
          <w:szCs w:val="22"/>
        </w:rPr>
        <w:t xml:space="preserve">WARNING: Despite high quality, many renewal call features capture stated intent (e.g. membership_renewal_decision, explicit_switching_intent) and constitute oracle leakage. These features are NOT joined to the model dataset.</w:t>
      </w:r>
    </w:p>
    <w:p>
      <w:r>
        <w:br/>
      </w:r>
    </w:p>
    <w:p>
      <w:pPr>
        <w:pStyle w:val="Heading1"/>
        <w:spacing w:after="120" w:before="360"/>
      </w:pPr>
      <w:r>
        <w:rPr>
          <w:rFonts w:ascii="Calibri" w:cs="Calibri" w:eastAsia="Calibri" w:hAnsi="Calibri"/>
          <w:b/>
          <w:bCs/>
          <w:color w:val="0D1B4B"/>
          <w:sz w:val="36"/>
          <w:szCs w:val="36"/>
        </w:rPr>
        <w:t xml:space="preserve">4. EDA, Joining Logic &amp; Target Assignment</w:t>
      </w:r>
    </w:p>
    <w:p>
      <w:pPr>
        <w:pBdr>
          <w:bottom w:val="single" w:color="028090" w:sz="6" w:space="1"/>
        </w:pBdr>
        <w:spacing w:after="120" w:before="120"/>
      </w:pPr>
    </w:p>
    <w:p>
      <w:pPr>
        <w:pStyle w:val="Heading2"/>
        <w:spacing w:after="80" w:before="240"/>
      </w:pPr>
      <w:r>
        <w:rPr>
          <w:rFonts w:ascii="Calibri" w:cs="Calibri" w:eastAsia="Calibri" w:hAnsi="Calibri"/>
          <w:b/>
          <w:bCs/>
          <w:color w:val="028090"/>
          <w:sz w:val="28"/>
          <w:szCs w:val="28"/>
        </w:rPr>
        <w:t xml:space="preserve">4.1 Master Join (3_1-eda.ipynb)</w:t>
      </w:r>
    </w:p>
    <w:p>
      <w:pPr>
        <w:spacing w:after="80" w:before="60"/>
      </w:pPr>
      <w:r>
        <w:rPr>
          <w:rFonts w:ascii="Calibri" w:cs="Calibri" w:eastAsia="Calibri" w:hAnsi="Calibri"/>
          <w:color w:val="1F2937"/>
          <w:sz w:val="22"/>
          <w:szCs w:val="22"/>
        </w:rPr>
        <w:t xml:space="preserve">The three cleaned datasets are assembled into a single master_df using the following join sequence:</w:t>
      </w:r>
    </w:p>
    <w:p>
      <w:pPr>
        <w:pStyle w:val="ListParagraph"/>
        <w:numPr>
          <w:ilvl w:val="0"/>
          <w:numId w:val="2"/>
        </w:numPr>
        <w:spacing w:after="40" w:before="40"/>
      </w:pPr>
      <w:r>
        <w:rPr>
          <w:rFonts w:ascii="Calibri" w:cs="Calibri" w:eastAsia="Calibri" w:hAnsi="Calibri"/>
          <w:color w:val="374151"/>
          <w:sz w:val="22"/>
          <w:szCs w:val="22"/>
        </w:rPr>
        <w:t xml:space="preserve">Billing master (df_billings) serves as the base table with 34,021 rows.</w:t>
      </w:r>
    </w:p>
    <w:p>
      <w:pPr>
        <w:pStyle w:val="ListParagraph"/>
        <w:numPr>
          <w:ilvl w:val="0"/>
          <w:numId w:val="2"/>
        </w:numPr>
        <w:spacing w:after="40" w:before="40"/>
      </w:pPr>
      <w:r>
        <w:rPr>
          <w:rFonts w:ascii="Calibri" w:cs="Calibri" w:eastAsia="Calibri" w:hAnsi="Calibri"/>
          <w:color w:val="374151"/>
          <w:sz w:val="22"/>
          <w:szCs w:val="22"/>
        </w:rPr>
        <w:t xml:space="preserve">Renewal calls: INNER JOIN on co_ref, filtered to keep only rows where call_date &gt; prospect_renewal_date. Produces 8,474 post-renewal call records (df_renewal_post).</w:t>
      </w:r>
    </w:p>
    <w:p>
      <w:pPr>
        <w:pStyle w:val="ListParagraph"/>
        <w:numPr>
          <w:ilvl w:val="0"/>
          <w:numId w:val="2"/>
        </w:numPr>
        <w:spacing w:after="40" w:before="40"/>
      </w:pPr>
      <w:r>
        <w:rPr>
          <w:rFonts w:ascii="Calibri" w:cs="Calibri" w:eastAsia="Calibri" w:hAnsi="Calibri"/>
          <w:color w:val="374151"/>
          <w:sz w:val="22"/>
          <w:szCs w:val="22"/>
        </w:rPr>
        <w:t xml:space="preserve">CC calls: LEFT JOIN on co_ref. Every customer in the billing master is preserved; customers with no CC call history receive NaN across all cc_ columns, filled with 0 (no complaint = no signal).</w:t>
      </w:r>
    </w:p>
    <w:p>
      <w:pPr>
        <w:pStyle w:val="ListParagraph"/>
        <w:numPr>
          <w:ilvl w:val="0"/>
          <w:numId w:val="2"/>
        </w:numPr>
        <w:spacing w:after="40" w:before="40"/>
      </w:pPr>
      <w:r>
        <w:rPr>
          <w:rFonts w:ascii="Calibri" w:cs="Calibri" w:eastAsia="Calibri" w:hAnsi="Calibri"/>
          <w:color w:val="374151"/>
          <w:sz w:val="22"/>
          <w:szCs w:val="22"/>
        </w:rPr>
        <w:t xml:space="preserve">Post-renewal call counts: Aggregated from df_renewal_post as post_renewal_call_count per customer.</w:t>
      </w:r>
    </w:p>
    <w:p>
      <w:pPr>
        <w:pStyle w:val="Heading2"/>
        <w:spacing w:after="80" w:before="240"/>
      </w:pPr>
      <w:r>
        <w:rPr>
          <w:rFonts w:ascii="Calibri" w:cs="Calibri" w:eastAsia="Calibri" w:hAnsi="Calibri"/>
          <w:b/>
          <w:bCs/>
          <w:color w:val="028090"/>
          <w:sz w:val="28"/>
          <w:szCs w:val="28"/>
        </w:rPr>
        <w:t xml:space="preserve">4.2 NaN Handling for CC Columns</w:t>
      </w:r>
    </w:p>
    <w:p>
      <w:pPr>
        <w:spacing w:after="80" w:before="60"/>
      </w:pPr>
      <w:r>
        <w:rPr>
          <w:rFonts w:ascii="Calibri" w:cs="Calibri" w:eastAsia="Calibri" w:hAnsi="Calibri"/>
          <w:color w:val="1F2937"/>
          <w:sz w:val="22"/>
          <w:szCs w:val="22"/>
        </w:rPr>
        <w:t xml:space="preserve">The LEFT JOIN produces NaN values for approximately 19,903 customers who never contacted Customer Care. These NaN values are intentional and carry meaning — they represent the silent majority with no historical complaint history. XGBoost natively handles NaN as a missing data signal. For export, all cc_ column NaNs are filled with 0 before saving model_dataset.csv.</w:t>
      </w:r>
    </w:p>
    <w:p>
      <w:pPr>
        <w:pStyle w:val="Heading2"/>
        <w:spacing w:after="80" w:before="240"/>
      </w:pPr>
      <w:r>
        <w:rPr>
          <w:rFonts w:ascii="Calibri" w:cs="Calibri" w:eastAsia="Calibri" w:hAnsi="Calibri"/>
          <w:b/>
          <w:bCs/>
          <w:color w:val="028090"/>
          <w:sz w:val="28"/>
          <w:szCs w:val="28"/>
        </w:rPr>
        <w:t xml:space="preserve">4.3 Class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950"/>
        <w:gridCol w:w="1950"/>
      </w:tblGrid>
      <w:tr>
        <w:trPr>
          <w:tblHeader/>
        </w:trPr>
        <w:tc>
          <w:tcPr>
            <w:tcW w:type="dxa" w:w="312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Class</w:t>
            </w:r>
          </w:p>
        </w:tc>
        <w:tc>
          <w:tcPr>
            <w:tcW w:type="dxa" w:w="234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Count</w:t>
            </w:r>
          </w:p>
        </w:tc>
        <w:tc>
          <w:tcPr>
            <w:tcW w:type="dxa" w:w="195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Percentage</w:t>
            </w:r>
          </w:p>
        </w:tc>
        <w:tc>
          <w:tcPr>
            <w:tcW w:type="dxa" w:w="195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Source</w:t>
            </w:r>
          </w:p>
        </w:tc>
      </w:tr>
      <w:tr>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Not Churned (0) — Won</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16,498</w:t>
            </w:r>
          </w:p>
        </w:tc>
        <w:tc>
          <w:tcPr>
            <w:tcW w:type="dxa" w:w="195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63.7%</w:t>
            </w:r>
          </w:p>
        </w:tc>
        <w:tc>
          <w:tcPr>
            <w:tcW w:type="dxa" w:w="195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prospect_outcome = 'won'</w:t>
            </w:r>
          </w:p>
        </w:tc>
      </w:tr>
      <w:tr>
        <w:tc>
          <w:tcPr>
            <w:tcW w:type="dxa" w:w="312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Churned (1)</w:t>
            </w:r>
          </w:p>
        </w:tc>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9,427</w:t>
            </w:r>
          </w:p>
        </w:tc>
        <w:tc>
          <w:tcPr>
            <w:tcW w:type="dxa" w:w="195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36.3%</w:t>
            </w:r>
          </w:p>
        </w:tc>
        <w:tc>
          <w:tcPr>
            <w:tcW w:type="dxa" w:w="195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Explicit churn + 4-week proxy</w:t>
            </w:r>
          </w:p>
        </w:tc>
      </w:tr>
      <w:tr>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Excluded (NaN)</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8,096</w:t>
            </w:r>
          </w:p>
        </w:tc>
        <w:tc>
          <w:tcPr>
            <w:tcW w:type="dxa" w:w="195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w:t>
            </w:r>
          </w:p>
        </w:tc>
        <w:tc>
          <w:tcPr>
            <w:tcW w:type="dxa" w:w="195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'open' with no post-renewal contact</w:t>
            </w:r>
          </w:p>
        </w:tc>
      </w:tr>
      <w:tr>
        <w:tc>
          <w:tcPr>
            <w:tcW w:type="dxa" w:w="312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Total labelled</w:t>
            </w:r>
          </w:p>
        </w:tc>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25,925</w:t>
            </w:r>
          </w:p>
        </w:tc>
        <w:tc>
          <w:tcPr>
            <w:tcW w:type="dxa" w:w="195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100%</w:t>
            </w:r>
          </w:p>
        </w:tc>
        <w:tc>
          <w:tcPr>
            <w:tcW w:type="dxa" w:w="195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Training dataset</w:t>
            </w:r>
          </w:p>
        </w:tc>
      </w:tr>
    </w:tbl>
    <w:p>
      <w:r>
        <w:br/>
      </w:r>
    </w:p>
    <w:p>
      <w:pPr>
        <w:pStyle w:val="Heading1"/>
        <w:spacing w:after="120" w:before="360"/>
      </w:pPr>
      <w:r>
        <w:rPr>
          <w:rFonts w:ascii="Calibri" w:cs="Calibri" w:eastAsia="Calibri" w:hAnsi="Calibri"/>
          <w:b/>
          <w:bCs/>
          <w:color w:val="0D1B4B"/>
          <w:sz w:val="36"/>
          <w:szCs w:val="36"/>
        </w:rPr>
        <w:t xml:space="preserve">5. Hypothesis Testing &amp; Feature Selection</w:t>
      </w:r>
    </w:p>
    <w:p>
      <w:pPr>
        <w:pBdr>
          <w:bottom w:val="single" w:color="028090" w:sz="6" w:space="1"/>
        </w:pBdr>
        <w:spacing w:after="120" w:before="120"/>
      </w:pPr>
    </w:p>
    <w:p>
      <w:pPr>
        <w:pStyle w:val="Heading2"/>
        <w:spacing w:after="80" w:before="240"/>
      </w:pPr>
      <w:r>
        <w:rPr>
          <w:rFonts w:ascii="Calibri" w:cs="Calibri" w:eastAsia="Calibri" w:hAnsi="Calibri"/>
          <w:b/>
          <w:bCs/>
          <w:color w:val="028090"/>
          <w:sz w:val="28"/>
          <w:szCs w:val="28"/>
        </w:rPr>
        <w:t xml:space="preserve">5.1 Statistical Methodology</w:t>
      </w:r>
    </w:p>
    <w:p>
      <w:pPr>
        <w:spacing w:after="80" w:before="60"/>
      </w:pPr>
      <w:r>
        <w:rPr>
          <w:rFonts w:ascii="Calibri" w:cs="Calibri" w:eastAsia="Calibri" w:hAnsi="Calibri"/>
          <w:color w:val="1F2937"/>
          <w:sz w:val="22"/>
          <w:szCs w:val="22"/>
        </w:rPr>
        <w:t xml:space="preserve">Two statistical tests were applied to the 69-column EDA dataset at a standard alpha threshold of p &lt; 0.05:</w:t>
      </w:r>
    </w:p>
    <w:p>
      <w:pPr>
        <w:pStyle w:val="ListParagraph"/>
        <w:numPr>
          <w:ilvl w:val="0"/>
          <w:numId w:val="2"/>
        </w:numPr>
        <w:spacing w:after="40" w:before="40"/>
      </w:pPr>
      <w:r>
        <w:rPr>
          <w:rFonts w:ascii="Calibri" w:cs="Calibri" w:eastAsia="Calibri" w:hAnsi="Calibri"/>
          <w:color w:val="374151"/>
          <w:sz w:val="22"/>
          <w:szCs w:val="22"/>
        </w:rPr>
        <w:t xml:space="preserve">Numerical features: Independent T-Test (Welch's t-test with equal_var=False), comparing the distribution of each numeric feature between the churned (label=1) and retained (label=0) groups.</w:t>
      </w:r>
    </w:p>
    <w:p>
      <w:pPr>
        <w:pStyle w:val="ListParagraph"/>
        <w:numPr>
          <w:ilvl w:val="0"/>
          <w:numId w:val="2"/>
        </w:numPr>
        <w:spacing w:after="40" w:before="40"/>
      </w:pPr>
      <w:r>
        <w:rPr>
          <w:rFonts w:ascii="Calibri" w:cs="Calibri" w:eastAsia="Calibri" w:hAnsi="Calibri"/>
          <w:color w:val="374151"/>
          <w:sz w:val="22"/>
          <w:szCs w:val="22"/>
        </w:rPr>
        <w:t xml:space="preserve">Categorical and binary flag features: Chi-Square Test of Independence, testing whether the frequency distribution of each categorical variable differs significantly between churned and retained groups.</w:t>
      </w:r>
    </w:p>
    <w:p>
      <w:pPr>
        <w:pStyle w:val="Heading2"/>
        <w:spacing w:after="80" w:before="240"/>
      </w:pPr>
      <w:r>
        <w:rPr>
          <w:rFonts w:ascii="Calibri" w:cs="Calibri" w:eastAsia="Calibri" w:hAnsi="Calibri"/>
          <w:b/>
          <w:bCs/>
          <w:color w:val="028090"/>
          <w:sz w:val="28"/>
          <w:szCs w:val="28"/>
        </w:rPr>
        <w:t xml:space="preserve">5.2 The 20 Validated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3900"/>
        <w:gridCol w:w="1170"/>
        <w:gridCol w:w="1170"/>
      </w:tblGrid>
      <w:tr>
        <w:trPr>
          <w:tblHeader/>
        </w:trPr>
        <w:tc>
          <w:tcPr>
            <w:tcW w:type="dxa" w:w="78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ID</w:t>
            </w:r>
          </w:p>
        </w:tc>
        <w:tc>
          <w:tcPr>
            <w:tcW w:type="dxa" w:w="234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Variable</w:t>
            </w:r>
          </w:p>
        </w:tc>
        <w:tc>
          <w:tcPr>
            <w:tcW w:type="dxa" w:w="390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Hypothesis</w:t>
            </w:r>
          </w:p>
        </w:tc>
        <w:tc>
          <w:tcPr>
            <w:tcW w:type="dxa" w:w="117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Test</w:t>
            </w:r>
          </w:p>
        </w:tc>
        <w:tc>
          <w:tcPr>
            <w:tcW w:type="dxa" w:w="117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Domain</w:t>
            </w:r>
          </w:p>
        </w:tc>
      </w:tr>
      <w:tr>
        <w:tc>
          <w:tcPr>
            <w:tcW w:type="dxa" w:w="7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H1</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sustainability_score</w:t>
            </w:r>
          </w:p>
        </w:tc>
        <w:tc>
          <w:tcPr>
            <w:tcW w:type="dxa" w:w="39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High sustainability scores reduce churn</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t-test</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Account</w:t>
            </w:r>
          </w:p>
        </w:tc>
      </w:tr>
      <w:tr>
        <w:tc>
          <w:tcPr>
            <w:tcW w:type="dxa" w:w="7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H2</w:t>
            </w:r>
          </w:p>
        </w:tc>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auto_renewal_score</w:t>
            </w:r>
          </w:p>
        </w:tc>
        <w:tc>
          <w:tcPr>
            <w:tcW w:type="dxa" w:w="390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Auto renewal score significantly impacts churn</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chi-sq</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Renewal</w:t>
            </w:r>
          </w:p>
        </w:tc>
      </w:tr>
      <w:tr>
        <w:tc>
          <w:tcPr>
            <w:tcW w:type="dxa" w:w="7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H3</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tenure_years</w:t>
            </w:r>
          </w:p>
        </w:tc>
        <w:tc>
          <w:tcPr>
            <w:tcW w:type="dxa" w:w="39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Customer loyalty (tenure) reduces churn</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t-test</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Loyalty</w:t>
            </w:r>
          </w:p>
        </w:tc>
      </w:tr>
      <w:tr>
        <w:tc>
          <w:tcPr>
            <w:tcW w:type="dxa" w:w="7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H4</w:t>
            </w:r>
          </w:p>
        </w:tc>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of_connection</w:t>
            </w:r>
          </w:p>
        </w:tc>
        <w:tc>
          <w:tcPr>
            <w:tcW w:type="dxa" w:w="390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Account complexity (connections) reduces churn</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t-test</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Engagement</w:t>
            </w:r>
          </w:p>
        </w:tc>
      </w:tr>
      <w:tr>
        <w:tc>
          <w:tcPr>
            <w:tcW w:type="dxa" w:w="7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H5</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any_serious_complaint</w:t>
            </w:r>
          </w:p>
        </w:tc>
        <w:tc>
          <w:tcPr>
            <w:tcW w:type="dxa" w:w="39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Serious complaints lead to churn</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chi-sq</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Complaints</w:t>
            </w:r>
          </w:p>
        </w:tc>
      </w:tr>
      <w:tr>
        <w:tc>
          <w:tcPr>
            <w:tcW w:type="dxa" w:w="7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H6</w:t>
            </w:r>
          </w:p>
        </w:tc>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ren_avg_sentiment</w:t>
            </w:r>
          </w:p>
        </w:tc>
        <w:tc>
          <w:tcPr>
            <w:tcW w:type="dxa" w:w="390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Negative call sentiment increases churn risk</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t-test</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Sentiment</w:t>
            </w:r>
          </w:p>
        </w:tc>
      </w:tr>
      <w:tr>
        <w:tc>
          <w:tcPr>
            <w:tcW w:type="dxa" w:w="7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H7</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discount_requested</w:t>
            </w:r>
          </w:p>
        </w:tc>
        <w:tc>
          <w:tcPr>
            <w:tcW w:type="dxa" w:w="39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Discount requests linked to churn sensitivity</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chi-sq</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Pricing</w:t>
            </w:r>
          </w:p>
        </w:tc>
      </w:tr>
      <w:tr>
        <w:tc>
          <w:tcPr>
            <w:tcW w:type="dxa" w:w="7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H8</w:t>
            </w:r>
          </w:p>
        </w:tc>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desire_to_cancel</w:t>
            </w:r>
          </w:p>
        </w:tc>
        <w:tc>
          <w:tcPr>
            <w:tcW w:type="dxa" w:w="390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Expressed desire to cancel is a strong churn predictor</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chi-sq</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Intent</w:t>
            </w:r>
          </w:p>
        </w:tc>
      </w:tr>
      <w:tr>
        <w:tc>
          <w:tcPr>
            <w:tcW w:type="dxa" w:w="7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H9</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Gross</w:t>
            </w:r>
          </w:p>
        </w:tc>
        <w:tc>
          <w:tcPr>
            <w:tcW w:type="dxa" w:w="39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High-value customers have different churn behaviours</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t-test</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Revenue</w:t>
            </w:r>
          </w:p>
        </w:tc>
      </w:tr>
      <w:tr>
        <w:tc>
          <w:tcPr>
            <w:tcW w:type="dxa" w:w="7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H10</w:t>
            </w:r>
          </w:p>
        </w:tc>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price_change_pct</w:t>
            </w:r>
          </w:p>
        </w:tc>
        <w:tc>
          <w:tcPr>
            <w:tcW w:type="dxa" w:w="390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Large price hikes increase churn risk</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t-test</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Pricing</w:t>
            </w:r>
          </w:p>
        </w:tc>
      </w:tr>
      <w:tr>
        <w:tc>
          <w:tcPr>
            <w:tcW w:type="dxa" w:w="7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H11</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connection_group</w:t>
            </w:r>
          </w:p>
        </w:tc>
        <w:tc>
          <w:tcPr>
            <w:tcW w:type="dxa" w:w="39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Connection group determines churn baseline</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chi-sq</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Segmentation</w:t>
            </w:r>
          </w:p>
        </w:tc>
      </w:tr>
      <w:tr>
        <w:tc>
          <w:tcPr>
            <w:tcW w:type="dxa" w:w="7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H12</w:t>
            </w:r>
          </w:p>
        </w:tc>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ren_any_price_discussion</w:t>
            </w:r>
          </w:p>
        </w:tc>
        <w:tc>
          <w:tcPr>
            <w:tcW w:type="dxa" w:w="390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Discussion on price increase triggers churn</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chi-sq</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Pricing</w:t>
            </w:r>
          </w:p>
        </w:tc>
      </w:tr>
      <w:tr>
        <w:tc>
          <w:tcPr>
            <w:tcW w:type="dxa" w:w="7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H13</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ren_any_competitor_mention</w:t>
            </w:r>
          </w:p>
        </w:tc>
        <w:tc>
          <w:tcPr>
            <w:tcW w:type="dxa" w:w="39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Competitor mentions are a critical switch indicator</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chi-sq</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Competition</w:t>
            </w:r>
          </w:p>
        </w:tc>
      </w:tr>
      <w:tr>
        <w:tc>
          <w:tcPr>
            <w:tcW w:type="dxa" w:w="7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H14</w:t>
            </w:r>
          </w:p>
        </w:tc>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payment_method</w:t>
            </w:r>
          </w:p>
        </w:tc>
        <w:tc>
          <w:tcPr>
            <w:tcW w:type="dxa" w:w="390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Presence of payment method reduces churn exit</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chi-sq</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Finance</w:t>
            </w:r>
          </w:p>
        </w:tc>
      </w:tr>
      <w:tr>
        <w:tc>
          <w:tcPr>
            <w:tcW w:type="dxa" w:w="7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H15</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status_scores</w:t>
            </w:r>
          </w:p>
        </w:tc>
        <w:tc>
          <w:tcPr>
            <w:tcW w:type="dxa" w:w="39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Performance scores correlate with retention</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t-test</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Account</w:t>
            </w:r>
          </w:p>
        </w:tc>
      </w:tr>
      <w:tr>
        <w:tc>
          <w:tcPr>
            <w:tcW w:type="dxa" w:w="7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H16</w:t>
            </w:r>
          </w:p>
        </w:tc>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anchoring_score</w:t>
            </w:r>
          </w:p>
        </w:tc>
        <w:tc>
          <w:tcPr>
            <w:tcW w:type="dxa" w:w="390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Higher anchorings result in higher stickiness</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t-test</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Engagement</w:t>
            </w:r>
          </w:p>
        </w:tc>
      </w:tr>
      <w:tr>
        <w:tc>
          <w:tcPr>
            <w:tcW w:type="dxa" w:w="7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H17</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payment_timeframe</w:t>
            </w:r>
          </w:p>
        </w:tc>
        <w:tc>
          <w:tcPr>
            <w:tcW w:type="dxa" w:w="39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Payment reliability relates to churn potential</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t-test</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Finance</w:t>
            </w:r>
          </w:p>
        </w:tc>
      </w:tr>
      <w:tr>
        <w:tc>
          <w:tcPr>
            <w:tcW w:type="dxa" w:w="7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H18</w:t>
            </w:r>
          </w:p>
        </w:tc>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cc_call_count</w:t>
            </w:r>
          </w:p>
        </w:tc>
        <w:tc>
          <w:tcPr>
            <w:tcW w:type="dxa" w:w="390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Higher CC call engagement reduces silent churn</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t-test</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Engagement</w:t>
            </w:r>
          </w:p>
        </w:tc>
      </w:tr>
      <w:tr>
        <w:tc>
          <w:tcPr>
            <w:tcW w:type="dxa" w:w="7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H19</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cc_any_complaint</w:t>
            </w:r>
          </w:p>
        </w:tc>
        <w:tc>
          <w:tcPr>
            <w:tcW w:type="dxa" w:w="39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CC complaints are early churn warning signs</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chi-sq</w:t>
            </w:r>
          </w:p>
        </w:tc>
        <w:tc>
          <w:tcPr>
            <w:tcW w:type="dxa" w:w="11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Complaints</w:t>
            </w:r>
          </w:p>
        </w:tc>
      </w:tr>
      <w:tr>
        <w:tc>
          <w:tcPr>
            <w:tcW w:type="dxa" w:w="7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H20</w:t>
            </w:r>
          </w:p>
        </w:tc>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tenure_group</w:t>
            </w:r>
          </w:p>
        </w:tc>
        <w:tc>
          <w:tcPr>
            <w:tcW w:type="dxa" w:w="390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Tenure category affects long-term loyalty</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chi-sq</w:t>
            </w:r>
          </w:p>
        </w:tc>
        <w:tc>
          <w:tcPr>
            <w:tcW w:type="dxa" w:w="11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Loyalty</w:t>
            </w:r>
          </w:p>
        </w:tc>
      </w:tr>
    </w:tbl>
    <w:p>
      <w:pPr>
        <w:spacing w:after="80" w:before="120"/>
      </w:pPr>
      <w:r>
        <w:rPr>
          <w:rFonts w:ascii="Calibri" w:cs="Calibri" w:eastAsia="Calibri" w:hAnsi="Calibri"/>
          <w:color w:val="374151"/>
          <w:sz w:val="22"/>
          <w:szCs w:val="22"/>
        </w:rPr>
        <w:t xml:space="preserve">All 20 hypotheses passed the p &lt; 0.05 significance threshold, confirming their statistical relevance to the churn outcome.</w:t>
      </w:r>
    </w:p>
    <w:p>
      <w:pPr>
        <w:pStyle w:val="Heading2"/>
        <w:spacing w:after="80" w:before="240"/>
      </w:pPr>
      <w:r>
        <w:rPr>
          <w:rFonts w:ascii="Calibri" w:cs="Calibri" w:eastAsia="Calibri" w:hAnsi="Calibri"/>
          <w:b/>
          <w:bCs/>
          <w:color w:val="028090"/>
          <w:sz w:val="28"/>
          <w:szCs w:val="28"/>
        </w:rPr>
        <w:t xml:space="preserve">5.3 Features Removed as Statistically Insignificant</w:t>
      </w:r>
    </w:p>
    <w:p>
      <w:pPr>
        <w:spacing w:after="80" w:before="60"/>
      </w:pPr>
      <w:r>
        <w:rPr>
          <w:rFonts w:ascii="Calibri" w:cs="Calibri" w:eastAsia="Calibri" w:hAnsi="Calibri"/>
          <w:color w:val="1F2937"/>
          <w:sz w:val="22"/>
          <w:szCs w:val="22"/>
        </w:rPr>
        <w:t xml:space="preserve">7 numeric and 9 categorical features failed significance testing (p &gt; 0.05) and were marked for removal. These include: cc_questions_harder_than_expected_flag, cc_pricing_mentioned_flag, cc_dissatisfaction_time_to_complete_flag, cc_process_complexity_concerns_flag, cc_contractor_complained_flag, cc_chasing_response_flag, cc_call_initiated_by_flag, cc_platform_issues_flag, and cc_care_package_flag.</w:t>
      </w:r>
    </w:p>
    <w:p>
      <w:r>
        <w:br/>
      </w:r>
    </w:p>
    <w:p>
      <w:pPr>
        <w:pStyle w:val="Heading1"/>
        <w:spacing w:after="120" w:before="360"/>
      </w:pPr>
      <w:r>
        <w:rPr>
          <w:rFonts w:ascii="Calibri" w:cs="Calibri" w:eastAsia="Calibri" w:hAnsi="Calibri"/>
          <w:b/>
          <w:bCs/>
          <w:color w:val="0D1B4B"/>
          <w:sz w:val="36"/>
          <w:szCs w:val="36"/>
        </w:rPr>
        <w:t xml:space="preserve">6. Target Leakage Detection &amp; Prevention</w:t>
      </w:r>
    </w:p>
    <w:p>
      <w:pPr>
        <w:pBdr>
          <w:bottom w:val="single" w:color="028090" w:sz="6" w:space="1"/>
        </w:pBdr>
        <w:spacing w:after="120" w:before="120"/>
      </w:pPr>
    </w:p>
    <w:p>
      <w:pPr>
        <w:pStyle w:val="Heading2"/>
        <w:spacing w:after="80" w:before="240"/>
      </w:pPr>
      <w:r>
        <w:rPr>
          <w:rFonts w:ascii="Calibri" w:cs="Calibri" w:eastAsia="Calibri" w:hAnsi="Calibri"/>
          <w:b/>
          <w:bCs/>
          <w:color w:val="028090"/>
          <w:sz w:val="28"/>
          <w:szCs w:val="28"/>
        </w:rPr>
        <w:t xml:space="preserve">6.1 The Leakage Problem</w:t>
      </w:r>
    </w:p>
    <w:p>
      <w:pPr>
        <w:spacing w:after="80" w:before="60"/>
      </w:pPr>
      <w:r>
        <w:rPr>
          <w:rFonts w:ascii="Calibri" w:cs="Calibri" w:eastAsia="Calibri" w:hAnsi="Calibri"/>
          <w:color w:val="1F2937"/>
          <w:sz w:val="22"/>
          <w:szCs w:val="22"/>
        </w:rPr>
        <w:t xml:space="preserve">Early model iterations trained on all 69 raw features achieved approximately 99% accuracy — a statistically impossible result that confirmed the presence of severe target leakage. Three distinct categories of leakage were identified and systematically purged.</w:t>
      </w:r>
    </w:p>
    <w:p>
      <w:pPr>
        <w:pStyle w:val="Heading2"/>
        <w:spacing w:after="80" w:before="240"/>
      </w:pPr>
      <w:r>
        <w:rPr>
          <w:rFonts w:ascii="Calibri" w:cs="Calibri" w:eastAsia="Calibri" w:hAnsi="Calibri"/>
          <w:b/>
          <w:bCs/>
          <w:color w:val="028090"/>
          <w:sz w:val="28"/>
          <w:szCs w:val="28"/>
        </w:rPr>
        <w:t xml:space="preserve">6.2 Category 1: Chronological Leakage</w:t>
      </w:r>
    </w:p>
    <w:p>
      <w:pPr>
        <w:spacing w:after="80" w:before="60"/>
      </w:pPr>
      <w:r>
        <w:rPr>
          <w:rFonts w:ascii="Calibri" w:cs="Calibri" w:eastAsia="Calibri" w:hAnsi="Calibri"/>
          <w:color w:val="1F2937"/>
          <w:sz w:val="22"/>
          <w:szCs w:val="22"/>
        </w:rPr>
        <w:t xml:space="preserve">Features derived from events that can only occur if the customer is already confirmed to have stayed or left their subscription.</w:t>
      </w:r>
    </w:p>
    <w:p>
      <w:pPr>
        <w:pStyle w:val="ListParagraph"/>
        <w:numPr>
          <w:ilvl w:val="0"/>
          <w:numId w:val="2"/>
        </w:numPr>
        <w:spacing w:after="40" w:before="40"/>
      </w:pPr>
      <w:r>
        <w:rPr>
          <w:rFonts w:ascii="Calibri" w:cs="Calibri" w:eastAsia="Calibri" w:hAnsi="Calibri"/>
          <w:color w:val="374151"/>
          <w:sz w:val="22"/>
          <w:szCs w:val="22"/>
        </w:rPr>
        <w:t xml:space="preserve">post_renewal_call_count: A churned customer cannot make post-renewal calls. Presence of this count signals retention, not predicts it.</w:t>
      </w:r>
    </w:p>
    <w:p>
      <w:pPr>
        <w:pStyle w:val="ListParagraph"/>
        <w:numPr>
          <w:ilvl w:val="0"/>
          <w:numId w:val="2"/>
        </w:numPr>
        <w:spacing w:after="40" w:before="40"/>
      </w:pPr>
      <w:r>
        <w:rPr>
          <w:rFonts w:ascii="Calibri" w:cs="Calibri" w:eastAsia="Calibri" w:hAnsi="Calibri"/>
          <w:color w:val="374151"/>
          <w:sz w:val="22"/>
          <w:szCs w:val="22"/>
        </w:rPr>
        <w:t xml:space="preserve">post_cc_call_count: Same logic — post-churn support interactions are impossible if the customer has left.</w:t>
      </w:r>
    </w:p>
    <w:p>
      <w:pPr>
        <w:pStyle w:val="Heading2"/>
        <w:spacing w:after="80" w:before="240"/>
      </w:pPr>
      <w:r>
        <w:rPr>
          <w:rFonts w:ascii="Calibri" w:cs="Calibri" w:eastAsia="Calibri" w:hAnsi="Calibri"/>
          <w:b/>
          <w:bCs/>
          <w:color w:val="028090"/>
          <w:sz w:val="28"/>
          <w:szCs w:val="28"/>
        </w:rPr>
        <w:t xml:space="preserve">6.3 Category 2: Administrative Leakage</w:t>
      </w:r>
    </w:p>
    <w:p>
      <w:pPr>
        <w:spacing w:after="80" w:before="60"/>
      </w:pPr>
      <w:r>
        <w:rPr>
          <w:rFonts w:ascii="Calibri" w:cs="Calibri" w:eastAsia="Calibri" w:hAnsi="Calibri"/>
          <w:color w:val="1F2937"/>
          <w:sz w:val="22"/>
          <w:szCs w:val="22"/>
        </w:rPr>
        <w:t xml:space="preserve">CRM status fields that update automatically as a direct consequence of account cancellation — database trigger reflections masquerading as features.</w:t>
      </w:r>
    </w:p>
    <w:p>
      <w:pPr>
        <w:pStyle w:val="ListParagraph"/>
        <w:numPr>
          <w:ilvl w:val="0"/>
          <w:numId w:val="2"/>
        </w:numPr>
        <w:spacing w:after="40" w:before="40"/>
      </w:pPr>
      <w:r>
        <w:rPr>
          <w:rFonts w:ascii="Calibri" w:cs="Calibri" w:eastAsia="Calibri" w:hAnsi="Calibri"/>
          <w:color w:val="374151"/>
          <w:sz w:val="22"/>
          <w:szCs w:val="22"/>
        </w:rPr>
        <w:t xml:space="preserve">last_band / last_band_Unknown: When a customer cancels, the platform zeroes their package tier and sets the band to 'Unknown'. The model learned: band = Unknown → churned.</w:t>
      </w:r>
    </w:p>
    <w:p>
      <w:pPr>
        <w:pStyle w:val="ListParagraph"/>
        <w:numPr>
          <w:ilvl w:val="0"/>
          <w:numId w:val="2"/>
        </w:numPr>
        <w:spacing w:after="40" w:before="40"/>
      </w:pPr>
      <w:r>
        <w:rPr>
          <w:rFonts w:ascii="Calibri" w:cs="Calibri" w:eastAsia="Calibri" w:hAnsi="Calibri"/>
          <w:color w:val="374151"/>
          <w:sz w:val="22"/>
          <w:szCs w:val="22"/>
        </w:rPr>
        <w:t xml:space="preserve">proforma_account_stage, proforma_membership_status, proforma_audit_status: Backend CRM fields that update after cancellation is confirmed.</w:t>
      </w:r>
    </w:p>
    <w:p>
      <w:pPr>
        <w:pStyle w:val="ListParagraph"/>
        <w:numPr>
          <w:ilvl w:val="0"/>
          <w:numId w:val="2"/>
        </w:numPr>
        <w:spacing w:after="40" w:before="40"/>
      </w:pPr>
      <w:r>
        <w:rPr>
          <w:rFonts w:ascii="Calibri" w:cs="Calibri" w:eastAsia="Calibri" w:hAnsi="Calibri"/>
          <w:color w:val="374151"/>
          <w:sz w:val="22"/>
          <w:szCs w:val="22"/>
        </w:rPr>
        <w:t xml:space="preserve">sustainability_score: A categorisation tag that resets to 'Unknown' when a customer exits.</w:t>
      </w:r>
    </w:p>
    <w:p>
      <w:pPr>
        <w:pStyle w:val="ListParagraph"/>
        <w:numPr>
          <w:ilvl w:val="0"/>
          <w:numId w:val="2"/>
        </w:numPr>
        <w:spacing w:after="40" w:before="40"/>
      </w:pPr>
      <w:r>
        <w:rPr>
          <w:rFonts w:ascii="Calibri" w:cs="Calibri" w:eastAsia="Calibri" w:hAnsi="Calibri"/>
          <w:color w:val="374151"/>
          <w:sz w:val="22"/>
          <w:szCs w:val="22"/>
        </w:rPr>
        <w:t xml:space="preserve">total_renewal_score_new, status_scores, auto_renewal_score: Composite scores computed post-decision.</w:t>
      </w:r>
    </w:p>
    <w:p>
      <w:pPr>
        <w:pStyle w:val="ListParagraph"/>
        <w:numPr>
          <w:ilvl w:val="0"/>
          <w:numId w:val="2"/>
        </w:numPr>
        <w:spacing w:after="40" w:before="40"/>
      </w:pPr>
      <w:r>
        <w:rPr>
          <w:rFonts w:ascii="Calibri" w:cs="Calibri" w:eastAsia="Calibri" w:hAnsi="Calibri"/>
          <w:color w:val="374151"/>
          <w:sz w:val="22"/>
          <w:szCs w:val="22"/>
        </w:rPr>
        <w:t xml:space="preserve">net_mismatch, total_amount, starting_net, discount_amount: Financial entries set only after renewal confirmation.</w:t>
      </w:r>
    </w:p>
    <w:p>
      <w:pPr>
        <w:pStyle w:val="ListParagraph"/>
        <w:numPr>
          <w:ilvl w:val="0"/>
          <w:numId w:val="2"/>
        </w:numPr>
        <w:spacing w:after="40" w:before="40"/>
      </w:pPr>
      <w:r>
        <w:rPr>
          <w:rFonts w:ascii="Calibri" w:cs="Calibri" w:eastAsia="Calibri" w:hAnsi="Calibri"/>
          <w:color w:val="374151"/>
          <w:sz w:val="22"/>
          <w:szCs w:val="22"/>
        </w:rPr>
        <w:t xml:space="preserve">current_auto_renewal_flag: Directly tracks cancellation opt-out status.</w:t>
      </w:r>
    </w:p>
    <w:p>
      <w:pPr>
        <w:pStyle w:val="ListParagraph"/>
        <w:numPr>
          <w:ilvl w:val="0"/>
          <w:numId w:val="2"/>
        </w:numPr>
        <w:spacing w:after="40" w:before="40"/>
      </w:pPr>
      <w:r>
        <w:rPr>
          <w:rFonts w:ascii="Calibri" w:cs="Calibri" w:eastAsia="Calibri" w:hAnsi="Calibri"/>
          <w:color w:val="374151"/>
          <w:sz w:val="22"/>
          <w:szCs w:val="22"/>
        </w:rPr>
        <w:t xml:space="preserve">current_world_pay_token, payment_method, payment_timeframe: Payment data invalidated upon cancellation.</w:t>
      </w:r>
    </w:p>
    <w:p>
      <w:pPr>
        <w:pStyle w:val="ListParagraph"/>
        <w:numPr>
          <w:ilvl w:val="0"/>
          <w:numId w:val="2"/>
        </w:numPr>
        <w:spacing w:after="40" w:before="40"/>
      </w:pPr>
      <w:r>
        <w:rPr>
          <w:rFonts w:ascii="Calibri" w:cs="Calibri" w:eastAsia="Calibri" w:hAnsi="Calibri"/>
          <w:color w:val="374151"/>
          <w:sz w:val="22"/>
          <w:szCs w:val="22"/>
        </w:rPr>
        <w:t xml:space="preserve">last_total_net_paid: The final invoice paid by a churned customer — a post-churn artifact.</w:t>
      </w:r>
    </w:p>
    <w:p>
      <w:pPr>
        <w:pStyle w:val="ListParagraph"/>
        <w:numPr>
          <w:ilvl w:val="0"/>
          <w:numId w:val="2"/>
        </w:numPr>
        <w:spacing w:after="40" w:before="40"/>
      </w:pPr>
      <w:r>
        <w:rPr>
          <w:rFonts w:ascii="Calibri" w:cs="Calibri" w:eastAsia="Calibri" w:hAnsi="Calibri"/>
          <w:color w:val="374151"/>
          <w:sz w:val="22"/>
          <w:szCs w:val="22"/>
        </w:rPr>
        <w:t xml:space="preserve">renewal_score_at_release: Generated at the point of account decision, not before.</w:t>
      </w:r>
    </w:p>
    <w:p>
      <w:pPr>
        <w:pStyle w:val="Heading2"/>
        <w:spacing w:after="80" w:before="240"/>
      </w:pPr>
      <w:r>
        <w:rPr>
          <w:rFonts w:ascii="Calibri" w:cs="Calibri" w:eastAsia="Calibri" w:hAnsi="Calibri"/>
          <w:b/>
          <w:bCs/>
          <w:color w:val="028090"/>
          <w:sz w:val="28"/>
          <w:szCs w:val="28"/>
        </w:rPr>
        <w:t xml:space="preserve">6.4 Category 3: Oracle Leakage</w:t>
      </w:r>
    </w:p>
    <w:p>
      <w:pPr>
        <w:spacing w:after="80" w:before="60"/>
      </w:pPr>
      <w:r>
        <w:rPr>
          <w:rFonts w:ascii="Calibri" w:cs="Calibri" w:eastAsia="Calibri" w:hAnsi="Calibri"/>
          <w:color w:val="1F2937"/>
          <w:sz w:val="22"/>
          <w:szCs w:val="22"/>
        </w:rPr>
        <w:t xml:space="preserve">Features extracted from renewal call transcripts that capture the customer's verbatim stated intent to stay or leave. Feeding these to the model is equivalent to giving it the answer key.</w:t>
      </w:r>
    </w:p>
    <w:p>
      <w:pPr>
        <w:pStyle w:val="ListParagraph"/>
        <w:numPr>
          <w:ilvl w:val="0"/>
          <w:numId w:val="2"/>
        </w:numPr>
        <w:spacing w:after="40" w:before="40"/>
      </w:pPr>
      <w:r>
        <w:rPr>
          <w:rFonts w:ascii="Calibri" w:cs="Calibri" w:eastAsia="Calibri" w:hAnsi="Calibri"/>
          <w:color w:val="374151"/>
          <w:sz w:val="22"/>
          <w:szCs w:val="22"/>
        </w:rPr>
        <w:t xml:space="preserve">membership_renewal_decision: If a customer says they are cancelling, this field captures that directly.</w:t>
      </w:r>
    </w:p>
    <w:p>
      <w:pPr>
        <w:pStyle w:val="ListParagraph"/>
        <w:numPr>
          <w:ilvl w:val="0"/>
          <w:numId w:val="2"/>
        </w:numPr>
        <w:spacing w:after="40" w:before="40"/>
      </w:pPr>
      <w:r>
        <w:rPr>
          <w:rFonts w:ascii="Calibri" w:cs="Calibri" w:eastAsia="Calibri" w:hAnsi="Calibri"/>
          <w:color w:val="374151"/>
          <w:sz w:val="22"/>
          <w:szCs w:val="22"/>
        </w:rPr>
        <w:t xml:space="preserve">explicit_switching_intent: Records whether the customer stated intent to switch to a competitor.</w:t>
      </w:r>
    </w:p>
    <w:p>
      <w:pPr>
        <w:pStyle w:val="Heading2"/>
        <w:spacing w:after="80" w:before="240"/>
      </w:pPr>
      <w:r>
        <w:rPr>
          <w:rFonts w:ascii="Calibri" w:cs="Calibri" w:eastAsia="Calibri" w:hAnsi="Calibri"/>
          <w:b/>
          <w:bCs/>
          <w:color w:val="028090"/>
          <w:sz w:val="28"/>
          <w:szCs w:val="28"/>
        </w:rPr>
        <w:t xml:space="preserve">6.5 Final Feature Count After Purge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Phase</w:t>
            </w:r>
          </w:p>
        </w:tc>
        <w:tc>
          <w:tcPr>
            <w:tcW w:type="dxa" w:w="234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Feature Count</w:t>
            </w:r>
          </w:p>
        </w:tc>
        <w:tc>
          <w:tcPr>
            <w:tcW w:type="dxa" w:w="390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Action</w:t>
            </w:r>
          </w:p>
        </w:tc>
      </w:tr>
      <w:tr>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Raw EDA dataset</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69</w:t>
            </w:r>
          </w:p>
        </w:tc>
        <w:tc>
          <w:tcPr>
            <w:tcW w:type="dxa" w:w="39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Starting point</w:t>
            </w:r>
          </w:p>
        </w:tc>
      </w:tr>
      <w:tr>
        <w:tc>
          <w:tcPr>
            <w:tcW w:type="dxa" w:w="312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After statistical pruning</w:t>
            </w:r>
          </w:p>
        </w:tc>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53</w:t>
            </w:r>
          </w:p>
        </w:tc>
        <w:tc>
          <w:tcPr>
            <w:tcW w:type="dxa" w:w="390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Removed 16 insignificant features</w:t>
            </w:r>
          </w:p>
        </w:tc>
      </w:tr>
      <w:tr>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After leakage purge</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30</w:t>
            </w:r>
          </w:p>
        </w:tc>
        <w:tc>
          <w:tcPr>
            <w:tcW w:type="dxa" w:w="39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Removed 23 leakage features</w:t>
            </w:r>
          </w:p>
        </w:tc>
      </w:tr>
      <w:tr>
        <w:tc>
          <w:tcPr>
            <w:tcW w:type="dxa" w:w="312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After OHE expansion</w:t>
            </w:r>
          </w:p>
        </w:tc>
        <w:tc>
          <w:tcPr>
            <w:tcW w:type="dxa" w:w="234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45</w:t>
            </w:r>
          </w:p>
        </w:tc>
        <w:tc>
          <w:tcPr>
            <w:tcW w:type="dxa" w:w="390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Categorical columns expanded to binary flags</w:t>
            </w:r>
          </w:p>
        </w:tc>
      </w:tr>
      <w:tr>
        <w:tc>
          <w:tcPr>
            <w:tcW w:type="dxa" w:w="312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Final model predictors</w:t>
            </w:r>
          </w:p>
        </w:tc>
        <w:tc>
          <w:tcPr>
            <w:tcW w:type="dxa" w:w="234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23 (authentic)</w:t>
            </w:r>
          </w:p>
        </w:tc>
        <w:tc>
          <w:tcPr>
            <w:tcW w:type="dxa" w:w="39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Structurally safe, pre-renewal features only</w:t>
            </w:r>
          </w:p>
        </w:tc>
      </w:tr>
    </w:tbl>
    <w:p>
      <w:r>
        <w:br/>
      </w:r>
    </w:p>
    <w:p>
      <w:pPr>
        <w:pStyle w:val="Heading1"/>
        <w:spacing w:after="120" w:before="360"/>
      </w:pPr>
      <w:r>
        <w:rPr>
          <w:rFonts w:ascii="Calibri" w:cs="Calibri" w:eastAsia="Calibri" w:hAnsi="Calibri"/>
          <w:b/>
          <w:bCs/>
          <w:color w:val="0D1B4B"/>
          <w:sz w:val="36"/>
          <w:szCs w:val="36"/>
        </w:rPr>
        <w:t xml:space="preserve">7. Model Architecture &amp; Training</w:t>
      </w:r>
    </w:p>
    <w:p>
      <w:pPr>
        <w:pBdr>
          <w:bottom w:val="single" w:color="028090" w:sz="6" w:space="1"/>
        </w:pBdr>
        <w:spacing w:after="120" w:before="120"/>
      </w:pPr>
    </w:p>
    <w:p>
      <w:pPr>
        <w:pStyle w:val="Heading2"/>
        <w:spacing w:after="80" w:before="240"/>
      </w:pPr>
      <w:r>
        <w:rPr>
          <w:rFonts w:ascii="Calibri" w:cs="Calibri" w:eastAsia="Calibri" w:hAnsi="Calibri"/>
          <w:b/>
          <w:bCs/>
          <w:color w:val="028090"/>
          <w:sz w:val="28"/>
          <w:szCs w:val="28"/>
        </w:rPr>
        <w:t xml:space="preserve">7.1 Algorithm Selection: XGBoost</w:t>
      </w:r>
    </w:p>
    <w:p>
      <w:pPr>
        <w:spacing w:after="80" w:before="60"/>
      </w:pPr>
      <w:r>
        <w:rPr>
          <w:rFonts w:ascii="Calibri" w:cs="Calibri" w:eastAsia="Calibri" w:hAnsi="Calibri"/>
          <w:color w:val="1F2937"/>
          <w:sz w:val="22"/>
          <w:szCs w:val="22"/>
        </w:rPr>
        <w:t xml:space="preserve">XGBoost (Extreme Gradient Boosting) was selected as the primary algorithm for the following reasons:</w:t>
      </w:r>
    </w:p>
    <w:p>
      <w:pPr>
        <w:pStyle w:val="ListParagraph"/>
        <w:numPr>
          <w:ilvl w:val="0"/>
          <w:numId w:val="2"/>
        </w:numPr>
        <w:spacing w:after="40" w:before="40"/>
      </w:pPr>
      <w:r>
        <w:rPr>
          <w:rFonts w:ascii="Calibri" w:cs="Calibri" w:eastAsia="Calibri" w:hAnsi="Calibri"/>
          <w:color w:val="374151"/>
          <w:sz w:val="22"/>
          <w:szCs w:val="22"/>
        </w:rPr>
        <w:t xml:space="preserve">Native NaN handling: XGBoost routes missing values down tree branches using a learned default direction, making it ideal for datasets with structural NaN from LEFT JOINs (the CC call data).</w:t>
      </w:r>
    </w:p>
    <w:p>
      <w:pPr>
        <w:pStyle w:val="ListParagraph"/>
        <w:numPr>
          <w:ilvl w:val="0"/>
          <w:numId w:val="2"/>
        </w:numPr>
        <w:spacing w:after="40" w:before="40"/>
      </w:pPr>
      <w:r>
        <w:rPr>
          <w:rFonts w:ascii="Calibri" w:cs="Calibri" w:eastAsia="Calibri" w:hAnsi="Calibri"/>
          <w:color w:val="374151"/>
          <w:sz w:val="22"/>
          <w:szCs w:val="22"/>
        </w:rPr>
        <w:t xml:space="preserve">Non-linear relationship capture: Customer churn is driven by complex interactions between tenure, pricing, and complaint history — relationships that require non-linear modelling to capture fully.</w:t>
      </w:r>
    </w:p>
    <w:p>
      <w:pPr>
        <w:pStyle w:val="ListParagraph"/>
        <w:numPr>
          <w:ilvl w:val="0"/>
          <w:numId w:val="2"/>
        </w:numPr>
        <w:spacing w:after="40" w:before="40"/>
      </w:pPr>
      <w:r>
        <w:rPr>
          <w:rFonts w:ascii="Calibri" w:cs="Calibri" w:eastAsia="Calibri" w:hAnsi="Calibri"/>
          <w:color w:val="374151"/>
          <w:sz w:val="22"/>
          <w:szCs w:val="22"/>
        </w:rPr>
        <w:t xml:space="preserve">Scale_pos_weight: XGBoost provides a built-in mechanism to penalise missed churn predictions more heavily than missed retention predictions, which aligns with business priority.</w:t>
      </w:r>
    </w:p>
    <w:p>
      <w:pPr>
        <w:pStyle w:val="ListParagraph"/>
        <w:numPr>
          <w:ilvl w:val="0"/>
          <w:numId w:val="2"/>
        </w:numPr>
        <w:spacing w:after="40" w:before="40"/>
      </w:pPr>
      <w:r>
        <w:rPr>
          <w:rFonts w:ascii="Calibri" w:cs="Calibri" w:eastAsia="Calibri" w:hAnsi="Calibri"/>
          <w:color w:val="374151"/>
          <w:sz w:val="22"/>
          <w:szCs w:val="22"/>
        </w:rPr>
        <w:t xml:space="preserve">Feature importance via Information Gain: XGBoost provides interpretable feature importance scores that map directly to business-understandable predictor ranking.</w:t>
      </w:r>
    </w:p>
    <w:p>
      <w:pPr>
        <w:pStyle w:val="Heading2"/>
        <w:spacing w:after="80" w:before="240"/>
      </w:pPr>
      <w:r>
        <w:rPr>
          <w:rFonts w:ascii="Calibri" w:cs="Calibri" w:eastAsia="Calibri" w:hAnsi="Calibri"/>
          <w:b/>
          <w:bCs/>
          <w:color w:val="028090"/>
          <w:sz w:val="28"/>
          <w:szCs w:val="28"/>
        </w:rPr>
        <w:t xml:space="preserve">7.2 Hyperparameter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5"/>
        <w:gridCol w:w="1755"/>
        <w:gridCol w:w="4680"/>
      </w:tblGrid>
      <w:tr>
        <w:trPr>
          <w:tblHeader/>
        </w:trPr>
        <w:tc>
          <w:tcPr>
            <w:tcW w:type="dxa" w:w="2925"/>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Hyperparameter</w:t>
            </w:r>
          </w:p>
        </w:tc>
        <w:tc>
          <w:tcPr>
            <w:tcW w:type="dxa" w:w="1755"/>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c>
          <w:tcPr>
            <w:tcW w:type="dxa" w:w="468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Justification</w:t>
            </w:r>
          </w:p>
        </w:tc>
      </w:tr>
      <w:tr>
        <w:tc>
          <w:tcPr>
            <w:tcW w:type="dxa" w:w="292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n_estimators</w:t>
            </w:r>
          </w:p>
        </w:tc>
        <w:tc>
          <w:tcPr>
            <w:tcW w:type="dxa" w:w="175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150</w:t>
            </w:r>
          </w:p>
        </w:tc>
        <w:tc>
          <w:tcPr>
            <w:tcW w:type="dxa" w:w="46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Conservative count to prevent overfitting on this mid-size dataset</w:t>
            </w:r>
          </w:p>
        </w:tc>
      </w:tr>
      <w:tr>
        <w:tc>
          <w:tcPr>
            <w:tcW w:type="dxa" w:w="292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learning_rate</w:t>
            </w:r>
          </w:p>
        </w:tc>
        <w:tc>
          <w:tcPr>
            <w:tcW w:type="dxa" w:w="175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0.05</w:t>
            </w:r>
          </w:p>
        </w:tc>
        <w:tc>
          <w:tcPr>
            <w:tcW w:type="dxa" w:w="46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Slow learning rate ensures each tree corrects previous errors incrementally</w:t>
            </w:r>
          </w:p>
        </w:tc>
      </w:tr>
      <w:tr>
        <w:tc>
          <w:tcPr>
            <w:tcW w:type="dxa" w:w="292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max_depth</w:t>
            </w:r>
          </w:p>
        </w:tc>
        <w:tc>
          <w:tcPr>
            <w:tcW w:type="dxa" w:w="175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5</w:t>
            </w:r>
          </w:p>
        </w:tc>
        <w:tc>
          <w:tcPr>
            <w:tcW w:type="dxa" w:w="46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Moderate complexity — allows nuanced splits without memorising training noise</w:t>
            </w:r>
          </w:p>
        </w:tc>
      </w:tr>
      <w:tr>
        <w:tc>
          <w:tcPr>
            <w:tcW w:type="dxa" w:w="292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scale_pos_weight</w:t>
            </w:r>
          </w:p>
        </w:tc>
        <w:tc>
          <w:tcPr>
            <w:tcW w:type="dxa" w:w="175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1.75</w:t>
            </w:r>
          </w:p>
        </w:tc>
        <w:tc>
          <w:tcPr>
            <w:tcW w:type="dxa" w:w="46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Ratio of negative (won) to positive (churned) samples. Corrects class imbalance</w:t>
            </w:r>
          </w:p>
        </w:tc>
      </w:tr>
      <w:tr>
        <w:tc>
          <w:tcPr>
            <w:tcW w:type="dxa" w:w="292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eval_metric</w:t>
            </w:r>
          </w:p>
        </w:tc>
        <w:tc>
          <w:tcPr>
            <w:tcW w:type="dxa" w:w="175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logloss</w:t>
            </w:r>
          </w:p>
        </w:tc>
        <w:tc>
          <w:tcPr>
            <w:tcW w:type="dxa" w:w="46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Appropriate for binary probability output calibration</w:t>
            </w:r>
          </w:p>
        </w:tc>
      </w:tr>
    </w:tbl>
    <w:p>
      <w:pPr>
        <w:pStyle w:val="Heading2"/>
        <w:spacing w:after="80" w:before="240"/>
      </w:pPr>
      <w:r>
        <w:rPr>
          <w:rFonts w:ascii="Calibri" w:cs="Calibri" w:eastAsia="Calibri" w:hAnsi="Calibri"/>
          <w:b/>
          <w:bCs/>
          <w:color w:val="028090"/>
          <w:sz w:val="28"/>
          <w:szCs w:val="28"/>
        </w:rPr>
        <w:t xml:space="preserve">7.3 Train/Test Split</w:t>
      </w:r>
    </w:p>
    <w:p>
      <w:pPr>
        <w:spacing w:after="80" w:before="60"/>
      </w:pPr>
      <w:r>
        <w:rPr>
          <w:rFonts w:ascii="Calibri" w:cs="Calibri" w:eastAsia="Calibri" w:hAnsi="Calibri"/>
          <w:color w:val="1F2937"/>
          <w:sz w:val="22"/>
          <w:szCs w:val="22"/>
        </w:rPr>
        <w:t xml:space="preserve">The labelled dataset (25,925 records) was split 80%/20% using train_test_split with stratify=y to preserve the 64%/36% class ratio in both folds.</w:t>
      </w:r>
    </w:p>
    <w:p>
      <w:pPr>
        <w:pStyle w:val="ListParagraph"/>
        <w:numPr>
          <w:ilvl w:val="0"/>
          <w:numId w:val="2"/>
        </w:numPr>
        <w:spacing w:after="40" w:before="40"/>
      </w:pPr>
      <w:r>
        <w:rPr>
          <w:rFonts w:ascii="Calibri" w:cs="Calibri" w:eastAsia="Calibri" w:hAnsi="Calibri"/>
          <w:color w:val="374151"/>
          <w:sz w:val="22"/>
          <w:szCs w:val="22"/>
        </w:rPr>
        <w:t xml:space="preserve">Training set: 20,740 records</w:t>
      </w:r>
    </w:p>
    <w:p>
      <w:pPr>
        <w:pStyle w:val="ListParagraph"/>
        <w:numPr>
          <w:ilvl w:val="0"/>
          <w:numId w:val="2"/>
        </w:numPr>
        <w:spacing w:after="40" w:before="40"/>
      </w:pPr>
      <w:r>
        <w:rPr>
          <w:rFonts w:ascii="Calibri" w:cs="Calibri" w:eastAsia="Calibri" w:hAnsi="Calibri"/>
          <w:color w:val="374151"/>
          <w:sz w:val="22"/>
          <w:szCs w:val="22"/>
        </w:rPr>
        <w:t xml:space="preserve">Test set: 5,185 records</w:t>
      </w:r>
    </w:p>
    <w:p>
      <w:pPr>
        <w:pStyle w:val="ListParagraph"/>
        <w:numPr>
          <w:ilvl w:val="0"/>
          <w:numId w:val="2"/>
        </w:numPr>
        <w:spacing w:after="40" w:before="40"/>
      </w:pPr>
      <w:r>
        <w:rPr>
          <w:rFonts w:ascii="Calibri" w:cs="Calibri" w:eastAsia="Calibri" w:hAnsi="Calibri"/>
          <w:color w:val="374151"/>
          <w:sz w:val="22"/>
          <w:szCs w:val="22"/>
        </w:rPr>
        <w:t xml:space="preserve">Class ratio in both sets: ~64% Not Churned / ~36% Churned</w:t>
      </w:r>
    </w:p>
    <w:p>
      <w:pPr>
        <w:pStyle w:val="Heading2"/>
        <w:spacing w:after="80" w:before="240"/>
      </w:pPr>
      <w:r>
        <w:rPr>
          <w:rFonts w:ascii="Calibri" w:cs="Calibri" w:eastAsia="Calibri" w:hAnsi="Calibri"/>
          <w:b/>
          <w:bCs/>
          <w:color w:val="028090"/>
          <w:sz w:val="28"/>
          <w:szCs w:val="28"/>
        </w:rPr>
        <w:t xml:space="preserve">7.4 Preprocessing Steps</w:t>
      </w:r>
    </w:p>
    <w:p>
      <w:pPr>
        <w:pStyle w:val="ListParagraph"/>
        <w:numPr>
          <w:ilvl w:val="0"/>
          <w:numId w:val="2"/>
        </w:numPr>
        <w:spacing w:after="40" w:before="40"/>
      </w:pPr>
      <w:r>
        <w:rPr>
          <w:rFonts w:ascii="Calibri" w:cs="Calibri" w:eastAsia="Calibri" w:hAnsi="Calibri"/>
          <w:color w:val="374151"/>
          <w:sz w:val="22"/>
          <w:szCs w:val="22"/>
        </w:rPr>
        <w:t xml:space="preserve">One-Hot Encoding: pd.get_dummies() applied to all object-type columns. Expands 29 feature columns to 45 binary predictor columns. Key expanded columns: tenure_group (3 dummies), tenure_bucket (3 dummies), anchor_group (4 dummies).</w:t>
      </w:r>
    </w:p>
    <w:p>
      <w:pPr>
        <w:pStyle w:val="ListParagraph"/>
        <w:numPr>
          <w:ilvl w:val="0"/>
          <w:numId w:val="2"/>
        </w:numPr>
        <w:spacing w:after="40" w:before="40"/>
      </w:pPr>
      <w:r>
        <w:rPr>
          <w:rFonts w:ascii="Calibri" w:cs="Calibri" w:eastAsia="Calibri" w:hAnsi="Calibri"/>
          <w:color w:val="374151"/>
          <w:sz w:val="22"/>
          <w:szCs w:val="22"/>
        </w:rPr>
        <w:t xml:space="preserve">CC NaN Imputation: All cc_ columns filled with 0 before export — business interpretation: no CC call = no complaint was ever made.</w:t>
      </w:r>
    </w:p>
    <w:p>
      <w:pPr>
        <w:pStyle w:val="ListParagraph"/>
        <w:numPr>
          <w:ilvl w:val="0"/>
          <w:numId w:val="2"/>
        </w:numPr>
        <w:spacing w:after="40" w:before="40"/>
      </w:pPr>
      <w:r>
        <w:rPr>
          <w:rFonts w:ascii="Calibri" w:cs="Calibri" w:eastAsia="Calibri" w:hAnsi="Calibri"/>
          <w:color w:val="374151"/>
          <w:sz w:val="22"/>
          <w:szCs w:val="22"/>
        </w:rPr>
        <w:t xml:space="preserve">No scaling required: XGBoost is tree-based and invariant to feature scale transformations.</w:t>
      </w:r>
    </w:p>
    <w:p>
      <w:r>
        <w:br/>
      </w:r>
    </w:p>
    <w:p>
      <w:pPr>
        <w:pStyle w:val="Heading1"/>
        <w:spacing w:after="120" w:before="360"/>
      </w:pPr>
      <w:r>
        <w:rPr>
          <w:rFonts w:ascii="Calibri" w:cs="Calibri" w:eastAsia="Calibri" w:hAnsi="Calibri"/>
          <w:b/>
          <w:bCs/>
          <w:color w:val="0D1B4B"/>
          <w:sz w:val="36"/>
          <w:szCs w:val="36"/>
        </w:rPr>
        <w:t xml:space="preserve">8. Model Evaluation &amp; Results</w:t>
      </w:r>
    </w:p>
    <w:p>
      <w:pPr>
        <w:pBdr>
          <w:bottom w:val="single" w:color="028090" w:sz="6" w:space="1"/>
        </w:pBdr>
        <w:spacing w:after="120" w:before="120"/>
      </w:pPr>
    </w:p>
    <w:p>
      <w:pPr>
        <w:pStyle w:val="Heading2"/>
        <w:spacing w:after="80" w:before="240"/>
      </w:pPr>
      <w:r>
        <w:rPr>
          <w:rFonts w:ascii="Calibri" w:cs="Calibri" w:eastAsia="Calibri" w:hAnsi="Calibri"/>
          <w:b/>
          <w:bCs/>
          <w:color w:val="028090"/>
          <w:sz w:val="28"/>
          <w:szCs w:val="28"/>
        </w:rPr>
        <w:t xml:space="preserve">8.1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1755"/>
        <w:gridCol w:w="4095"/>
      </w:tblGrid>
      <w:tr>
        <w:trPr>
          <w:tblHeader/>
        </w:trPr>
        <w:tc>
          <w:tcPr>
            <w:tcW w:type="dxa" w:w="351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1755"/>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c>
          <w:tcPr>
            <w:tcW w:type="dxa" w:w="4095"/>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Interpretation</w:t>
            </w:r>
          </w:p>
        </w:tc>
      </w:tr>
      <w:tr>
        <w:tc>
          <w:tcPr>
            <w:tcW w:type="dxa" w:w="351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Overall Accuracy</w:t>
            </w:r>
          </w:p>
        </w:tc>
        <w:tc>
          <w:tcPr>
            <w:tcW w:type="dxa" w:w="175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88%</w:t>
            </w:r>
          </w:p>
        </w:tc>
        <w:tc>
          <w:tcPr>
            <w:tcW w:type="dxa" w:w="409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Proportion of all predictions that were correct</w:t>
            </w:r>
          </w:p>
        </w:tc>
      </w:tr>
      <w:tr>
        <w:tc>
          <w:tcPr>
            <w:tcW w:type="dxa" w:w="351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ROC-AUC</w:t>
            </w:r>
          </w:p>
        </w:tc>
        <w:tc>
          <w:tcPr>
            <w:tcW w:type="dxa" w:w="175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0.94</w:t>
            </w:r>
          </w:p>
        </w:tc>
        <w:tc>
          <w:tcPr>
            <w:tcW w:type="dxa" w:w="409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Excellent ability to discriminate churned vs retained at all thresholds</w:t>
            </w:r>
          </w:p>
        </w:tc>
      </w:tr>
      <w:tr>
        <w:tc>
          <w:tcPr>
            <w:tcW w:type="dxa" w:w="351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Precision (Churned = 1)</w:t>
            </w:r>
          </w:p>
        </w:tc>
        <w:tc>
          <w:tcPr>
            <w:tcW w:type="dxa" w:w="175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84%</w:t>
            </w:r>
          </w:p>
        </w:tc>
        <w:tc>
          <w:tcPr>
            <w:tcW w:type="dxa" w:w="409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When model predicts churn, it is right 84% of the time — low false alarm rate</w:t>
            </w:r>
          </w:p>
        </w:tc>
      </w:tr>
      <w:tr>
        <w:tc>
          <w:tcPr>
            <w:tcW w:type="dxa" w:w="351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Recall (Churned = 1)</w:t>
            </w:r>
          </w:p>
        </w:tc>
        <w:tc>
          <w:tcPr>
            <w:tcW w:type="dxa" w:w="175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79%</w:t>
            </w:r>
          </w:p>
        </w:tc>
        <w:tc>
          <w:tcPr>
            <w:tcW w:type="dxa" w:w="409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Model catches 79% of all actual churners — acceptable for a retention use case</w:t>
            </w:r>
          </w:p>
        </w:tc>
      </w:tr>
      <w:tr>
        <w:tc>
          <w:tcPr>
            <w:tcW w:type="dxa" w:w="351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F1-Score (Churned = 1)</w:t>
            </w:r>
          </w:p>
        </w:tc>
        <w:tc>
          <w:tcPr>
            <w:tcW w:type="dxa" w:w="175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0.81</w:t>
            </w:r>
          </w:p>
        </w:tc>
        <w:tc>
          <w:tcPr>
            <w:tcW w:type="dxa" w:w="409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Harmonic mean of precision and recall for the churned class</w:t>
            </w:r>
          </w:p>
        </w:tc>
      </w:tr>
      <w:tr>
        <w:tc>
          <w:tcPr>
            <w:tcW w:type="dxa" w:w="351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Precision (Retained = 0)</w:t>
            </w:r>
          </w:p>
        </w:tc>
        <w:tc>
          <w:tcPr>
            <w:tcW w:type="dxa" w:w="175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90%</w:t>
            </w:r>
          </w:p>
        </w:tc>
        <w:tc>
          <w:tcPr>
            <w:tcW w:type="dxa" w:w="409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Strong precision for the majority class</w:t>
            </w:r>
          </w:p>
        </w:tc>
      </w:tr>
      <w:tr>
        <w:tc>
          <w:tcPr>
            <w:tcW w:type="dxa" w:w="351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Recall (Retained = 0)</w:t>
            </w:r>
          </w:p>
        </w:tc>
        <w:tc>
          <w:tcPr>
            <w:tcW w:type="dxa" w:w="175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94%</w:t>
            </w:r>
          </w:p>
        </w:tc>
        <w:tc>
          <w:tcPr>
            <w:tcW w:type="dxa" w:w="409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Model correctly identifies retained customers with very high reliability</w:t>
            </w:r>
          </w:p>
        </w:tc>
      </w:tr>
      <w:tr>
        <w:tc>
          <w:tcPr>
            <w:tcW w:type="dxa" w:w="351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F1-Score (Retained = 0)</w:t>
            </w:r>
          </w:p>
        </w:tc>
        <w:tc>
          <w:tcPr>
            <w:tcW w:type="dxa" w:w="175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0.92</w:t>
            </w:r>
          </w:p>
        </w:tc>
        <w:tc>
          <w:tcPr>
            <w:tcW w:type="dxa" w:w="409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Excellent balance for the retained class</w:t>
            </w:r>
          </w:p>
        </w:tc>
      </w:tr>
      <w:tr>
        <w:tc>
          <w:tcPr>
            <w:tcW w:type="dxa" w:w="351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Macro Average F1</w:t>
            </w:r>
          </w:p>
        </w:tc>
        <w:tc>
          <w:tcPr>
            <w:tcW w:type="dxa" w:w="175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0.86</w:t>
            </w:r>
          </w:p>
        </w:tc>
        <w:tc>
          <w:tcPr>
            <w:tcW w:type="dxa" w:w="409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Unweighted average across both classes</w:t>
            </w:r>
          </w:p>
        </w:tc>
      </w:tr>
      <w:tr>
        <w:tc>
          <w:tcPr>
            <w:tcW w:type="dxa" w:w="351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Weighted Average F1</w:t>
            </w:r>
          </w:p>
        </w:tc>
        <w:tc>
          <w:tcPr>
            <w:tcW w:type="dxa" w:w="175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0.88</w:t>
            </w:r>
          </w:p>
        </w:tc>
        <w:tc>
          <w:tcPr>
            <w:tcW w:type="dxa" w:w="409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Class-size weighted average — aligns with overall accuracy</w:t>
            </w:r>
          </w:p>
        </w:tc>
      </w:tr>
    </w:tbl>
    <w:p>
      <w:pPr>
        <w:pStyle w:val="Heading2"/>
        <w:spacing w:after="80" w:before="240"/>
      </w:pPr>
      <w:r>
        <w:rPr>
          <w:rFonts w:ascii="Calibri" w:cs="Calibri" w:eastAsia="Calibri" w:hAnsi="Calibri"/>
          <w:b/>
          <w:bCs/>
          <w:color w:val="028090"/>
          <w:sz w:val="28"/>
          <w:szCs w:val="28"/>
        </w:rPr>
        <w:t xml:space="preserve">8.2 Confusion Matrix</w:t>
      </w: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tblGrid>
      <w:tr>
        <w:trPr>
          <w:tblHeader/>
        </w:trPr>
        <w:tc>
          <w:tcPr>
            <w:tcW w:type="dxa" w:w="208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
            </w:r>
          </w:p>
        </w:tc>
        <w:tc>
          <w:tcPr>
            <w:tcW w:type="dxa" w:w="208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Predicted: Won (0)</w:t>
            </w:r>
          </w:p>
        </w:tc>
        <w:tc>
          <w:tcPr>
            <w:tcW w:type="dxa" w:w="208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Predicted: Churned (1)</w:t>
            </w:r>
          </w:p>
        </w:tc>
      </w:tr>
      <w:tr>
        <w:tc>
          <w:tcPr>
            <w:tcW w:type="dxa" w:w="20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Actual: Won (0)</w:t>
            </w:r>
          </w:p>
        </w:tc>
        <w:tc>
          <w:tcPr>
            <w:tcW w:type="dxa" w:w="20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3,109 (TP)</w:t>
            </w:r>
          </w:p>
        </w:tc>
        <w:tc>
          <w:tcPr>
            <w:tcW w:type="dxa" w:w="208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191 (FP)</w:t>
            </w:r>
          </w:p>
        </w:tc>
      </w:tr>
      <w:tr>
        <w:tc>
          <w:tcPr>
            <w:tcW w:type="dxa" w:w="20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Actual: Churned (1)</w:t>
            </w:r>
          </w:p>
        </w:tc>
        <w:tc>
          <w:tcPr>
            <w:tcW w:type="dxa" w:w="20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363 (FN)</w:t>
            </w:r>
          </w:p>
        </w:tc>
        <w:tc>
          <w:tcPr>
            <w:tcW w:type="dxa" w:w="208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1,537 (TP)</w:t>
            </w:r>
          </w:p>
        </w:tc>
      </w:tr>
    </w:tbl>
    <w:p>
      <w:pPr>
        <w:spacing w:after="80" w:before="60"/>
      </w:pPr>
      <w:r>
        <w:rPr>
          <w:rFonts w:ascii="Calibri" w:cs="Calibri" w:eastAsia="Calibri" w:hAnsi="Calibri"/>
          <w:color w:val="1F2937"/>
          <w:sz w:val="22"/>
          <w:szCs w:val="22"/>
        </w:rPr>
        <w:t xml:space="preserve">The confusion matrix highlights two error modes: 191 false positives (retained customers flagged as at-risk) and 363 false negatives (churned customers missed). In a business context, false negatives are more costly — a missed churner is lost revenue — and the scale_pos_weight parameter was configured to bias the model towards minimising this error.</w:t>
      </w:r>
    </w:p>
    <w:p>
      <w:pPr>
        <w:pStyle w:val="Heading2"/>
        <w:spacing w:after="80" w:before="240"/>
      </w:pPr>
      <w:r>
        <w:rPr>
          <w:rFonts w:ascii="Calibri" w:cs="Calibri" w:eastAsia="Calibri" w:hAnsi="Calibri"/>
          <w:b/>
          <w:bCs/>
          <w:color w:val="028090"/>
          <w:sz w:val="28"/>
          <w:szCs w:val="28"/>
        </w:rPr>
        <w:t xml:space="preserve">8.3 ROC Curve &amp; AUC Interpretation</w:t>
      </w:r>
    </w:p>
    <w:p>
      <w:pPr>
        <w:spacing w:after="80" w:before="60"/>
      </w:pPr>
      <w:r>
        <w:rPr>
          <w:rFonts w:ascii="Calibri" w:cs="Calibri" w:eastAsia="Calibri" w:hAnsi="Calibri"/>
          <w:color w:val="1F2937"/>
          <w:sz w:val="22"/>
          <w:szCs w:val="22"/>
        </w:rPr>
        <w:t xml:space="preserve">A ROC-AUC of 0.94 indicates that the model correctly ranks a randomly selected churner above a randomly selected retained customer 94% of the time. This is a strong result for a real-world churn dataset with inherent label noise from the 4-week proxy rule. The AUC is robust to class imbalance and validates that the model has learned genuine discriminative signal rather than exploiting base-rate bias.</w:t>
      </w:r>
    </w:p>
    <w:p>
      <w:r>
        <w:br/>
      </w:r>
    </w:p>
    <w:p>
      <w:pPr>
        <w:pStyle w:val="Heading1"/>
        <w:spacing w:after="120" w:before="360"/>
      </w:pPr>
      <w:r>
        <w:rPr>
          <w:rFonts w:ascii="Calibri" w:cs="Calibri" w:eastAsia="Calibri" w:hAnsi="Calibri"/>
          <w:b/>
          <w:bCs/>
          <w:color w:val="0D1B4B"/>
          <w:sz w:val="36"/>
          <w:szCs w:val="36"/>
        </w:rPr>
        <w:t xml:space="preserve">9. Feature Explanation — The 23 Authentic Predictors</w:t>
      </w:r>
    </w:p>
    <w:p>
      <w:pPr>
        <w:pBdr>
          <w:bottom w:val="single" w:color="028090" w:sz="6" w:space="1"/>
        </w:pBdr>
        <w:spacing w:after="120" w:before="120"/>
      </w:pPr>
    </w:p>
    <w:p>
      <w:pPr>
        <w:spacing w:after="80" w:before="60"/>
      </w:pPr>
      <w:r>
        <w:rPr>
          <w:rFonts w:ascii="Calibri" w:cs="Calibri" w:eastAsia="Calibri" w:hAnsi="Calibri"/>
          <w:color w:val="1F2937"/>
          <w:sz w:val="22"/>
          <w:szCs w:val="22"/>
        </w:rPr>
        <w:t xml:space="preserve">After all leakage was purged, the model stabilised at approximately 88% accuracy relying on 23 genuinely predictive, historically grounded features. Each feature is documented below with its data origin, business interpretation, and safety rationale.</w:t>
      </w:r>
    </w:p>
    <w:p>
      <w:pPr>
        <w:pStyle w:val="Heading2"/>
        <w:spacing w:after="80" w:before="240"/>
      </w:pPr>
      <w:r>
        <w:rPr>
          <w:rFonts w:ascii="Calibri" w:cs="Calibri" w:eastAsia="Calibri" w:hAnsi="Calibri"/>
          <w:b/>
          <w:bCs/>
          <w:color w:val="028090"/>
          <w:sz w:val="28"/>
          <w:szCs w:val="28"/>
        </w:rPr>
        <w:t xml:space="preserve">9.1 Pillar 1: Administrative Loyalty</w:t>
      </w:r>
    </w:p>
    <w:p>
      <w:pPr>
        <w:pStyle w:val="Heading3"/>
        <w:spacing w:after="60" w:before="180"/>
      </w:pPr>
      <w:r>
        <w:rPr>
          <w:rFonts w:ascii="Calibri" w:cs="Calibri" w:eastAsia="Calibri" w:hAnsi="Calibri"/>
          <w:b/>
          <w:bCs/>
          <w:color w:val="374151"/>
          <w:sz w:val="24"/>
          <w:szCs w:val="24"/>
        </w:rPr>
        <w:t xml:space="preserve">tenure_scores</w:t>
      </w:r>
    </w:p>
    <w:p>
      <w:pPr>
        <w:spacing w:after="80" w:before="60"/>
      </w:pPr>
      <w:r>
        <w:rPr>
          <w:rFonts w:ascii="Calibri" w:cs="Calibri" w:eastAsia="Calibri" w:hAnsi="Calibri"/>
          <w:color w:val="1F2937"/>
          <w:sz w:val="22"/>
          <w:szCs w:val="22"/>
        </w:rPr>
        <w:t xml:space="preserve">Data origin: Computed in the billing pipeline as a composite score weighting the duration of membership.</w:t>
      </w:r>
    </w:p>
    <w:p>
      <w:pPr>
        <w:spacing w:after="80" w:before="60"/>
      </w:pPr>
      <w:r>
        <w:rPr>
          <w:rFonts w:ascii="Calibri" w:cs="Calibri" w:eastAsia="Calibri" w:hAnsi="Calibri"/>
          <w:color w:val="1F2937"/>
          <w:sz w:val="22"/>
          <w:szCs w:val="22"/>
        </w:rPr>
        <w:t xml:space="preserve">Business interpretation: The single highest-weighted feature. Customers with many years of subscription have high switching costs and deep platform integration. Long tenure creates inertia against cancellation.</w:t>
      </w:r>
    </w:p>
    <w:p>
      <w:pPr>
        <w:spacing w:after="80" w:before="60"/>
      </w:pPr>
      <w:r>
        <w:rPr>
          <w:rFonts w:ascii="Calibri" w:cs="Calibri" w:eastAsia="Calibri" w:hAnsi="Calibri"/>
          <w:color w:val="1F2937"/>
          <w:sz w:val="22"/>
          <w:szCs w:val="22"/>
        </w:rPr>
        <w:t xml:space="preserve">Safety: Purely a historical measurement of account age. Contains no post-decision information.</w:t>
      </w:r>
    </w:p>
    <w:p>
      <w:pPr>
        <w:pStyle w:val="Heading3"/>
        <w:spacing w:after="60" w:before="180"/>
      </w:pPr>
      <w:r>
        <w:rPr>
          <w:rFonts w:ascii="Calibri" w:cs="Calibri" w:eastAsia="Calibri" w:hAnsi="Calibri"/>
          <w:b/>
          <w:bCs/>
          <w:color w:val="374151"/>
          <w:sz w:val="24"/>
          <w:szCs w:val="24"/>
        </w:rPr>
        <w:t xml:space="preserve">tenure_years</w:t>
      </w:r>
    </w:p>
    <w:p>
      <w:pPr>
        <w:spacing w:after="80" w:before="60"/>
      </w:pPr>
      <w:r>
        <w:rPr>
          <w:rFonts w:ascii="Calibri" w:cs="Calibri" w:eastAsia="Calibri" w:hAnsi="Calibri"/>
          <w:color w:val="1F2937"/>
          <w:sz w:val="22"/>
          <w:szCs w:val="22"/>
        </w:rPr>
        <w:t xml:space="preserve">Business interpretation: The literal count of years the customer has been active. Operates at coarser granularity than tenure_scores, enabling splits like 'customers with fewer than 2 years vs 5+ years'.</w:t>
      </w:r>
    </w:p>
    <w:p>
      <w:pPr>
        <w:pStyle w:val="Heading3"/>
        <w:spacing w:after="60" w:before="180"/>
      </w:pPr>
      <w:r>
        <w:rPr>
          <w:rFonts w:ascii="Calibri" w:cs="Calibri" w:eastAsia="Calibri" w:hAnsi="Calibri"/>
          <w:b/>
          <w:bCs/>
          <w:color w:val="374151"/>
          <w:sz w:val="24"/>
          <w:szCs w:val="24"/>
        </w:rPr>
        <w:t xml:space="preserve">tenure_group and tenure_bucket (OHE-expanded)</w:t>
      </w:r>
    </w:p>
    <w:p>
      <w:pPr>
        <w:spacing w:after="80" w:before="60"/>
      </w:pPr>
      <w:r>
        <w:rPr>
          <w:rFonts w:ascii="Calibri" w:cs="Calibri" w:eastAsia="Calibri" w:hAnsi="Calibri"/>
          <w:color w:val="1F2937"/>
          <w:sz w:val="22"/>
          <w:szCs w:val="22"/>
        </w:rPr>
        <w:t xml:space="preserve">Business interpretation: Categorical lifecycle stage classifications. Allow non-linear modelling of effects — a 2-year customer responds very differently to a price increase than a 5-year loyal customer. Expanded to 3 + 3 binary columns via One-Hot Encoding.</w:t>
      </w:r>
    </w:p>
    <w:p>
      <w:pPr>
        <w:pStyle w:val="Heading2"/>
        <w:spacing w:after="80" w:before="240"/>
      </w:pPr>
      <w:r>
        <w:rPr>
          <w:rFonts w:ascii="Calibri" w:cs="Calibri" w:eastAsia="Calibri" w:hAnsi="Calibri"/>
          <w:b/>
          <w:bCs/>
          <w:color w:val="028090"/>
          <w:sz w:val="28"/>
          <w:szCs w:val="28"/>
        </w:rPr>
        <w:t xml:space="preserve">9.2 Pillar 2: Financial Scaling</w:t>
      </w:r>
    </w:p>
    <w:p>
      <w:pPr>
        <w:pStyle w:val="Heading3"/>
        <w:spacing w:after="60" w:before="180"/>
      </w:pPr>
      <w:r>
        <w:rPr>
          <w:rFonts w:ascii="Calibri" w:cs="Calibri" w:eastAsia="Calibri" w:hAnsi="Calibri"/>
          <w:b/>
          <w:bCs/>
          <w:color w:val="374151"/>
          <w:sz w:val="24"/>
          <w:szCs w:val="24"/>
        </w:rPr>
        <w:t xml:space="preserve">price_change_pct</w:t>
      </w:r>
    </w:p>
    <w:p>
      <w:pPr>
        <w:spacing w:after="80" w:before="60"/>
      </w:pPr>
      <w:r>
        <w:rPr>
          <w:rFonts w:ascii="Calibri" w:cs="Calibri" w:eastAsia="Calibri" w:hAnsi="Calibri"/>
          <w:color w:val="1F2937"/>
          <w:sz w:val="22"/>
          <w:szCs w:val="22"/>
        </w:rPr>
        <w:t xml:space="preserve">Business interpretation: The percentage rate increase the customer is experiencing relative to their prior contract. The core financial friction signal. Calculated from proposed renewal invoice terms — known at the time of the renewal decision, not after it.</w:t>
      </w:r>
    </w:p>
    <w:p>
      <w:pPr>
        <w:pStyle w:val="Heading3"/>
        <w:spacing w:after="60" w:before="180"/>
      </w:pPr>
      <w:r>
        <w:rPr>
          <w:rFonts w:ascii="Calibri" w:cs="Calibri" w:eastAsia="Calibri" w:hAnsi="Calibri"/>
          <w:b/>
          <w:bCs/>
          <w:color w:val="374151"/>
          <w:sz w:val="24"/>
          <w:szCs w:val="24"/>
        </w:rPr>
        <w:t xml:space="preserve">amount</w:t>
      </w:r>
    </w:p>
    <w:p>
      <w:pPr>
        <w:spacing w:after="80" w:before="60"/>
      </w:pPr>
      <w:r>
        <w:rPr>
          <w:rFonts w:ascii="Calibri" w:cs="Calibri" w:eastAsia="Calibri" w:hAnsi="Calibri"/>
          <w:color w:val="1F2937"/>
          <w:sz w:val="22"/>
          <w:szCs w:val="22"/>
        </w:rPr>
        <w:t xml:space="preserve">Business interpretation: The absolute scale of the customer's contract. Lower-value contracts are more price-sensitive; higher-value contracts indicate larger organisations with procurement workflows that make impulsive cancellation less likely.</w:t>
      </w:r>
    </w:p>
    <w:p>
      <w:pPr>
        <w:pStyle w:val="Heading3"/>
        <w:spacing w:after="60" w:before="180"/>
      </w:pPr>
      <w:r>
        <w:rPr>
          <w:rFonts w:ascii="Calibri" w:cs="Calibri" w:eastAsia="Calibri" w:hAnsi="Calibri"/>
          <w:b/>
          <w:bCs/>
          <w:color w:val="374151"/>
          <w:sz w:val="24"/>
          <w:szCs w:val="24"/>
        </w:rPr>
        <w:t xml:space="preserve">last_years_price</w:t>
      </w:r>
    </w:p>
    <w:p>
      <w:pPr>
        <w:spacing w:after="80" w:before="60"/>
      </w:pPr>
      <w:r>
        <w:rPr>
          <w:rFonts w:ascii="Calibri" w:cs="Calibri" w:eastAsia="Calibri" w:hAnsi="Calibri"/>
          <w:color w:val="1F2937"/>
          <w:sz w:val="22"/>
          <w:szCs w:val="22"/>
        </w:rPr>
        <w:t xml:space="preserve">Business interpretation: The baseline anchor the customer uses to evaluate the new price. Enables the model to detect threshold sensitivity — the psychological difference between a 10% and 40% increase.</w:t>
      </w:r>
    </w:p>
    <w:p>
      <w:pPr>
        <w:pStyle w:val="Heading2"/>
        <w:spacing w:after="80" w:before="240"/>
      </w:pPr>
      <w:r>
        <w:rPr>
          <w:rFonts w:ascii="Calibri" w:cs="Calibri" w:eastAsia="Calibri" w:hAnsi="Calibri"/>
          <w:b/>
          <w:bCs/>
          <w:color w:val="028090"/>
          <w:sz w:val="28"/>
          <w:szCs w:val="28"/>
        </w:rPr>
        <w:t xml:space="preserve">9.3 Pillar 3: Historical Customer Care Friction</w:t>
      </w:r>
    </w:p>
    <w:p>
      <w:pPr>
        <w:spacing w:after="80" w:before="60"/>
      </w:pPr>
      <w:r>
        <w:rPr>
          <w:rFonts w:ascii="Calibri" w:cs="Calibri" w:eastAsia="Calibri" w:hAnsi="Calibri"/>
          <w:color w:val="1F2937"/>
          <w:sz w:val="22"/>
          <w:szCs w:val="22"/>
        </w:rPr>
        <w:t xml:space="preserve">All CC features were filtered to only include calls where Call_Date ≤ Prospect_Renewal_Date. This is the critical rule separating valid historical signals from leaky post-churn events.</w:t>
      </w:r>
    </w:p>
    <w:p>
      <w:pPr>
        <w:pStyle w:val="Heading3"/>
        <w:spacing w:after="60" w:before="180"/>
      </w:pPr>
      <w:r>
        <w:rPr>
          <w:rFonts w:ascii="Calibri" w:cs="Calibri" w:eastAsia="Calibri" w:hAnsi="Calibri"/>
          <w:b/>
          <w:bCs/>
          <w:color w:val="374151"/>
          <w:sz w:val="24"/>
          <w:szCs w:val="24"/>
        </w:rPr>
        <w:t xml:space="preserve">cc_customer_issues_concerns_flag</w:t>
      </w:r>
    </w:p>
    <w:p>
      <w:pPr>
        <w:spacing w:after="80" w:before="60"/>
      </w:pPr>
      <w:r>
        <w:rPr>
          <w:rFonts w:ascii="Calibri" w:cs="Calibri" w:eastAsia="Calibri" w:hAnsi="Calibri"/>
          <w:color w:val="1F2937"/>
          <w:sz w:val="22"/>
          <w:szCs w:val="22"/>
        </w:rPr>
        <w:t xml:space="preserve">Business interpretation: The second highest-weighted feature. A customer who has historically complained without satisfactory resolution carries lower satisfaction into any renewal decision. When combined with a price increase, this is a powerful churn predictor.</w:t>
      </w:r>
    </w:p>
    <w:p>
      <w:pPr>
        <w:pStyle w:val="Heading3"/>
        <w:spacing w:after="60" w:before="180"/>
      </w:pPr>
      <w:r>
        <w:rPr>
          <w:rFonts w:ascii="Calibri" w:cs="Calibri" w:eastAsia="Calibri" w:hAnsi="Calibri"/>
          <w:b/>
          <w:bCs/>
          <w:color w:val="374151"/>
          <w:sz w:val="24"/>
          <w:szCs w:val="24"/>
        </w:rPr>
        <w:t xml:space="preserve">cc_pricing_sentiment_impact_flag</w:t>
      </w:r>
    </w:p>
    <w:p>
      <w:pPr>
        <w:spacing w:after="80" w:before="60"/>
      </w:pPr>
      <w:r>
        <w:rPr>
          <w:rFonts w:ascii="Calibri" w:cs="Calibri" w:eastAsia="Calibri" w:hAnsi="Calibri"/>
          <w:color w:val="1F2937"/>
          <w:sz w:val="22"/>
          <w:szCs w:val="22"/>
        </w:rPr>
        <w:t xml:space="preserve">Business interpretation: A customer who has previously expressed dissatisfaction with pricing is financially sensitised. When they receive a further increase, they are more likely to act on pre-existing dissatisfaction.</w:t>
      </w:r>
    </w:p>
    <w:p>
      <w:pPr>
        <w:pStyle w:val="Heading3"/>
        <w:spacing w:after="60" w:before="180"/>
      </w:pPr>
      <w:r>
        <w:rPr>
          <w:rFonts w:ascii="Calibri" w:cs="Calibri" w:eastAsia="Calibri" w:hAnsi="Calibri"/>
          <w:b/>
          <w:bCs/>
          <w:color w:val="374151"/>
          <w:sz w:val="24"/>
          <w:szCs w:val="24"/>
        </w:rPr>
        <w:t xml:space="preserve">cc_business_struggles_financial_hardship_flag</w:t>
      </w:r>
    </w:p>
    <w:p>
      <w:pPr>
        <w:spacing w:after="80" w:before="60"/>
      </w:pPr>
      <w:r>
        <w:rPr>
          <w:rFonts w:ascii="Calibri" w:cs="Calibri" w:eastAsia="Calibri" w:hAnsi="Calibri"/>
          <w:color w:val="1F2937"/>
          <w:sz w:val="22"/>
          <w:szCs w:val="22"/>
        </w:rPr>
        <w:t xml:space="preserve">Business interpretation: Structurally different from price sensitivity — signals the customer's underlying business may not sustain the subscription regardless of loyalty. Companies in financial difficulty may churn due to inability to pay.</w:t>
      </w:r>
    </w:p>
    <w:p>
      <w:pPr>
        <w:pStyle w:val="Heading3"/>
        <w:spacing w:after="60" w:before="180"/>
      </w:pPr>
      <w:r>
        <w:rPr>
          <w:rFonts w:ascii="Calibri" w:cs="Calibri" w:eastAsia="Calibri" w:hAnsi="Calibri"/>
          <w:b/>
          <w:bCs/>
          <w:color w:val="374151"/>
          <w:sz w:val="24"/>
          <w:szCs w:val="24"/>
        </w:rPr>
        <w:t xml:space="preserve">cc_max_sentiment_issues</w:t>
      </w:r>
    </w:p>
    <w:p>
      <w:pPr>
        <w:spacing w:after="80" w:before="60"/>
      </w:pPr>
      <w:r>
        <w:rPr>
          <w:rFonts w:ascii="Calibri" w:cs="Calibri" w:eastAsia="Calibri" w:hAnsi="Calibri"/>
          <w:color w:val="1F2937"/>
          <w:sz w:val="22"/>
          <w:szCs w:val="22"/>
        </w:rPr>
        <w:t xml:space="preserve">Business interpretation: The severity score from the NLP sentiment pipeline applied to the customer's worst complaint call on record. Not just whether they complained, but how intensely — a score of 8/10 on a prior pricing call is a much stronger signal than 2/10.</w:t>
      </w:r>
    </w:p>
    <w:p>
      <w:pPr>
        <w:pStyle w:val="Heading2"/>
        <w:spacing w:after="80" w:before="240"/>
      </w:pPr>
      <w:r>
        <w:rPr>
          <w:rFonts w:ascii="Calibri" w:cs="Calibri" w:eastAsia="Calibri" w:hAnsi="Calibri"/>
          <w:b/>
          <w:bCs/>
          <w:color w:val="028090"/>
          <w:sz w:val="28"/>
          <w:szCs w:val="28"/>
        </w:rPr>
        <w:t xml:space="preserve">9.4 Pillar 4: Structural Platform Engagement</w:t>
      </w:r>
    </w:p>
    <w:p>
      <w:pPr>
        <w:pStyle w:val="Heading3"/>
        <w:spacing w:after="60" w:before="180"/>
      </w:pPr>
      <w:r>
        <w:rPr>
          <w:rFonts w:ascii="Calibri" w:cs="Calibri" w:eastAsia="Calibri" w:hAnsi="Calibri"/>
          <w:b/>
          <w:bCs/>
          <w:color w:val="374151"/>
          <w:sz w:val="24"/>
          <w:szCs w:val="24"/>
        </w:rPr>
        <w:t xml:space="preserve">last_connections</w:t>
      </w:r>
    </w:p>
    <w:p>
      <w:pPr>
        <w:spacing w:after="80" w:before="60"/>
      </w:pPr>
      <w:r>
        <w:rPr>
          <w:rFonts w:ascii="Calibri" w:cs="Calibri" w:eastAsia="Calibri" w:hAnsi="Calibri"/>
          <w:color w:val="1F2937"/>
          <w:sz w:val="22"/>
          <w:szCs w:val="22"/>
        </w:rPr>
        <w:t xml:space="preserve">Business interpretation: The count of integrations the customer maintained in their prior subscription year. Measures how deeply business operations are embedded in the platform. High connection counts create switching costs — the customer cannot easily replicate this integration elsewhere.</w:t>
      </w:r>
    </w:p>
    <w:p>
      <w:pPr>
        <w:pStyle w:val="Heading3"/>
        <w:spacing w:after="60" w:before="180"/>
      </w:pPr>
      <w:r>
        <w:rPr>
          <w:rFonts w:ascii="Calibri" w:cs="Calibri" w:eastAsia="Calibri" w:hAnsi="Calibri"/>
          <w:b/>
          <w:bCs/>
          <w:color w:val="374151"/>
          <w:sz w:val="24"/>
          <w:szCs w:val="24"/>
        </w:rPr>
        <w:t xml:space="preserve">anchoring_score</w:t>
      </w:r>
    </w:p>
    <w:p>
      <w:pPr>
        <w:spacing w:after="80" w:before="60"/>
      </w:pPr>
      <w:r>
        <w:rPr>
          <w:rFonts w:ascii="Calibri" w:cs="Calibri" w:eastAsia="Calibri" w:hAnsi="Calibri"/>
          <w:color w:val="1F2937"/>
          <w:sz w:val="22"/>
          <w:szCs w:val="22"/>
        </w:rPr>
        <w:t xml:space="preserve">Business interpretation: A composite metric scoring the breadth of product and service adoption per customer. A deeply embedded multi-product customer is significantly harder to lose than a single-tool subscriber, and this effect partially overrides even significant price shocks.</w:t>
      </w:r>
    </w:p>
    <w:p>
      <w:r>
        <w:br/>
      </w:r>
    </w:p>
    <w:p>
      <w:pPr>
        <w:pStyle w:val="Heading1"/>
        <w:spacing w:after="120" w:before="360"/>
      </w:pPr>
      <w:r>
        <w:rPr>
          <w:rFonts w:ascii="Calibri" w:cs="Calibri" w:eastAsia="Calibri" w:hAnsi="Calibri"/>
          <w:b/>
          <w:bCs/>
          <w:color w:val="0D1B4B"/>
          <w:sz w:val="36"/>
          <w:szCs w:val="36"/>
        </w:rPr>
        <w:t xml:space="preserve">10. Limitations &amp; Future Roadmap</w:t>
      </w:r>
    </w:p>
    <w:p>
      <w:pPr>
        <w:pBdr>
          <w:bottom w:val="single" w:color="028090" w:sz="6" w:space="1"/>
        </w:pBdr>
        <w:spacing w:after="120" w:before="120"/>
      </w:pPr>
    </w:p>
    <w:p>
      <w:pPr>
        <w:pStyle w:val="Heading2"/>
        <w:spacing w:after="80" w:before="240"/>
      </w:pPr>
      <w:r>
        <w:rPr>
          <w:rFonts w:ascii="Calibri" w:cs="Calibri" w:eastAsia="Calibri" w:hAnsi="Calibri"/>
          <w:b/>
          <w:bCs/>
          <w:color w:val="028090"/>
          <w:sz w:val="28"/>
          <w:szCs w:val="28"/>
        </w:rPr>
        <w:t xml:space="preserve">10.1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5"/>
        <w:gridCol w:w="6435"/>
      </w:tblGrid>
      <w:tr>
        <w:trPr>
          <w:tblHeader/>
        </w:trPr>
        <w:tc>
          <w:tcPr>
            <w:tcW w:type="dxa" w:w="2925"/>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Limitation</w:t>
            </w:r>
          </w:p>
        </w:tc>
        <w:tc>
          <w:tcPr>
            <w:tcW w:type="dxa" w:w="6435"/>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92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Static train/test split</w:t>
            </w:r>
          </w:p>
        </w:tc>
        <w:tc>
          <w:tcPr>
            <w:tcW w:type="dxa" w:w="643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Random 80/20 split does not simulate real-world deployment. A time-based split (e.g. train on 2022-2024, test on 2025) would better validate generalisation to unseen future data.</w:t>
            </w:r>
          </w:p>
        </w:tc>
      </w:tr>
      <w:tr>
        <w:tc>
          <w:tcPr>
            <w:tcW w:type="dxa" w:w="292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4-week proxy imprecision</w:t>
            </w:r>
          </w:p>
        </w:tc>
        <w:tc>
          <w:tcPr>
            <w:tcW w:type="dxa" w:w="643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Classifying open accounts as churned based on post-renewal call presence is a heuristic. Some of these customers may have eventually renewed, introducing noise into the training labels.</w:t>
            </w:r>
          </w:p>
        </w:tc>
      </w:tr>
      <w:tr>
        <w:tc>
          <w:tcPr>
            <w:tcW w:type="dxa" w:w="292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CC data sparsity</w:t>
            </w:r>
          </w:p>
        </w:tc>
        <w:tc>
          <w:tcPr>
            <w:tcW w:type="dxa" w:w="643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Only 6,022 of 25,925 customers have CC call records. Imputing 0 for non-callers is statistically conservative but may lose signal about genuinely silent at-risk customers.</w:t>
            </w:r>
          </w:p>
        </w:tc>
      </w:tr>
      <w:tr>
        <w:tc>
          <w:tcPr>
            <w:tcW w:type="dxa" w:w="292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Local path dependencies</w:t>
            </w:r>
          </w:p>
        </w:tc>
        <w:tc>
          <w:tcPr>
            <w:tcW w:type="dxa" w:w="6435"/>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Notebooks use relative file paths and basic hyperparameter grids, requiring manual configuration for production deployment.</w:t>
            </w:r>
          </w:p>
        </w:tc>
      </w:tr>
      <w:tr>
        <w:tc>
          <w:tcPr>
            <w:tcW w:type="dxa" w:w="292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No real-time scoring</w:t>
            </w:r>
          </w:p>
        </w:tc>
        <w:tc>
          <w:tcPr>
            <w:tcW w:type="dxa" w:w="6435"/>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The model is batch-trained and not yet integrated into a live CRM scoring pipeline.</w:t>
            </w:r>
          </w:p>
        </w:tc>
      </w:tr>
    </w:tbl>
    <w:p>
      <w:pPr>
        <w:pStyle w:val="Heading2"/>
        <w:spacing w:after="80" w:before="240"/>
      </w:pPr>
      <w:r>
        <w:rPr>
          <w:rFonts w:ascii="Calibri" w:cs="Calibri" w:eastAsia="Calibri" w:hAnsi="Calibri"/>
          <w:b/>
          <w:bCs/>
          <w:color w:val="028090"/>
          <w:sz w:val="28"/>
          <w:szCs w:val="28"/>
        </w:rPr>
        <w:t xml:space="preserve">10.2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730"/>
        <w:gridCol w:w="5070"/>
      </w:tblGrid>
      <w:tr>
        <w:trPr>
          <w:tblHeader/>
        </w:trPr>
        <w:tc>
          <w:tcPr>
            <w:tcW w:type="dxa" w:w="156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Phase</w:t>
            </w:r>
          </w:p>
        </w:tc>
        <w:tc>
          <w:tcPr>
            <w:tcW w:type="dxa" w:w="273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Enhancement</w:t>
            </w:r>
          </w:p>
        </w:tc>
        <w:tc>
          <w:tcPr>
            <w:tcW w:type="dxa" w:w="5070"/>
            <w:tcBorders>
              <w:top w:val="single" w:color="FFFFFF" w:sz="4"/>
              <w:left w:val="single" w:color="FFFFFF" w:sz="4"/>
              <w:bottom w:val="single" w:color="FFFFFF" w:sz="4"/>
              <w:right w:val="single" w:color="FFFFFF" w:sz="4"/>
            </w:tcBorders>
            <w:shd w:fill="0D1B4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15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Next</w:t>
            </w:r>
          </w:p>
        </w:tc>
        <w:tc>
          <w:tcPr>
            <w:tcW w:type="dxa" w:w="273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Time-based train/test split</w:t>
            </w:r>
          </w:p>
        </w:tc>
        <w:tc>
          <w:tcPr>
            <w:tcW w:type="dxa" w:w="50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Simulate real-world deployment by training on historical cohorts and testing on future renewal windows.</w:t>
            </w:r>
          </w:p>
        </w:tc>
      </w:tr>
      <w:tr>
        <w:tc>
          <w:tcPr>
            <w:tcW w:type="dxa" w:w="156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Near</w:t>
            </w:r>
          </w:p>
        </w:tc>
        <w:tc>
          <w:tcPr>
            <w:tcW w:type="dxa" w:w="273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XGBoost/LightGBM tuning</w:t>
            </w:r>
          </w:p>
        </w:tc>
        <w:tc>
          <w:tcPr>
            <w:tcW w:type="dxa" w:w="50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Extend hyperparameter search with Bayesian optimisation and cross-validation for more robust performance estimates.</w:t>
            </w:r>
          </w:p>
        </w:tc>
      </w:tr>
      <w:tr>
        <w:tc>
          <w:tcPr>
            <w:tcW w:type="dxa" w:w="15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Near</w:t>
            </w:r>
          </w:p>
        </w:tc>
        <w:tc>
          <w:tcPr>
            <w:tcW w:type="dxa" w:w="273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Churn Risk API</w:t>
            </w:r>
          </w:p>
        </w:tc>
        <w:tc>
          <w:tcPr>
            <w:tcW w:type="dxa" w:w="50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Deploy the trained model as a REST API endpoint for real-time CRM integration, enabling per-customer risk scoring at renewal time.</w:t>
            </w:r>
          </w:p>
        </w:tc>
      </w:tr>
      <w:tr>
        <w:tc>
          <w:tcPr>
            <w:tcW w:type="dxa" w:w="156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Future</w:t>
            </w:r>
          </w:p>
        </w:tc>
        <w:tc>
          <w:tcPr>
            <w:tcW w:type="dxa" w:w="273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SHAP explainability</w:t>
            </w:r>
          </w:p>
        </w:tc>
        <w:tc>
          <w:tcPr>
            <w:tcW w:type="dxa" w:w="50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Add a SHAP (SHapley Additive exPlanations) layer to provide per-customer, feature-level risk explanations for account managers.</w:t>
            </w:r>
          </w:p>
        </w:tc>
      </w:tr>
      <w:tr>
        <w:tc>
          <w:tcPr>
            <w:tcW w:type="dxa" w:w="15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Future</w:t>
            </w:r>
          </w:p>
        </w:tc>
        <w:tc>
          <w:tcPr>
            <w:tcW w:type="dxa" w:w="273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Survival analysis</w:t>
            </w:r>
          </w:p>
        </w:tc>
        <w:tc>
          <w:tcPr>
            <w:tcW w:type="dxa" w:w="507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r>
              <w:rPr>
                <w:rFonts w:ascii="Calibri" w:cs="Calibri" w:eastAsia="Calibri" w:hAnsi="Calibri"/>
                <w:color w:val="374151"/>
                <w:sz w:val="20"/>
                <w:szCs w:val="20"/>
              </w:rPr>
              <w:t xml:space="preserve">Model time-to-churn probability curves rather than a binary label, enabling more nuanced intervention timing.</w:t>
            </w:r>
          </w:p>
        </w:tc>
      </w:tr>
      <w:tr>
        <w:tc>
          <w:tcPr>
            <w:tcW w:type="dxa" w:w="156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Future</w:t>
            </w:r>
          </w:p>
        </w:tc>
        <w:tc>
          <w:tcPr>
            <w:tcW w:type="dxa" w:w="273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Feedback loop</w:t>
            </w:r>
          </w:p>
        </w:tc>
        <w:tc>
          <w:tcPr>
            <w:tcW w:type="dxa" w:w="5070"/>
            <w:tcBorders>
              <w:top w:val="single" w:color="D1D5DB" w:sz="2"/>
              <w:left w:val="single" w:color="D1D5DB" w:sz="2"/>
              <w:bottom w:val="single" w:color="D1D5DB" w:sz="2"/>
              <w:right w:val="single" w:color="D1D5DB" w:sz="2"/>
            </w:tcBorders>
            <w:shd w:fill="F5F7FA" w:val="clear"/>
            <w:tcMar>
              <w:top w:type="dxa" w:w="80"/>
              <w:left w:type="dxa" w:w="120"/>
              <w:bottom w:type="dxa" w:w="80"/>
              <w:right w:type="dxa" w:w="120"/>
            </w:tcMar>
          </w:tcPr>
          <w:p>
            <w:r>
              <w:rPr>
                <w:rFonts w:ascii="Calibri" w:cs="Calibri" w:eastAsia="Calibri" w:hAnsi="Calibri"/>
                <w:color w:val="374151"/>
                <w:sz w:val="20"/>
                <w:szCs w:val="20"/>
              </w:rPr>
              <w:t xml:space="preserve">Incorporate model-recommended interventions and their outcomes back into future training cycles for continuous learning.</w:t>
            </w:r>
          </w:p>
        </w:tc>
      </w:tr>
    </w:tbl>
    <w:p>
      <w:r>
        <w:br/>
      </w:r>
    </w:p>
    <w:p>
      <w:pPr>
        <w:pStyle w:val="Heading1"/>
        <w:spacing w:after="120" w:before="360"/>
      </w:pPr>
      <w:r>
        <w:rPr>
          <w:rFonts w:ascii="Calibri" w:cs="Calibri" w:eastAsia="Calibri" w:hAnsi="Calibri"/>
          <w:b/>
          <w:bCs/>
          <w:color w:val="0D1B4B"/>
          <w:sz w:val="36"/>
          <w:szCs w:val="36"/>
        </w:rPr>
        <w:t xml:space="preserve">11. Conclusions</w:t>
      </w:r>
    </w:p>
    <w:p>
      <w:pPr>
        <w:pBdr>
          <w:bottom w:val="single" w:color="028090" w:sz="6" w:space="1"/>
        </w:pBdr>
        <w:spacing w:after="120" w:before="120"/>
      </w:pPr>
    </w:p>
    <w:p>
      <w:pPr>
        <w:spacing w:after="80" w:before="60"/>
      </w:pPr>
      <w:r>
        <w:rPr>
          <w:rFonts w:ascii="Calibri" w:cs="Calibri" w:eastAsia="Calibri" w:hAnsi="Calibri"/>
          <w:color w:val="1F2937"/>
          <w:sz w:val="22"/>
          <w:szCs w:val="22"/>
        </w:rPr>
        <w:t xml:space="preserve">The Post-Renewal Churn Prediction project successfully delivered a production-quality binary classifier for identifying at-risk accreditation service customers before revenue leakage occurs. The model achieves 88% overall accuracy and a ROC-AUC of 0.94 on a held-out test set, built on a rigorously validated, leakage-free feature set.</w:t>
      </w:r>
    </w:p>
    <w:p>
      <w:pPr>
        <w:spacing w:after="80" w:before="60"/>
      </w:pPr>
      <w:r>
        <w:rPr>
          <w:rFonts w:ascii="Calibri" w:cs="Calibri" w:eastAsia="Calibri" w:hAnsi="Calibri"/>
          <w:color w:val="1F2937"/>
          <w:sz w:val="22"/>
          <w:szCs w:val="22"/>
        </w:rPr>
        <w:t xml:space="preserve">The most important finding of this project is not the model performance metric itself, but the process that produced it: a systematic three-category leakage audit that reduced raw accuracy from a misleading 99% to a genuine 88%. This discipline — distinguishing between features that predict churn and features that describe churn — is the foundation of a trustworthy production model.</w:t>
      </w:r>
    </w:p>
    <w:p>
      <w:pPr>
        <w:spacing w:after="80" w:before="60"/>
      </w:pPr>
      <w:r>
        <w:rPr>
          <w:rFonts w:ascii="Calibri" w:cs="Calibri" w:eastAsia="Calibri" w:hAnsi="Calibri"/>
          <w:color w:val="1F2937"/>
          <w:sz w:val="22"/>
          <w:szCs w:val="22"/>
        </w:rPr>
        <w:t xml:space="preserve">The four key business insights confirmed by both hypothesis testing and model feature importance are:</w:t>
      </w:r>
    </w:p>
    <w:p>
      <w:pPr>
        <w:pStyle w:val="ListParagraph"/>
        <w:numPr>
          <w:ilvl w:val="0"/>
          <w:numId w:val="2"/>
        </w:numPr>
        <w:spacing w:after="40" w:before="40"/>
      </w:pPr>
      <w:r>
        <w:rPr>
          <w:rFonts w:ascii="Calibri" w:cs="Calibri" w:eastAsia="Calibri" w:hAnsi="Calibri"/>
          <w:color w:val="374151"/>
          <w:sz w:val="22"/>
          <w:szCs w:val="22"/>
        </w:rPr>
        <w:t xml:space="preserve">Loyalty is the primary protective factor: tenure_scores and tenure_years are the strongest predictors of retention, reflecting the high switching costs and embedded compliance workflows of long-term subscribers.</w:t>
      </w:r>
    </w:p>
    <w:p>
      <w:pPr>
        <w:pStyle w:val="ListParagraph"/>
        <w:numPr>
          <w:ilvl w:val="0"/>
          <w:numId w:val="2"/>
        </w:numPr>
        <w:spacing w:after="40" w:before="40"/>
      </w:pPr>
      <w:r>
        <w:rPr>
          <w:rFonts w:ascii="Calibri" w:cs="Calibri" w:eastAsia="Calibri" w:hAnsi="Calibri"/>
          <w:color w:val="374151"/>
          <w:sz w:val="22"/>
          <w:szCs w:val="22"/>
        </w:rPr>
        <w:t xml:space="preserve">Historical complaints are leading indicators: CC friction signals recorded before the renewal date carry genuine predictive power for future churn, particularly when combined with price increases.</w:t>
      </w:r>
    </w:p>
    <w:p>
      <w:pPr>
        <w:pStyle w:val="ListParagraph"/>
        <w:numPr>
          <w:ilvl w:val="0"/>
          <w:numId w:val="2"/>
        </w:numPr>
        <w:spacing w:after="40" w:before="40"/>
      </w:pPr>
      <w:r>
        <w:rPr>
          <w:rFonts w:ascii="Calibri" w:cs="Calibri" w:eastAsia="Calibri" w:hAnsi="Calibri"/>
          <w:color w:val="374151"/>
          <w:sz w:val="22"/>
          <w:szCs w:val="22"/>
        </w:rPr>
        <w:t xml:space="preserve">Price sensitivity is nonlinear: The same percentage price increase carries very different churn risk depending on the customer's tenure, contract size, and prior complaint history.</w:t>
      </w:r>
    </w:p>
    <w:p>
      <w:pPr>
        <w:pStyle w:val="ListParagraph"/>
        <w:numPr>
          <w:ilvl w:val="0"/>
          <w:numId w:val="2"/>
        </w:numPr>
        <w:spacing w:after="40" w:before="40"/>
      </w:pPr>
      <w:r>
        <w:rPr>
          <w:rFonts w:ascii="Calibri" w:cs="Calibri" w:eastAsia="Calibri" w:hAnsi="Calibri"/>
          <w:color w:val="374151"/>
          <w:sz w:val="22"/>
          <w:szCs w:val="22"/>
        </w:rPr>
        <w:t xml:space="preserve">Platform depth creates retention: Customers with high connection counts and anchoring scores are structurally harder to lose, validating the business case for cross-sell and integration depth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6"/>
              <w:left w:val="single" w:color="028090" w:sz="24"/>
              <w:bottom w:val="single" w:color="028090" w:sz="6"/>
              <w:right w:val="single" w:color="028090" w:sz="6"/>
            </w:tcBorders>
            <w:shd w:fill="F5F7FA" w:val="clear"/>
            <w:tcMar>
              <w:top w:type="dxa" w:w="80"/>
              <w:left w:type="dxa" w:w="120"/>
              <w:bottom w:type="dxa" w:w="80"/>
              <w:right w:type="dxa" w:w="120"/>
            </w:tcMar>
          </w:tcPr>
          <w:p>
            <w:r>
              <w:rPr>
                <w:rFonts w:ascii="Calibri" w:cs="Calibri" w:eastAsia="Calibri" w:hAnsi="Calibri"/>
                <w:b/>
                <w:bCs/>
                <w:color w:val="028090"/>
                <w:sz w:val="22"/>
                <w:szCs w:val="22"/>
              </w:rPr>
              <w:t xml:space="preserve">Recommendation</w:t>
            </w:r>
          </w:p>
          <w:p>
            <w:pPr>
              <w:spacing w:before="40"/>
            </w:pPr>
            <w:r>
              <w:rPr>
                <w:rFonts w:ascii="Calibri" w:cs="Calibri" w:eastAsia="Calibri" w:hAnsi="Calibri"/>
                <w:color w:val="374151"/>
                <w:sz w:val="21"/>
                <w:szCs w:val="21"/>
              </w:rPr>
              <w:t xml:space="preserve">Deploy the model as a proactive CRM scoring layer that produces a daily churn risk score for all accounts approaching their renewal date. Prioritise human outreach for customers scoring above 0.6 probability, with particular attention to short-tenure, price-sensitive accounts that have prior CC complaint history.</w:t>
            </w:r>
          </w:p>
        </w:tc>
      </w:tr>
    </w:tbl>
    <w:p>
      <w:pPr>
        <w:spacing w:before="200"/>
      </w:pPr>
    </w:p>
    <w:p>
      <w:pPr>
        <w:spacing w:after="80" w:before="60"/>
      </w:pPr>
      <w:r>
        <w:rPr>
          <w:rFonts w:ascii="Calibri" w:cs="Calibri" w:eastAsia="Calibri" w:hAnsi="Calibri"/>
          <w:b/>
          <w:bCs/>
          <w:color w:val="0D1B4B"/>
          <w:sz w:val="22"/>
          <w:szCs w:val="22"/>
        </w:rPr>
        <w:t xml:space="preserve">DS Team 16 — JMAN Group —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1"/>
      </w:pBdr>
      <w:tabs>
        <w:tab w:val="right" w:pos="9026"/>
      </w:tabs>
    </w:pPr>
    <w:r>
      <w:rPr>
        <w:rFonts w:ascii="Calibri" w:cs="Calibri" w:eastAsia="Calibri" w:hAnsi="Calibri"/>
        <w:color w:val="6B7280"/>
        <w:sz w:val="16"/>
        <w:szCs w:val="16"/>
      </w:rPr>
      <w:t xml:space="preserve">Circulation Limited – Commercial Confidential</w:t>
    </w:r>
    <w:r>
      <w:rPr>
        <w:sz w:val="16"/>
        <w:szCs w:val="16"/>
      </w:rPr>
      <w:t xml:space="preserve">	</w:t>
    </w:r>
    <w:r>
      <w:rPr>
        <w:rFonts w:ascii="Calibri" w:cs="Calibri" w:eastAsia="Calibri" w:hAnsi="Calibri"/>
        <w:color w:val="6B7280"/>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6" w:space="1"/>
      </w:pBdr>
      <w:tabs>
        <w:tab w:val="right" w:pos="9026"/>
      </w:tabs>
    </w:pPr>
    <w:r>
      <w:rPr>
        <w:rFonts w:ascii="Calibri" w:cs="Calibri" w:eastAsia="Calibri" w:hAnsi="Calibri"/>
        <w:color w:val="0D1B4B"/>
        <w:sz w:val="18"/>
        <w:szCs w:val="18"/>
      </w:rPr>
      <w:t xml:space="preserve">Post-Renewal Churn Prediction — Technical Documentation</w:t>
    </w:r>
    <w:r>
      <w:rPr>
        <w:sz w:val="18"/>
        <w:szCs w:val="18"/>
      </w:rPr>
      <w:t xml:space="preserve">	</w:t>
    </w:r>
    <w:r>
      <w:rPr>
        <w:rFonts w:ascii="Calibri" w:cs="Calibri" w:eastAsia="Calibri" w:hAnsi="Calibri"/>
        <w:color w:val="6B7280"/>
        <w:sz w:val="18"/>
        <w:szCs w:val="18"/>
      </w:rPr>
      <w:t xml:space="preserve">DS Team 16 | JMAN Group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D1B4B"/>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028090"/>
      <w:sz w:val="28"/>
      <w:szCs w:val="28"/>
    </w:rPr>
  </w:style>
  <w:style w:type="paragraph" w:styleId="Heading3">
    <w:name w:val="Heading 3"/>
    <w:basedOn w:val="Normal"/>
    <w:next w:val="Normal"/>
    <w:qFormat/>
    <w:pPr>
      <w:spacing w:after="60" w:before="18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2026-04-15T05:47:25.968Z</dcterms:created>
  <dcterms:modified xsi:type="dcterms:W3CDTF">2026-04-15T05:47:25.970Z</dcterms:modified>
</cp:coreProperties>
</file>

<file path=docProps/custom.xml><?xml version="1.0" encoding="utf-8"?>
<Properties xmlns="http://schemas.openxmlformats.org/officeDocument/2006/custom-properties" xmlns:vt="http://schemas.openxmlformats.org/officeDocument/2006/docPropsVTypes"/>
</file>