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Pr>
          <w:rFonts w:ascii="Times" w:eastAsia="Times" w:hAnsi="Times" w:cs="Times"/>
          <w:lang w:val="en-US"/>
        </w:rPr>
      </w:pPr>
      <w:bookmarkStart w:id="0" w:name="_GoBack"/>
      <w:bookmarkEnd w:id="0"/>
    </w:p>
    <w:p>
      <w:pPr>
        <w:rPr>
          <w:rFonts w:ascii="Times" w:eastAsia="Times" w:hAnsi="Times" w:cs="Times"/>
          <w:lang w:val="en-US"/>
        </w:rPr>
      </w:pPr>
    </w:p>
    <w:p>
      <w:pPr>
        <w:rPr>
          <w:rFonts w:ascii="Times" w:eastAsia="Times" w:hAnsi="Times" w:cs="Times"/>
          <w:lang w:val="en-US"/>
        </w:rPr>
      </w:pPr>
    </w:p>
    <w:p>
      <w:pPr>
        <w:ind w:left="2880"/>
        <w:rPr>
          <w:rFonts w:ascii="Times" w:eastAsia="Times" w:hAnsi="Times" w:cs="Times"/>
          <w:lang w:val="en-US"/>
        </w:rPr>
      </w:pPr>
      <w:r>
        <w:rPr>
          <w:rFonts w:ascii="Times" w:eastAsia="Times" w:hAnsi="Times" w:cs="Times"/>
          <w:lang w:val="en-US"/>
        </w:rPr>
        <w:t xml:space="preserve">          A Proposal for a Master’s Thesis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To be Entitled</w:t>
      </w:r>
    </w:p>
    <w:p>
      <w:pPr>
        <w:rPr>
          <w:rFonts w:ascii="Times" w:eastAsia="Times" w:hAnsi="Times" w:cs="Times"/>
          <w:lang w:val="en-US"/>
        </w:rPr>
      </w:pPr>
      <w:r>
        <w:rPr>
          <w:rFonts w:ascii="Times" w:hAnsi="Times" w:cs="Times"/>
          <w:lang w:val="en-US"/>
        </w:rPr>
        <w:t xml:space="preserve">  HIV-PrEP Indicator Reporting (HIR): A Data Pipeline developed on Health Data Lab Frameworks </w:t>
      </w:r>
    </w:p>
    <w:p>
      <w:pPr>
        <w:ind w:left="4320"/>
        <w:rPr>
          <w:rFonts w:ascii="Times" w:eastAsia="Times" w:hAnsi="Times" w:cs="Times"/>
          <w:lang w:val="en-US"/>
        </w:rPr>
      </w:pPr>
      <w:r>
        <w:rPr>
          <w:rFonts w:ascii="Times" w:eastAsia="Times" w:hAnsi="Times" w:cs="Times"/>
          <w:lang w:val="en-US"/>
        </w:rPr>
        <w:t xml:space="preserve">       by </w:t>
      </w:r>
    </w:p>
    <w:p>
      <w:pPr>
        <w:rPr>
          <w:rFonts w:ascii="Times" w:eastAsia="Times" w:hAnsi="Times" w:cs="Times"/>
          <w:lang w:val="en-US"/>
        </w:rPr>
      </w:pPr>
    </w:p>
    <w:p>
      <w:pPr>
        <w:ind w:left="3600"/>
        <w:rPr>
          <w:rFonts w:ascii="Times" w:eastAsia="Times" w:hAnsi="Times" w:cs="Times"/>
          <w:lang w:val="en-US"/>
        </w:rPr>
      </w:pPr>
      <w:r>
        <w:rPr>
          <w:rFonts w:ascii="Times" w:eastAsia="Times" w:hAnsi="Times" w:cs="Times"/>
          <w:lang w:val="en-US"/>
        </w:rPr>
        <w:t xml:space="preserve">      [Gokul Thothathri] </w:t>
      </w: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 xml:space="preserve">            To Be Submitted in Fulfillment for the Degree of MASTER OF SCIENCE BIOINFORMATICS</w:t>
      </w:r>
    </w:p>
    <w:p>
      <w:pPr>
        <w:rPr>
          <w:rFonts w:ascii="Times" w:eastAsia="Times" w:hAnsi="Times" w:cs="Times"/>
          <w:lang w:val="en-US"/>
        </w:rPr>
      </w:pPr>
    </w:p>
    <w:p>
      <w:pPr>
        <w:rPr>
          <w:rFonts w:ascii="Times" w:eastAsia="Times" w:hAnsi="Times" w:cs="Times"/>
          <w:lang w:val="en-US"/>
        </w:rPr>
      </w:pPr>
    </w:p>
    <w:p>
      <w:pPr>
        <w:ind w:left="2880" w:firstLine="720"/>
        <w:rPr>
          <w:rFonts w:ascii="Times" w:eastAsia="Times" w:hAnsi="Times" w:cs="Times"/>
          <w:lang w:val="en-US"/>
        </w:rPr>
      </w:pPr>
      <w:r>
        <w:rPr>
          <w:rFonts w:ascii="Times" w:eastAsia="Times" w:hAnsi="Times" w:cs="Times"/>
          <w:lang w:val="en-US"/>
        </w:rPr>
        <w:t xml:space="preserve">          01 - 16 - 2024</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(Thesis Advisor/Examiner 1)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r>
        <w:rPr>
          <w:rFonts w:ascii="Times" w:eastAsia="Times" w:hAnsi="Times" w:cs="Times"/>
          <w:lang w:val="en-US"/>
        </w:rPr>
        <w:t>Approved: _______________________</w:t>
      </w:r>
      <w:r>
        <w:rPr>
          <w:rFonts w:ascii="Times" w:eastAsia="Times" w:hAnsi="Times" w:cs="Times"/>
          <w:lang w:val="en-US"/>
        </w:rPr>
        <w:tab/>
      </w:r>
      <w:r>
        <w:rPr>
          <w:rFonts w:ascii="Times" w:eastAsia="Times" w:hAnsi="Times" w:cs="Times"/>
          <w:lang w:val="en-US"/>
        </w:rPr>
        <w:tab/>
      </w:r>
      <w:r>
        <w:rPr>
          <w:rFonts w:ascii="Times" w:eastAsia="Times" w:hAnsi="Times" w:cs="Times"/>
          <w:lang w:val="en-US"/>
        </w:rPr>
        <w:tab/>
        <w:t xml:space="preserve">    </w:t>
      </w:r>
      <w:r>
        <w:rPr>
          <w:rFonts w:ascii="Times" w:eastAsia="Times" w:hAnsi="Times" w:cs="Times"/>
          <w:lang w:val="en-US"/>
        </w:rPr>
        <w:tab/>
        <w:t xml:space="preserve"> </w:t>
      </w:r>
      <w:r>
        <w:rPr>
          <w:rFonts w:ascii="Times" w:eastAsia="Times" w:hAnsi="Times" w:cs="Times"/>
          <w:lang w:val="en-US"/>
        </w:rPr>
        <w:tab/>
        <w:t>Date:  ______________</w:t>
      </w:r>
    </w:p>
    <w:p>
      <w:pPr>
        <w:rPr>
          <w:rFonts w:ascii="Times" w:eastAsia="Times" w:hAnsi="Times" w:cs="Times"/>
          <w:lang w:val="en-US"/>
        </w:rPr>
      </w:pPr>
      <w:r>
        <w:rPr>
          <w:rFonts w:ascii="Times" w:eastAsia="Times" w:hAnsi="Times" w:cs="Times"/>
          <w:lang w:val="en-US"/>
        </w:rPr>
        <w:t xml:space="preserve">  (Supervisor/Examiner 2) </w:t>
      </w: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rPr>
          <w:rFonts w:ascii="Times" w:eastAsia="Times" w:hAnsi="Times" w:cs="Times"/>
          <w:lang w:val="en-US"/>
        </w:rPr>
      </w:pPr>
    </w:p>
    <w:p>
      <w:pPr>
        <w:pStyle w:val="Heading3"/>
        <w:keepNext w:val="0"/>
        <w:keepLines w:val="0"/>
        <w:spacing w:before="280"/>
        <w:rPr>
          <w:rFonts w:ascii="Times" w:eastAsia="Times" w:hAnsi="Times" w:cs="Times"/>
          <w:b/>
          <w:color w:val="auto"/>
          <w:sz w:val="26"/>
          <w:szCs w:val="26"/>
          <w:lang w:val="en-US"/>
        </w:rPr>
      </w:pPr>
      <w:bookmarkStart w:id="1" w:name="_rv9fmdvz1kyw" w:colFirst="0" w:colLast="0"/>
      <w:bookmarkEnd w:id="1"/>
    </w:p>
    <w:p>
      <w:pPr>
        <w:pStyle w:val="Heading3"/>
        <w:keepNext w:val="0"/>
        <w:keepLines w:val="0"/>
        <w:spacing w:before="280"/>
        <w:rPr>
          <w:rFonts w:ascii="Times" w:eastAsia="Times" w:hAnsi="Times" w:cs="Times"/>
          <w:b/>
          <w:color w:val="auto"/>
          <w:sz w:val="26"/>
          <w:szCs w:val="26"/>
          <w:lang w:val="en-US"/>
        </w:rPr>
      </w:pPr>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lastRenderedPageBreak/>
        <w:t>1 Title</w:t>
      </w:r>
      <w:bookmarkStart w:id="2" w:name="_ukss7r91gex" w:colFirst="0" w:colLast="0"/>
      <w:bookmarkEnd w:id="2"/>
    </w:p>
    <w:p>
      <w:pPr>
        <w:pStyle w:val="Heading3"/>
        <w:keepNext w:val="0"/>
        <w:keepLines w:val="0"/>
        <w:spacing w:before="280"/>
        <w:rPr>
          <w:rFonts w:ascii="Times" w:eastAsia="Times" w:hAnsi="Times" w:cs="Times"/>
          <w:b/>
          <w:color w:val="auto"/>
          <w:sz w:val="26"/>
          <w:szCs w:val="26"/>
          <w:lang w:val="en-US"/>
        </w:rPr>
      </w:pPr>
      <w:r>
        <w:rPr>
          <w:rFonts w:ascii="Times" w:hAnsi="Times" w:cs="Times"/>
          <w:color w:val="auto"/>
          <w:sz w:val="22"/>
          <w:szCs w:val="22"/>
          <w:lang w:val="en-US"/>
        </w:rPr>
        <w:t xml:space="preserve">HIV-PrEP Indicator Reporting (HIR): A Data Pipeline developed on Health Data Lab Frameworks </w:t>
      </w:r>
    </w:p>
    <w:p>
      <w:pPr>
        <w:pStyle w:val="Heading3"/>
        <w:keepNext w:val="0"/>
        <w:keepLines w:val="0"/>
        <w:spacing w:before="280"/>
        <w:rPr>
          <w:rFonts w:ascii="Times" w:eastAsia="Times" w:hAnsi="Times" w:cs="Times"/>
          <w:b/>
          <w:color w:val="auto"/>
          <w:sz w:val="26"/>
          <w:szCs w:val="26"/>
          <w:lang w:val="en-US"/>
        </w:rPr>
      </w:pPr>
      <w:r>
        <w:rPr>
          <w:rFonts w:ascii="Times" w:eastAsia="Times" w:hAnsi="Times" w:cs="Times"/>
          <w:b/>
          <w:color w:val="auto"/>
          <w:sz w:val="26"/>
          <w:szCs w:val="26"/>
          <w:lang w:val="en-US"/>
        </w:rPr>
        <w:t>2 Abstract</w:t>
      </w:r>
    </w:p>
    <w:p>
      <w:pPr>
        <w:pStyle w:val="Heading3"/>
        <w:keepNext w:val="0"/>
        <w:keepLines w:val="0"/>
        <w:spacing w:before="280"/>
        <w:jc w:val="both"/>
        <w:rPr>
          <w:rFonts w:ascii="Times" w:hAnsi="Times" w:cs="Times"/>
          <w:color w:val="auto"/>
          <w:sz w:val="22"/>
          <w:szCs w:val="22"/>
          <w:lang w:val="en-US"/>
        </w:rPr>
      </w:pPr>
      <w:r>
        <w:rPr>
          <w:rFonts w:ascii="Times" w:hAnsi="Times" w:cs="Times"/>
          <w:color w:val="auto"/>
          <w:sz w:val="22"/>
          <w:szCs w:val="22"/>
          <w:lang w:val="en-US"/>
        </w:rPr>
        <w:t xml:space="preserve"> HIV pre-exposure prophylaxis (PrEP) programs are essential in preventing the transmission of HIV, requiring efficient monitoring and reporting frameworks to assess their reach and impact. HIV pre-exposure prophylaxis (PrEP) aims to develop a robust and scalable data analysis pipeline for reporting HIV-PrEP indicators, leveraging anonymized health data and aligning with the indicator framework defined by the European Centre for Disease Prevention and Control (ECDC)</w:t>
      </w:r>
      <w:r>
        <w:rPr>
          <w:rFonts w:ascii="Times" w:eastAsia="Times" w:hAnsi="Times" w:cs="Times"/>
          <w:color w:val="auto"/>
          <w:sz w:val="22"/>
          <w:szCs w:val="22"/>
          <w:lang w:val="en-US"/>
        </w:rPr>
        <w:t xml:space="preserve"> [1]</w:t>
      </w:r>
      <w:r>
        <w:rPr>
          <w:rFonts w:ascii="Times" w:hAnsi="Times" w:cs="Times"/>
          <w:color w:val="auto"/>
          <w:sz w:val="22"/>
          <w:szCs w:val="22"/>
          <w:lang w:val="en-US"/>
        </w:rPr>
        <w:t xml:space="preserve">. Using anonymized datasets generated by the Health Data Lab, the methodology automates data cleaning, integration, and transformation processes to compute and report key metrics. The proposed pipeline follows a structured workflow, incorporating advanced anonymization techniques, including k-anonymity and pseudonym replacement, to ensure privacy compliance. It integrates relational data across multiple tables, as defined by the dataset's entity-relationship model (ER Diagrams), and maps indicators to relevant fields for computational calculation </w:t>
      </w:r>
      <w:r>
        <w:rPr>
          <w:rFonts w:ascii="Times" w:eastAsia="Times" w:hAnsi="Times" w:cs="Times"/>
          <w:color w:val="auto"/>
          <w:sz w:val="22"/>
          <w:szCs w:val="22"/>
          <w:lang w:val="en-US"/>
        </w:rPr>
        <w:t>[2]</w:t>
      </w:r>
      <w:r>
        <w:rPr>
          <w:rFonts w:ascii="Times" w:hAnsi="Times" w:cs="Times"/>
          <w:color w:val="auto"/>
          <w:sz w:val="22"/>
          <w:szCs w:val="22"/>
          <w:lang w:val="en-US"/>
        </w:rPr>
        <w:t>.</w:t>
      </w:r>
      <w:r>
        <w:rPr>
          <w:color w:val="auto"/>
          <w:lang w:val="en-US"/>
        </w:rPr>
        <w:t xml:space="preserve"> </w:t>
      </w:r>
      <w:r>
        <w:rPr>
          <w:rFonts w:ascii="Times" w:hAnsi="Times" w:cs="Times"/>
          <w:color w:val="auto"/>
          <w:sz w:val="22"/>
          <w:szCs w:val="22"/>
          <w:lang w:val="en-US"/>
        </w:rPr>
        <w:t xml:space="preserve">The methodology outputs comprehensive reports, offering insights into program performance while remaining adaptable to future extensions or real-world data. The project proposal aims to address the critical challenges in public health informatics, including the ethical handling of sensitive data and the automation of complex reporting tasks. By reducing the time and effort required for manual reporting, the proposed pipeline not only supports efficient monitoring of HIV-PrEP programs but also serves as a blueprint for scalable and privacy-preserving data solutions in healthcare </w:t>
      </w:r>
      <w:r>
        <w:rPr>
          <w:rFonts w:ascii="Times" w:eastAsia="Times" w:hAnsi="Times" w:cs="Times"/>
          <w:color w:val="auto"/>
          <w:sz w:val="22"/>
          <w:szCs w:val="22"/>
          <w:lang w:val="en-US"/>
        </w:rPr>
        <w:t>[3]</w:t>
      </w:r>
      <w:r>
        <w:rPr>
          <w:rFonts w:ascii="Times" w:hAnsi="Times" w:cs="Times"/>
          <w:color w:val="auto"/>
          <w:sz w:val="22"/>
          <w:szCs w:val="22"/>
          <w:lang w:val="en-US"/>
        </w:rPr>
        <w:t>. The results are expected to contribute to public health decision-making and improve resource allocation for HIV prevention strategies.</w:t>
      </w:r>
    </w:p>
    <w:p>
      <w:pPr>
        <w:pStyle w:val="Heading3"/>
        <w:keepNext w:val="0"/>
        <w:keepLines w:val="0"/>
        <w:spacing w:before="280"/>
        <w:rPr>
          <w:rFonts w:ascii="Times" w:eastAsia="Times" w:hAnsi="Times" w:cs="Times"/>
          <w:b/>
          <w:color w:val="auto"/>
          <w:sz w:val="26"/>
          <w:szCs w:val="26"/>
          <w:lang w:val="en-US"/>
        </w:rPr>
      </w:pPr>
      <w:bookmarkStart w:id="3" w:name="_7f8c9o1h4b10" w:colFirst="0" w:colLast="0"/>
      <w:bookmarkEnd w:id="3"/>
      <w:r>
        <w:rPr>
          <w:rFonts w:ascii="Times" w:eastAsia="Times" w:hAnsi="Times" w:cs="Times"/>
          <w:b/>
          <w:color w:val="auto"/>
          <w:sz w:val="26"/>
          <w:szCs w:val="26"/>
          <w:lang w:val="en-US"/>
        </w:rPr>
        <w:t>3 Introduction</w:t>
      </w:r>
    </w:p>
    <w:p>
      <w:pPr>
        <w:jc w:val="both"/>
        <w:rPr>
          <w:rFonts w:ascii="Times" w:hAnsi="Times" w:cs="Times"/>
          <w:b/>
          <w:i/>
          <w:lang w:val="en-US"/>
        </w:rPr>
      </w:pPr>
      <w:r>
        <w:rPr>
          <w:rFonts w:ascii="Times" w:hAnsi="Times" w:cs="Times"/>
          <w:b/>
          <w:i/>
          <w:lang w:val="en-US"/>
        </w:rPr>
        <w:t>Health Data: Resources and Tools from FDZ Gesundheit (</w:t>
      </w:r>
      <w:proofErr w:type="spellStart"/>
      <w:r>
        <w:rPr>
          <w:rFonts w:ascii="Times" w:hAnsi="Times" w:cs="Times"/>
          <w:b/>
          <w:i/>
          <w:lang w:val="en-US"/>
        </w:rPr>
        <w:t>DaTrav</w:t>
      </w:r>
      <w:proofErr w:type="spellEnd"/>
      <w:r>
        <w:rPr>
          <w:rFonts w:ascii="Times" w:hAnsi="Times" w:cs="Times"/>
          <w:b/>
          <w:i/>
          <w:lang w:val="en-US"/>
        </w:rPr>
        <w:t xml:space="preserve"> Structure)</w:t>
      </w:r>
    </w:p>
    <w:p>
      <w:pPr>
        <w:jc w:val="both"/>
        <w:rPr>
          <w:rFonts w:ascii="Times" w:eastAsia="Times" w:hAnsi="Times" w:cs="Times"/>
          <w:lang w:val="en-US"/>
        </w:rPr>
      </w:pPr>
      <w:r>
        <w:rPr>
          <w:rFonts w:ascii="Times" w:hAnsi="Times" w:cs="Times"/>
          <w:lang w:val="en-US"/>
        </w:rPr>
        <w:t xml:space="preserve">The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w:t>
      </w:r>
      <w:r>
        <w:rPr>
          <w:rStyle w:val="Strong"/>
          <w:rFonts w:ascii="Times" w:hAnsi="Times" w:cs="Times"/>
          <w:b w:val="0"/>
          <w:lang w:val="en-US"/>
        </w:rPr>
        <w:t>Entity-Relationship (ER) diagrams</w:t>
      </w:r>
      <w:r>
        <w:rPr>
          <w:rFonts w:ascii="Times" w:hAnsi="Times" w:cs="Times"/>
          <w:b/>
          <w:lang w:val="en-US"/>
        </w:rPr>
        <w:t>,</w:t>
      </w:r>
      <w:r>
        <w:rPr>
          <w:rFonts w:ascii="Times" w:hAnsi="Times" w:cs="Times"/>
          <w:lang w:val="en-US"/>
        </w:rPr>
        <w:t xml:space="preserve"> which visually map the relationships between tables, facilitating efficient data integration and analysis. Additionally, the main FDZ Gesundheit website explains the broader context and purpose of the data lab, 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This ensures 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w:t>
      </w:r>
    </w:p>
    <w:p>
      <w:pPr>
        <w:rPr>
          <w:rFonts w:ascii="Times" w:hAnsi="Times" w:cs="Times"/>
          <w:b/>
          <w:i/>
          <w:lang w:val="en-US"/>
        </w:rPr>
      </w:pPr>
      <w:r>
        <w:rPr>
          <w:rFonts w:ascii="Times" w:eastAsia="Times" w:hAnsi="Times" w:cs="Times"/>
          <w:b/>
          <w:sz w:val="26"/>
          <w:szCs w:val="26"/>
          <w:lang w:val="en-US"/>
        </w:rPr>
        <w:lastRenderedPageBreak/>
        <w:br/>
      </w:r>
      <w:r>
        <w:rPr>
          <w:rFonts w:ascii="Times" w:hAnsi="Times" w:cs="Times"/>
          <w:b/>
          <w:i/>
          <w:lang w:val="en-US"/>
        </w:rPr>
        <w:t>PrEP Indicators: Measuring the Impact of HIV Prevention Strategies</w:t>
      </w:r>
    </w:p>
    <w:p>
      <w:pPr>
        <w:rPr>
          <w:rFonts w:ascii="Times" w:hAnsi="Times" w:cs="Times"/>
          <w:b/>
          <w:i/>
          <w:lang w:val="en-US"/>
        </w:rPr>
      </w:pPr>
    </w:p>
    <w:p>
      <w:pPr>
        <w:jc w:val="both"/>
        <w:rPr>
          <w:rFonts w:ascii="Times" w:eastAsia="Times" w:hAnsi="Times" w:cs="Times"/>
          <w:lang w:val="en-US"/>
        </w:rPr>
      </w:pPr>
      <w:r>
        <w:rPr>
          <w:rFonts w:ascii="Times" w:hAnsi="Times" w:cs="Times"/>
          <w:lang w:val="en-US"/>
        </w:rPr>
        <w:t>The European Centre for Disease Prevention and Control (ECDC) has established a comprehensive framework for monitoring HIV pre-exposure prophylaxis (PrEP) programs across the EU/EEA</w:t>
      </w:r>
      <w:r>
        <w:rPr>
          <w:rFonts w:ascii="Times" w:eastAsia="Times" w:hAnsi="Times" w:cs="Times"/>
          <w:lang w:val="en-US"/>
        </w:rPr>
        <w:t xml:space="preserve"> [6]</w:t>
      </w:r>
      <w:r>
        <w:rPr>
          <w:rFonts w:ascii="Times" w:hAnsi="Times" w:cs="Times"/>
          <w:lang w:val="en-US"/>
        </w:rPr>
        <w:t>. This framework includes indicators that are categorized into three domains: pre-uptake, uptake and coverage, and continued and effective use. Pre-uptake indicators evaluate factors influencing PrEP adoption, such as service availability, awareness among potential users, and willingness to use PrEP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approach, PrEP program performance can be systematically assessed, gaps identified, and strategies optimized to enhance HIV prevention efforts across diverse populations. This robust monitoring framework enables data-driven decision-making to advance public health objectives. Monitoring will be vital to understand whether programs succeed in engaging people into using PrEP appropriately, and in reducing the HIV epidemic.</w:t>
      </w:r>
      <w:r>
        <w:rPr>
          <w:rFonts w:ascii="Times" w:eastAsia="Times" w:hAnsi="Times" w:cs="Times"/>
          <w:lang w:val="en-US"/>
        </w:rPr>
        <w:t xml:space="preserve"> [5]</w:t>
      </w:r>
    </w:p>
    <w:p>
      <w:pPr>
        <w:jc w:val="both"/>
        <w:rPr>
          <w:rFonts w:ascii="Times" w:hAnsi="Times" w:cs="Times"/>
          <w:b/>
          <w:i/>
          <w:lang w:val="en-US"/>
        </w:rPr>
      </w:pPr>
      <w:r>
        <w:rPr>
          <w:rFonts w:ascii="Times" w:eastAsia="Times" w:hAnsi="Times" w:cs="Times"/>
          <w:lang w:val="en-US"/>
        </w:rPr>
        <w:br/>
      </w:r>
      <w:r>
        <w:rPr>
          <w:rFonts w:ascii="Times" w:hAnsi="Times" w:cs="Times"/>
          <w:b/>
          <w:i/>
          <w:lang w:val="en-US"/>
        </w:rPr>
        <w:t>PrEP Surv: A Comprehensive Initiative for Monitoring HIV Prevention in Germany</w:t>
      </w:r>
      <w:bookmarkStart w:id="4" w:name="_ufn1gzfkdpwf" w:colFirst="0" w:colLast="0"/>
      <w:bookmarkStart w:id="5" w:name="_qcriw3oqlop1" w:colFirst="0" w:colLast="0"/>
      <w:bookmarkEnd w:id="4"/>
      <w:bookmarkEnd w:id="5"/>
    </w:p>
    <w:p>
      <w:pPr>
        <w:pStyle w:val="Heading3"/>
        <w:keepNext w:val="0"/>
        <w:keepLines w:val="0"/>
        <w:spacing w:before="280"/>
        <w:jc w:val="both"/>
        <w:rPr>
          <w:rFonts w:ascii="Times" w:hAnsi="Times" w:cs="Times"/>
          <w:color w:val="auto"/>
          <w:sz w:val="22"/>
          <w:szCs w:val="22"/>
          <w:lang w:val="en-US"/>
        </w:rPr>
      </w:pPr>
      <w:r>
        <w:rPr>
          <w:rFonts w:ascii="Times" w:hAnsi="Times" w:cs="Times"/>
          <w:color w:val="auto"/>
          <w:sz w:val="22"/>
          <w:szCs w:val="22"/>
          <w:lang w:val="en-US"/>
        </w:rPr>
        <w:t xml:space="preserve">PrEP Surv (PrEP Surveillance), initiated by the German Federal Ministry of Health (BMG), represents a pivotal effort in the surveillance and evaluation of HIV pre-exposure prophylaxis (PrEP) among HIV-negative populations in Germany. Building on the outcomes of the prior project, "Evaluation of the Introduction of HIV Pre-Exposure Prophylaxis as a Benefit of Statutory Health Insurance," PrEP Surv is designed to monitor the efficacy and reach of PrEP within the framework of statutory health insurance (STI). The initiative encompasses key components of PrEP care, including the administration of [tenofovir disoproxil + emtricitabine, TDF/FTC] </w:t>
      </w:r>
      <w:r>
        <w:rPr>
          <w:rFonts w:ascii="Times" w:eastAsia="Times" w:hAnsi="Times" w:cs="Times"/>
          <w:color w:val="auto"/>
          <w:sz w:val="22"/>
          <w:szCs w:val="22"/>
          <w:lang w:val="en-US"/>
        </w:rPr>
        <w:t>[4]</w:t>
      </w:r>
      <w:r>
        <w:rPr>
          <w:rFonts w:ascii="Times" w:hAnsi="Times" w:cs="Times"/>
          <w:color w:val="auto"/>
          <w:sz w:val="22"/>
          <w:szCs w:val="22"/>
          <w:lang w:val="en-US"/>
        </w:rPr>
        <w:t>, patient counseling, medication supply, and associated medical precautions such as diagnostic follow-ups. The launch of PrEP Surv marks the translation of evaluation findings into a structured surveillance program, aligned with EU-PrEP monitoring guidelines. A primary focus of the initiative is to assess the incidence and development of sexually transmitted infections (STIs) and HIV among PrEP users in Germany. This effort necessitates the integration of extensive datasets sourced from diverse entities, including pharmacies, health insurance providers, and the Health Data Lab (FDZ). PrEP Surv operates across three interconnected modules: (1) secondary data collection from pharmacies, health insurers, and FDZ, (2) enhancement of data collection from German HIV specialty care centers within the dägna network to strengthen PrEP service reporting, and (3) collaboration with communal bodies to identify barriers to PrEP access and address unmet needs in HIV prevention. By leveraging these comprehensive data streams, PrEP Surv aims to advance the penetration of PrEP services and establish an evidence-based foundation for future HIV monitoring strategies in Germany.</w:t>
      </w:r>
    </w:p>
    <w:p>
      <w:pPr>
        <w:rPr>
          <w:lang w:val="en-US"/>
        </w:rPr>
      </w:pPr>
    </w:p>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lastRenderedPageBreak/>
        <w:t>4 Objectives</w:t>
      </w:r>
      <w:bookmarkStart w:id="6" w:name="_fkabhgcgrfy9" w:colFirst="0" w:colLast="0"/>
      <w:bookmarkStart w:id="7" w:name="_k209k6sxzguo" w:colFirst="0" w:colLast="0"/>
      <w:bookmarkEnd w:id="6"/>
      <w:bookmarkEnd w:id="7"/>
    </w:p>
    <w:p>
      <w:pPr>
        <w:pStyle w:val="ListParagraph"/>
        <w:numPr>
          <w:ilvl w:val="0"/>
          <w:numId w:val="6"/>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To develop a robust data pipeline, named HIR (HIV-PrEP Indicator Reporting), for automating data processing and reporting.</w:t>
      </w:r>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To integrate datasets from the Health Data Lab (FDZ) into a unified framework using entity-relationship (ER) diagrams.</w:t>
      </w:r>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To implement advanced anonymization techniques, such as k-anonymity and pseudonym replacement, ensuring compliance with privacy standards.</w:t>
      </w:r>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To automate data cleaning, integration, and transformation processes to prepare datasets for analysis.</w:t>
      </w:r>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hAnsi="Times" w:cs="Times"/>
          <w:lang w:val="en-US"/>
        </w:rPr>
        <w:t>To map ECDC-defined PrEP indicators to the Health Data Lab datasets for computational calculation. (Core, supplementary and optional PrEP indicators, such as PrEP coverage, new PrEP Users, and PrEP-to-Need Ratio (PnR), in alignment with EU guidelines and ensuring the reporting system is adaptable for real-world data and future extensions.</w:t>
      </w:r>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Validation of HIR pipeline’s performance using mock datasets from FDZ, ensuring accuracy and efficiency in indicator computation.</w:t>
      </w:r>
    </w:p>
    <w:p>
      <w:pPr>
        <w:numPr>
          <w:ilvl w:val="0"/>
          <w:numId w:val="6"/>
        </w:numPr>
        <w:spacing w:before="100" w:beforeAutospacing="1" w:after="100" w:afterAutospacing="1" w:line="240" w:lineRule="auto"/>
        <w:jc w:val="both"/>
        <w:rPr>
          <w:rFonts w:ascii="Times" w:eastAsia="Times New Roman" w:hAnsi="Times" w:cs="Times"/>
          <w:lang w:val="en-US"/>
        </w:rPr>
      </w:pPr>
      <w:r>
        <w:rPr>
          <w:rFonts w:ascii="Times" w:eastAsia="Times New Roman" w:hAnsi="Times" w:cs="Times"/>
          <w:lang w:val="en-US"/>
        </w:rPr>
        <w:t>Provide scalable blueprint for similar data-driven public health initiatives.</w:t>
      </w:r>
    </w:p>
    <w:p>
      <w:pPr>
        <w:pStyle w:val="Heading3"/>
        <w:keepNext w:val="0"/>
        <w:keepLines w:val="0"/>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t>5 Literature Review</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 xml:space="preserve">A Review of Anonymization for Healthcare Data </w:t>
      </w:r>
      <w:r>
        <w:rPr>
          <w:rFonts w:ascii="Times" w:eastAsia="Times" w:hAnsi="Times" w:cs="Times"/>
          <w:lang w:val="en-US"/>
        </w:rPr>
        <w:t xml:space="preserve">[7] </w:t>
      </w:r>
      <w:r>
        <w:rPr>
          <w:rFonts w:ascii="Times" w:eastAsia="Times New Roman" w:hAnsi="Times" w:cs="Times"/>
          <w:lang w:val="en-US"/>
        </w:rPr>
        <w:t xml:space="preserve">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Monitoring HIV pre-exposure prophylaxis programs in the EU/EEA (ECDC, 2024)</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Algorithms to anonymize structured medical and healthcare data: A systematic review </w:t>
      </w:r>
      <w:r>
        <w:rPr>
          <w:rFonts w:ascii="Times" w:eastAsia="Times" w:hAnsi="Times" w:cs="Times"/>
          <w:lang w:val="en-US"/>
        </w:rPr>
        <w:t xml:space="preserve">[8] </w:t>
      </w:r>
      <w:r>
        <w:rPr>
          <w:rFonts w:ascii="Times" w:eastAsia="Times New Roman" w:hAnsi="Times" w:cs="Times"/>
          <w:lang w:val="en-US"/>
        </w:rPr>
        <w:t xml:space="preserve">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A richly interactive exploratory data analysis and visualization tool using electronic medical records </w:t>
      </w:r>
      <w:r>
        <w:rPr>
          <w:rFonts w:ascii="Times" w:eastAsia="Times" w:hAnsi="Times" w:cs="Times"/>
          <w:lang w:val="en-US"/>
        </w:rPr>
        <w:t xml:space="preserve">[9] </w:t>
      </w:r>
      <w:r>
        <w:rPr>
          <w:rFonts w:ascii="Times" w:eastAsia="Times New Roman" w:hAnsi="Times" w:cs="Times"/>
          <w:lang w:val="en-US"/>
        </w:rPr>
        <w:t xml:space="preserve">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hAnsi="Times" w:cs="Times"/>
          <w:lang w:val="en-US"/>
        </w:rPr>
        <w:t xml:space="preserve">Effective Environmental Public Health Surveillance Programs: A Framework for identifying and evaluating data resources and indicators </w:t>
      </w:r>
      <w:r>
        <w:rPr>
          <w:rFonts w:ascii="Times" w:eastAsia="Times" w:hAnsi="Times" w:cs="Times"/>
          <w:lang w:val="en-US"/>
        </w:rPr>
        <w:t xml:space="preserve">[10] </w:t>
      </w:r>
    </w:p>
    <w:p>
      <w:pPr>
        <w:pStyle w:val="ListParagraph"/>
        <w:numPr>
          <w:ilvl w:val="0"/>
          <w:numId w:val="9"/>
        </w:numPr>
        <w:spacing w:before="100" w:beforeAutospacing="1" w:after="100" w:afterAutospacing="1" w:line="240" w:lineRule="auto"/>
        <w:rPr>
          <w:rFonts w:ascii="Times" w:eastAsia="Times New Roman" w:hAnsi="Times" w:cs="Times"/>
          <w:lang w:val="en-US"/>
        </w:rPr>
      </w:pPr>
      <w:r>
        <w:rPr>
          <w:rFonts w:ascii="Times" w:eastAsia="Times New Roman" w:hAnsi="Times" w:cs="Times"/>
          <w:lang w:val="en-US"/>
        </w:rPr>
        <w:t>Interactive</w:t>
      </w:r>
      <w:r>
        <w:rPr>
          <w:rFonts w:ascii="Times" w:hAnsi="Times" w:cs="Times"/>
          <w:lang w:val="en-US"/>
        </w:rPr>
        <w:t xml:space="preserve"> Visualization Applications in Population Health and Health Services Research: Systematic Scoping Review </w:t>
      </w:r>
      <w:r>
        <w:rPr>
          <w:rFonts w:ascii="Times" w:eastAsia="Times" w:hAnsi="Times" w:cs="Times"/>
          <w:lang w:val="en-US"/>
        </w:rPr>
        <w:t>[11]</w:t>
      </w:r>
    </w:p>
    <w:p>
      <w:pPr>
        <w:pStyle w:val="Heading3"/>
        <w:keepNext w:val="0"/>
        <w:keepLines w:val="0"/>
        <w:spacing w:before="280"/>
        <w:rPr>
          <w:rFonts w:ascii="Times" w:eastAsia="Times" w:hAnsi="Times" w:cs="Times"/>
          <w:color w:val="auto"/>
          <w:lang w:val="en-US"/>
        </w:rPr>
      </w:pPr>
      <w:bookmarkStart w:id="8" w:name="_s58dviltvpky" w:colFirst="0" w:colLast="0"/>
      <w:bookmarkEnd w:id="8"/>
      <w:r>
        <w:rPr>
          <w:rFonts w:ascii="Times" w:eastAsia="Times" w:hAnsi="Times" w:cs="Times"/>
          <w:b/>
          <w:color w:val="auto"/>
          <w:sz w:val="26"/>
          <w:szCs w:val="26"/>
          <w:lang w:val="en-US"/>
        </w:rPr>
        <w:t xml:space="preserve">6 Methodology </w:t>
      </w:r>
    </w:p>
    <w:p>
      <w:pPr>
        <w:pStyle w:val="Heading4"/>
        <w:keepNext w:val="0"/>
        <w:keepLines w:val="0"/>
        <w:spacing w:before="240" w:after="40"/>
        <w:rPr>
          <w:rFonts w:ascii="Times" w:eastAsia="Times" w:hAnsi="Times" w:cs="Times"/>
          <w:b/>
          <w:i/>
          <w:color w:val="auto"/>
          <w:sz w:val="22"/>
          <w:szCs w:val="22"/>
          <w:lang w:val="en-US"/>
        </w:rPr>
      </w:pPr>
      <w:bookmarkStart w:id="9" w:name="_3fnnbrc2cjsb" w:colFirst="0" w:colLast="0"/>
      <w:bookmarkEnd w:id="9"/>
      <w:r>
        <w:rPr>
          <w:rFonts w:ascii="Times" w:eastAsia="Times" w:hAnsi="Times" w:cs="Times"/>
          <w:b/>
          <w:i/>
          <w:color w:val="auto"/>
          <w:sz w:val="22"/>
          <w:szCs w:val="22"/>
          <w:lang w:val="en-US"/>
        </w:rPr>
        <w:t>6.1 Data Collection</w:t>
      </w:r>
    </w:p>
    <w:p>
      <w:pPr>
        <w:pStyle w:val="NormalWeb"/>
        <w:jc w:val="both"/>
        <w:rPr>
          <w:rFonts w:ascii="Times" w:hAnsi="Times" w:cs="Times"/>
          <w:sz w:val="22"/>
          <w:szCs w:val="22"/>
          <w:lang w:val="en-US"/>
        </w:rPr>
      </w:pPr>
      <w:r>
        <w:rPr>
          <w:rFonts w:ascii="Times" w:eastAsia="Times" w:hAnsi="Times" w:cs="Times"/>
          <w:sz w:val="22"/>
          <w:szCs w:val="22"/>
          <w:lang w:val="en-US"/>
        </w:rPr>
        <w:t xml:space="preserve">PrEP Surv will gather data from diverse sources to ensure a comprehensive understanding of PrEP usage and its impact. Secondary data will be collected from pharmacies, the statutory health insurance (SHI) system, and the FDZ Health Data Lab, providing a robust quantitative foundation. This will be complemented by the integration of service-specific data from HIV specialty care centers within the dägna network, offering insights into the operational aspects of PrEP provision. To address the social and systemic barriers to PrEP adoption, qualitative data will be collected from communal bodies. This multi-faceted approach will enable a holistic evaluation of PrEP adoption, effectiveness, and accessibility within Germany's healthcare system. </w:t>
      </w:r>
      <w:r>
        <w:rPr>
          <w:rFonts w:ascii="Times" w:hAnsi="Times" w:cs="Times"/>
          <w:sz w:val="22"/>
          <w:szCs w:val="22"/>
          <w:lang w:val="en-US"/>
        </w:rPr>
        <w:t xml:space="preserve">PrEP indicators, as defined by the European Centre for Disease Prevention and Control (ECDC), are essential metrics for monitoring the reach, adoption, and effectiveness of HIV pre-exposure prophylaxis (PrEP) programs. These indicators are categorized into three domains: pre-uptake, uptake and coverage, and continued and effective use. To calculate these indicators, comprehensive data collection is required, particularly focusing on quantitative and qualitative datasets that align with the indicator framework. The Health Data Lab (FDZ Gesundheit) plays a critical role in providing the necessary datasets for calculating these indicators. The FDZ offers anonymized datasets that include detailed records on patient demographics, prescription data, healthcare service utilization, and regional health statistics. </w:t>
      </w:r>
      <w:r>
        <w:rPr>
          <w:rFonts w:ascii="Times" w:hAnsi="Times" w:cs="Times"/>
          <w:sz w:val="22"/>
          <w:szCs w:val="22"/>
          <w:lang w:val="en-US"/>
        </w:rPr>
        <w:lastRenderedPageBreak/>
        <w:t xml:space="preserve">These datasets are structured using entity-relationship (ER) diagrams, which map the relationships between various tables, ensuring seamless integration and analysis. Data collected from the Health Data Lab supports the computation of core PrEP indicators such as: </w:t>
      </w:r>
      <w:r>
        <w:rPr>
          <w:rFonts w:ascii="Times" w:hAnsi="Times" w:cs="Times"/>
          <w:bCs/>
          <w:sz w:val="22"/>
          <w:szCs w:val="22"/>
          <w:lang w:val="en-US"/>
        </w:rPr>
        <w:t>PrEP Coverage</w:t>
      </w:r>
      <w:r>
        <w:rPr>
          <w:rFonts w:ascii="Times" w:hAnsi="Times" w:cs="Times"/>
          <w:sz w:val="22"/>
          <w:szCs w:val="22"/>
          <w:lang w:val="en-US"/>
        </w:rPr>
        <w:t xml:space="preserve">: The proportion of individuals using PrEP relative to the population at risk. </w:t>
      </w:r>
      <w:r>
        <w:rPr>
          <w:rFonts w:ascii="Times" w:hAnsi="Times" w:cs="Times"/>
          <w:bCs/>
          <w:sz w:val="22"/>
          <w:szCs w:val="22"/>
          <w:lang w:val="en-US"/>
        </w:rPr>
        <w:t>PrEP Uptake</w:t>
      </w:r>
      <w:r>
        <w:rPr>
          <w:rFonts w:ascii="Times" w:hAnsi="Times" w:cs="Times"/>
          <w:sz w:val="22"/>
          <w:szCs w:val="22"/>
          <w:lang w:val="en-US"/>
        </w:rPr>
        <w:t xml:space="preserve">: The number of current and new PrEP users during a given period. </w:t>
      </w:r>
      <w:r>
        <w:rPr>
          <w:rFonts w:ascii="Times" w:hAnsi="Times" w:cs="Times"/>
          <w:bCs/>
          <w:sz w:val="22"/>
          <w:szCs w:val="22"/>
          <w:lang w:val="en-US"/>
        </w:rPr>
        <w:t>PrEP-to-Need Ratio (PnR)</w:t>
      </w:r>
      <w:r>
        <w:rPr>
          <w:rFonts w:ascii="Times" w:hAnsi="Times" w:cs="Times"/>
          <w:sz w:val="22"/>
          <w:szCs w:val="22"/>
          <w:lang w:val="en-US"/>
        </w:rPr>
        <w:t xml:space="preserve">: A comparison of PrEP usage to the number of new HIV diagnoses, serving as a proxy for program reach. </w:t>
      </w:r>
      <w:r>
        <w:rPr>
          <w:rFonts w:ascii="Times" w:hAnsi="Times" w:cs="Times"/>
          <w:bCs/>
          <w:sz w:val="22"/>
          <w:szCs w:val="22"/>
          <w:lang w:val="en-US"/>
        </w:rPr>
        <w:t>Continuation Rates</w:t>
      </w:r>
      <w:r>
        <w:rPr>
          <w:rFonts w:ascii="Times" w:hAnsi="Times" w:cs="Times"/>
          <w:sz w:val="22"/>
          <w:szCs w:val="22"/>
          <w:lang w:val="en-US"/>
        </w:rPr>
        <w:t>: The proportion of users who remain on PrEP after a year of initiation. The collected data is subjected to advanced anonymization techniques, including k-anonymity and pseudonym replacement, to safeguard patient privacy. These privacy-preserving measures enable the Health Data Lab to provide datasets that are both secure and analytically robust. By leveraging the structured datasets from FDZ and aligning them with ECDC-defined PrEP indicators, this project ensures a data-driven approach to understanding and enhancing PrEP adoption, effectiveness, and accessibility across Germany.</w:t>
      </w:r>
    </w:p>
    <w:p>
      <w:pPr>
        <w:pStyle w:val="Heading4"/>
        <w:keepNext w:val="0"/>
        <w:keepLines w:val="0"/>
        <w:spacing w:before="240" w:after="40"/>
        <w:rPr>
          <w:rFonts w:ascii="Times" w:eastAsia="Times" w:hAnsi="Times" w:cs="Times"/>
          <w:b/>
          <w:i/>
          <w:color w:val="auto"/>
          <w:sz w:val="22"/>
          <w:szCs w:val="22"/>
          <w:lang w:val="en-US"/>
        </w:rPr>
      </w:pPr>
      <w:bookmarkStart w:id="10" w:name="_g8267ac7uy0w" w:colFirst="0" w:colLast="0"/>
      <w:bookmarkEnd w:id="10"/>
      <w:r>
        <w:rPr>
          <w:rFonts w:ascii="Times" w:eastAsia="Times" w:hAnsi="Times" w:cs="Times"/>
          <w:b/>
          <w:i/>
          <w:color w:val="auto"/>
          <w:sz w:val="22"/>
          <w:szCs w:val="22"/>
          <w:lang w:val="en-US"/>
        </w:rPr>
        <w:t>6.2. Pipeline Architecture: HIR (</w:t>
      </w:r>
      <w:r>
        <w:rPr>
          <w:rFonts w:ascii="Times" w:eastAsia="Times New Roman" w:hAnsi="Times" w:cs="Times"/>
          <w:b/>
          <w:i/>
          <w:color w:val="auto"/>
          <w:sz w:val="22"/>
          <w:szCs w:val="22"/>
          <w:lang w:val="en-US"/>
        </w:rPr>
        <w:t>HIV-PrEP Indicator Reporting</w:t>
      </w:r>
      <w:r>
        <w:rPr>
          <w:rFonts w:ascii="Times" w:eastAsia="Times" w:hAnsi="Times" w:cs="Times"/>
          <w:b/>
          <w:i/>
          <w:color w:val="auto"/>
          <w:sz w:val="22"/>
          <w:szCs w:val="22"/>
          <w:lang w:val="en-US"/>
        </w:rPr>
        <w:t>)</w:t>
      </w:r>
    </w:p>
    <w:p>
      <w:pPr>
        <w:jc w:val="both"/>
        <w:rPr>
          <w:rFonts w:ascii="Times" w:hAnsi="Times" w:cs="Times"/>
          <w:sz w:val="20"/>
          <w:lang w:val="en-US"/>
        </w:rPr>
      </w:pPr>
      <w:r>
        <w:rPr>
          <w:rFonts w:ascii="Times" w:hAnsi="Times" w:cs="Times"/>
          <w:lang w:val="en-US"/>
        </w:rPr>
        <w:t>The development of the HIV-PrEP Indicator Reporting (HIR) pipeline involves creating a robust, automated system for processing and analyzing health datasets to compute key PrEP indicators. This process includes multiple stages, each designed to ensure the pipeline is scalable, efficient, and compliant with privacy standards.  The pipeline begins with datasets provided by the</w:t>
      </w:r>
      <w:r>
        <w:rPr>
          <w:rFonts w:ascii="Times" w:hAnsi="Times" w:cs="Times"/>
          <w:b/>
          <w:lang w:val="en-US"/>
        </w:rPr>
        <w:t xml:space="preserve"> </w:t>
      </w:r>
      <w:r>
        <w:rPr>
          <w:rStyle w:val="Strong"/>
          <w:rFonts w:ascii="Times" w:hAnsi="Times" w:cs="Times"/>
          <w:b w:val="0"/>
          <w:lang w:val="en-US"/>
        </w:rPr>
        <w:t>Health Data Lab (FDZ Gesundheit)</w:t>
      </w:r>
      <w:r>
        <w:rPr>
          <w:rFonts w:ascii="Times" w:hAnsi="Times" w:cs="Times"/>
          <w:b/>
          <w:lang w:val="en-US"/>
        </w:rPr>
        <w:t xml:space="preserve">, </w:t>
      </w:r>
      <w:r>
        <w:rPr>
          <w:rFonts w:ascii="Times" w:hAnsi="Times" w:cs="Times"/>
          <w:lang w:val="en-US"/>
        </w:rPr>
        <w:t xml:space="preserve">which serves as the foundation for all subsequent processes. These datasets are well-structured and anonymized, containing patient demographics, prescription records, and healthcare service utilization data. Entity-relationship (ER) diagrams are used to map the interconnections between tables, ensuring accurate integration and analysis. The second step involves aligning the datasets with </w:t>
      </w:r>
      <w:r>
        <w:rPr>
          <w:rStyle w:val="Strong"/>
          <w:rFonts w:ascii="Times" w:hAnsi="Times" w:cs="Times"/>
          <w:b w:val="0"/>
          <w:lang w:val="en-US"/>
        </w:rPr>
        <w:t>PrEP indicators</w:t>
      </w:r>
      <w:r>
        <w:rPr>
          <w:rFonts w:ascii="Times" w:hAnsi="Times" w:cs="Times"/>
          <w:lang w:val="en-US"/>
        </w:rPr>
        <w:t xml:space="preserve"> defined by the European Centre for Disease Prevention and Control (ECDC). This step maps relevant fields in the FDZ datasets to the ECDC-defined indicators for accurate calculations. The anonymized datasets are further processed into </w:t>
      </w:r>
      <w:r>
        <w:rPr>
          <w:rStyle w:val="Strong"/>
          <w:rFonts w:ascii="Times" w:hAnsi="Times" w:cs="Times"/>
          <w:b w:val="0"/>
          <w:lang w:val="en-US"/>
        </w:rPr>
        <w:t>Public Use Files (PUFs)</w:t>
      </w:r>
      <w:r>
        <w:rPr>
          <w:rFonts w:ascii="Times" w:hAnsi="Times" w:cs="Times"/>
          <w:b/>
          <w:lang w:val="en-US"/>
        </w:rPr>
        <w:t>.</w:t>
      </w:r>
      <w:r>
        <w:rPr>
          <w:rFonts w:ascii="Times" w:hAnsi="Times" w:cs="Times"/>
          <w:lang w:val="en-US"/>
        </w:rPr>
        <w:t xml:space="preserve"> These PUFs are generated using privacy-preserving techniques such as k-anonymity and pseudonym replacement to ensure compliance with data protection standards. The Public Use File (PUFs) serve as an intermediary dataset, allowing the pipeline to operate on secure and anonymized information without compromising analytical utility. At the core of the architecture is the </w:t>
      </w:r>
      <w:r>
        <w:rPr>
          <w:rStyle w:val="Strong"/>
          <w:rFonts w:ascii="Times" w:hAnsi="Times" w:cs="Times"/>
          <w:b w:val="0"/>
          <w:lang w:val="en-US"/>
        </w:rPr>
        <w:t>HIR pipeline</w:t>
      </w:r>
      <w:r>
        <w:rPr>
          <w:rFonts w:ascii="Times" w:hAnsi="Times" w:cs="Times"/>
          <w:b/>
          <w:lang w:val="en-US"/>
        </w:rPr>
        <w:t>,</w:t>
      </w:r>
      <w:r>
        <w:rPr>
          <w:rFonts w:ascii="Times" w:hAnsi="Times" w:cs="Times"/>
          <w:lang w:val="en-US"/>
        </w:rPr>
        <w:t xml:space="preserve"> which automates: (1) Data cleaning and transformation (2) Integration of Public Use File (PUF) datasets into a unified framework (3) Computational calculations for key indicators like prEP coverage, uptake, and the prEP-to-Need Ration (PnR). The pipeline processes the PUF-generated data to compute the required PrEP indicators. This ensures privacy compliance while enabling accurate calculation and analysis of metrics. Mock datasets are used during development to validate the pipeline’s performance before applying it to live data. The pipeline outputs </w:t>
      </w:r>
      <w:r>
        <w:rPr>
          <w:rStyle w:val="Strong"/>
          <w:rFonts w:ascii="Times" w:hAnsi="Times" w:cs="Times"/>
          <w:b w:val="0"/>
          <w:lang w:val="en-US"/>
        </w:rPr>
        <w:t>comprehensive reports</w:t>
      </w:r>
      <w:r>
        <w:rPr>
          <w:rFonts w:ascii="Times" w:hAnsi="Times" w:cs="Times"/>
          <w:lang w:val="en-US"/>
        </w:rPr>
        <w:t xml:space="preserve"> in the form of </w:t>
      </w:r>
      <w:r>
        <w:rPr>
          <w:rFonts w:ascii="Times" w:hAnsi="Times" w:cs="Times"/>
          <w:sz w:val="20"/>
          <w:lang w:val="en-US"/>
        </w:rPr>
        <w:t xml:space="preserve">(1) Tabular outputs (2) Visualizations, </w:t>
      </w:r>
      <w:r>
        <w:rPr>
          <w:rFonts w:ascii="Times" w:hAnsi="Times" w:cs="Times"/>
          <w:lang w:val="en-US"/>
        </w:rPr>
        <w:t>these reports are essential for public health decision-making, providing insights into the performance of PrEP programs, gaps in implementation, and areas requiring improvement. This architecture demonstrates how the HIR pipeline integrates diverse datasets, aligns them with standardized PrEP indicators, and transforms anonymized data into actionable insights. By leveraging privacy-preserving methods and automated workflows, the pipeline ensures efficient and ethical reporting to support public health monitoring and improve resource allocation for HIV prevention strategies.</w:t>
      </w:r>
    </w:p>
    <w:p>
      <w:pPr>
        <w:rPr>
          <w:rFonts w:ascii="Times" w:hAnsi="Times" w:cs="Times"/>
          <w:lang w:val="en-US"/>
        </w:rPr>
      </w:pPr>
      <w:r>
        <w:rPr>
          <w:rFonts w:ascii="Times" w:eastAsia="Times" w:hAnsi="Times" w:cs="Times"/>
          <w:noProof/>
          <w:lang w:val="en-US"/>
        </w:rPr>
        <w:lastRenderedPageBreak/>
        <w:drawing>
          <wp:inline distT="0" distB="0" distL="0" distR="0">
            <wp:extent cx="6314536"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R_Architechture_quality.png"/>
                    <pic:cNvPicPr/>
                  </pic:nvPicPr>
                  <pic:blipFill>
                    <a:blip r:embed="rId5">
                      <a:extLst>
                        <a:ext uri="{28A0092B-C50C-407E-A947-70E740481C1C}">
                          <a14:useLocalDpi xmlns:a14="http://schemas.microsoft.com/office/drawing/2010/main" val="0"/>
                        </a:ext>
                      </a:extLst>
                    </a:blip>
                    <a:stretch>
                      <a:fillRect/>
                    </a:stretch>
                  </pic:blipFill>
                  <pic:spPr>
                    <a:xfrm>
                      <a:off x="0" y="0"/>
                      <a:ext cx="6332086" cy="3476736"/>
                    </a:xfrm>
                    <a:prstGeom prst="rect">
                      <a:avLst/>
                    </a:prstGeom>
                  </pic:spPr>
                </pic:pic>
              </a:graphicData>
            </a:graphic>
          </wp:inline>
        </w:drawing>
      </w:r>
      <w:r>
        <w:rPr>
          <w:rFonts w:ascii="Times" w:eastAsia="Times" w:hAnsi="Times" w:cs="Times"/>
          <w:lang w:val="en-US"/>
        </w:rPr>
        <w:br/>
        <w:t xml:space="preserve">. </w:t>
      </w:r>
    </w:p>
    <w:p>
      <w:pPr>
        <w:pStyle w:val="Heading4"/>
        <w:keepNext w:val="0"/>
        <w:keepLines w:val="0"/>
        <w:spacing w:before="240" w:after="40"/>
        <w:rPr>
          <w:rFonts w:ascii="Times" w:eastAsia="Times" w:hAnsi="Times" w:cs="Times"/>
          <w:i/>
          <w:color w:val="auto"/>
          <w:sz w:val="22"/>
          <w:szCs w:val="22"/>
          <w:lang w:val="en-US"/>
        </w:rPr>
      </w:pPr>
      <w:bookmarkStart w:id="11" w:name="_75ffnx335xb6" w:colFirst="0" w:colLast="0"/>
      <w:bookmarkEnd w:id="11"/>
      <w:r>
        <w:rPr>
          <w:rFonts w:ascii="Times" w:eastAsia="Times" w:hAnsi="Times" w:cs="Times"/>
          <w:b/>
          <w:color w:val="auto"/>
          <w:sz w:val="22"/>
          <w:szCs w:val="22"/>
          <w:lang w:val="en-US"/>
        </w:rPr>
        <w:t xml:space="preserve">6.3 </w:t>
      </w:r>
      <w:r>
        <w:rPr>
          <w:rFonts w:ascii="Times" w:eastAsia="Times" w:hAnsi="Times" w:cs="Times"/>
          <w:b/>
          <w:i/>
          <w:color w:val="auto"/>
          <w:sz w:val="22"/>
          <w:szCs w:val="22"/>
          <w:lang w:val="en-US"/>
        </w:rPr>
        <w:t>Data Analysis</w:t>
      </w:r>
    </w:p>
    <w:p>
      <w:pPr>
        <w:spacing w:before="240" w:after="240"/>
        <w:jc w:val="both"/>
        <w:rPr>
          <w:rFonts w:ascii="Times" w:hAnsi="Times" w:cs="Times"/>
        </w:rPr>
      </w:pPr>
      <w:r>
        <w:rPr>
          <w:rFonts w:ascii="Times" w:eastAsia="Times" w:hAnsi="Times" w:cs="Times"/>
          <w:lang w:val="en-US"/>
        </w:rPr>
        <w:t xml:space="preserve">The project will assess its impact through key metrics, including the adoption rates of PrEP and the incidence of HIV and sexually transmitted infections (STIs) among PrEP users. These metrics will provide crucial insights into the effectiveness and reach of PrEP services within the healthcare system. </w:t>
      </w:r>
      <w:r>
        <w:rPr>
          <w:rFonts w:ascii="Times" w:hAnsi="Times" w:cs="Times"/>
        </w:rPr>
        <w:t xml:space="preserve">The </w:t>
      </w:r>
      <w:r>
        <w:rPr>
          <w:rStyle w:val="Strong"/>
          <w:rFonts w:ascii="Times" w:hAnsi="Times" w:cs="Times"/>
          <w:b w:val="0"/>
        </w:rPr>
        <w:t>HIR (HIV-PrEP Indicator Reporting) Algorithm</w:t>
      </w:r>
      <w:r>
        <w:rPr>
          <w:rStyle w:val="Strong"/>
          <w:rFonts w:ascii="Times" w:hAnsi="Times" w:cs="Times"/>
        </w:rPr>
        <w:t xml:space="preserve"> </w:t>
      </w:r>
      <w:r>
        <w:rPr>
          <w:rFonts w:ascii="Times" w:hAnsi="Times" w:cs="Times"/>
        </w:rPr>
        <w:t xml:space="preserve">will be designed to automate the processing, integration, and analysis of health data to compute key PrEP indicators. The pipeline takes in anonymized dataset structure from the Health Data Lab (FDZ Gesundheit), which include patient demographics, prescription records, and healthcare service data. The data is generated using Public Use File protocol, where each variable in the dataset is independently sampled without replacement to break any relationships or correlations with other variables ensuring that all the univariate distributions and errors are preserved whereas all variable correlations are eliminated. The protocol uses anonymization techniques such as k-anonymity and pseudonym replacement where the identifiers (e.g., patient IDs) are replaced with randomly generated pseudonyms using pools of valid identifiers. Overall the PUF structure maintains the same structure as the DaTrav structure with core components of Entity-Relationship (ER) models, tables and variables, Data models and structural components such as Primary Keys (PK), relationships, Hierarchical Variables, Anonymized data and standardization.  The data pre-processing steps include handling missing or inconsistent values, standardizing formats across datasets (date formats, variable names) followed by removing duplicates and irrelevant records.  Secondly, the algorithm uses ER diagrams to integrate relational datasets, ensuring consistency in linking tables such as patient records, prescriptions, and service data. Further the algorithm maps relevant data fields to the core, supplementary and optional indicators defined by the European Centre for Disease Prevention and Control (ECDC). Key indicators include: prEP coverage, prEP uptake, prEP-to-Need Ration (PnR) and continuation rates. These computations are performed for specific timeframes (eg., annually and quarterly) to monitor trends. The validations will be </w:t>
      </w:r>
      <w:r>
        <w:rPr>
          <w:rFonts w:ascii="Times" w:hAnsi="Times" w:cs="Times"/>
        </w:rPr>
        <w:lastRenderedPageBreak/>
        <w:t>performed using running test cases on mock datasets to ensure accuracy and comparing calculated metrics against benchmark values and historical data. The data analysis will be distinguished as (1) Descriptive Analysis, to provide an overview of the dataset and key metrics (2) prEP-Trend analysis, to monitor changes in prEP indicators over time (3) Comparative Analysis, to identify disparities in prEP adoption across demographics or regions using group-wise comparisons (e.g., by age, gender, geography) (4) Predictive Insights, to forecast future trends in prEP adoption and its impact on historical data (5) Indicator-Specific Insights, to identify gaps in service provisions(prEP-coverage), to highlight the effectiveness of the program in reducing new infections(PnR) and to evaluate adherence and retention among prEP users(continuation rates). The resulting insights empower beneficiaries to make data-driven decisions, optimize resource allocation, and enhance the overall impact of HIV prevention programs. This algorithm serves as a blueprint for scalable and privacy-compliant data solutions in public health informatics.</w:t>
      </w:r>
    </w:p>
    <w:p>
      <w:pPr>
        <w:pStyle w:val="Heading3"/>
        <w:keepNext w:val="0"/>
        <w:keepLines w:val="0"/>
        <w:spacing w:before="280"/>
        <w:jc w:val="both"/>
        <w:rPr>
          <w:rFonts w:ascii="Times" w:eastAsia="Times" w:hAnsi="Times" w:cs="Times"/>
          <w:b/>
          <w:color w:val="auto"/>
          <w:sz w:val="26"/>
          <w:szCs w:val="26"/>
          <w:lang w:val="en-US"/>
        </w:rPr>
      </w:pPr>
      <w:bookmarkStart w:id="12" w:name="_h2lvrcwdw13b" w:colFirst="0" w:colLast="0"/>
      <w:bookmarkEnd w:id="12"/>
      <w:r>
        <w:rPr>
          <w:rFonts w:ascii="Times" w:eastAsia="Times" w:hAnsi="Times" w:cs="Times"/>
          <w:b/>
          <w:color w:val="auto"/>
          <w:sz w:val="26"/>
          <w:szCs w:val="26"/>
          <w:lang w:val="en-US"/>
        </w:rPr>
        <w:t>7 Timeline</w:t>
      </w:r>
    </w:p>
    <w:p>
      <w:pPr>
        <w:rPr>
          <w:lang w:val="en-US"/>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Phase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Duration</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Deliverables</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Literature Review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3 weeks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Annotated bibliography, draft background on PrEP indicators, privacy techniques</w:t>
            </w:r>
          </w:p>
        </w:tc>
      </w:tr>
      <w:tr>
        <w:trPr>
          <w:trHeight w:val="618"/>
        </w:trP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 xml:space="preserve">     Data Collection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 xml:space="preserve">              2 weeks</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Integration of FDZ datasets, PUF generation validation</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Framework Development</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2 months</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Interoperable data pipeline prototype with initial anonymization and integration</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w:t>
            </w:r>
            <w:r>
              <w:t>Indicator Mapping</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w:t>
            </w:r>
            <w:r>
              <w:t>3 weeks</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Mapping of ECDC-defined indicators to the FDZ datasets</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Data Analysis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1 month</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Statistical models, calculations of PrEP indicators, and initial visualizations</w:t>
            </w:r>
          </w:p>
        </w:tc>
      </w:tr>
      <w:tr>
        <w:trPr>
          <w:trHeight w:val="672"/>
        </w:trP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t xml:space="preserve">     Automated Reporting</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r>
              <w:rPr>
                <w:lang w:val="en-US"/>
              </w:rPr>
              <w:t xml:space="preserve">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Reports with tables and visualizations, final testing</w:t>
            </w:r>
          </w:p>
        </w:tc>
      </w:tr>
      <w:tr>
        <w:trPr>
          <w:trHeight w:val="672"/>
        </w:trP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 xml:space="preserve">  Validation and Testing</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tabs>
                <w:tab w:val="left" w:pos="945"/>
              </w:tabs>
              <w:spacing w:line="240" w:lineRule="auto"/>
              <w:rPr>
                <w:lang w:val="en-US"/>
              </w:rPr>
            </w:pPr>
            <w:r>
              <w:rPr>
                <w:lang w:val="en-US"/>
              </w:rPr>
              <w:t xml:space="preserve">             </w:t>
            </w:r>
            <w:r>
              <w:t>2 weeks</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pPr>
            <w:r>
              <w:t>Validation with mock datasets, accuracy testing</w:t>
            </w:r>
          </w:p>
        </w:tc>
      </w:tr>
      <w:tr>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Thesis Writing</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1 month </w:t>
            </w:r>
          </w:p>
        </w:tc>
        <w:tc>
          <w:tcPr>
            <w:tcW w:w="3120" w:type="dxa"/>
            <w:shd w:val="clear" w:color="auto" w:fill="auto"/>
            <w:tcMar>
              <w:top w:w="100" w:type="dxa"/>
              <w:left w:w="100" w:type="dxa"/>
              <w:bottom w:w="100" w:type="dxa"/>
              <w:right w:w="100" w:type="dxa"/>
            </w:tcMar>
          </w:tcPr>
          <w:p>
            <w:pPr>
              <w:widowControl w:val="0"/>
              <w:pBdr>
                <w:top w:val="nil"/>
                <w:left w:val="nil"/>
                <w:bottom w:val="nil"/>
                <w:right w:val="nil"/>
                <w:between w:val="nil"/>
              </w:pBdr>
              <w:spacing w:line="240" w:lineRule="auto"/>
              <w:rPr>
                <w:lang w:val="en-US"/>
              </w:rPr>
            </w:pPr>
            <w:r>
              <w:rPr>
                <w:lang w:val="en-US"/>
              </w:rPr>
              <w:t xml:space="preserve"> </w:t>
            </w:r>
            <w:r>
              <w:t>Final thesis including methodology, results, and discussions</w:t>
            </w:r>
          </w:p>
        </w:tc>
      </w:tr>
    </w:tbl>
    <w:p>
      <w:pPr>
        <w:pStyle w:val="Heading3"/>
        <w:keepNext w:val="0"/>
        <w:keepLines w:val="0"/>
        <w:numPr>
          <w:ilvl w:val="0"/>
          <w:numId w:val="11"/>
        </w:numPr>
        <w:spacing w:before="280"/>
        <w:jc w:val="both"/>
        <w:rPr>
          <w:rFonts w:ascii="Times" w:eastAsia="Times" w:hAnsi="Times" w:cs="Times"/>
          <w:b/>
          <w:color w:val="auto"/>
          <w:sz w:val="26"/>
          <w:szCs w:val="26"/>
          <w:lang w:val="en-US"/>
        </w:rPr>
      </w:pPr>
      <w:r>
        <w:rPr>
          <w:rFonts w:ascii="Times" w:eastAsia="Times" w:hAnsi="Times" w:cs="Times"/>
          <w:b/>
          <w:color w:val="auto"/>
          <w:sz w:val="26"/>
          <w:szCs w:val="26"/>
          <w:lang w:val="en-US"/>
        </w:rPr>
        <w:lastRenderedPageBreak/>
        <w:t>References</w:t>
      </w:r>
    </w:p>
    <w:p>
      <w:pPr>
        <w:jc w:val="both"/>
        <w:rPr>
          <w:rFonts w:ascii="Times" w:hAnsi="Times" w:cs="Times"/>
          <w:lang w:val="en-US"/>
        </w:rPr>
      </w:pPr>
    </w:p>
    <w:p>
      <w:pPr>
        <w:pStyle w:val="ListParagraph"/>
        <w:numPr>
          <w:ilvl w:val="3"/>
          <w:numId w:val="3"/>
        </w:numPr>
        <w:jc w:val="both"/>
        <w:rPr>
          <w:rFonts w:ascii="Times" w:hAnsi="Times" w:cs="Times"/>
          <w:lang w:val="en-US"/>
        </w:rPr>
      </w:pPr>
      <w:r>
        <w:rPr>
          <w:rFonts w:ascii="Times" w:hAnsi="Times" w:cs="Times"/>
          <w:lang w:val="en-US"/>
        </w:rPr>
        <w:t xml:space="preserve">European Centre for Disease Prevention and Control. (n.d.). </w:t>
      </w:r>
      <w:r>
        <w:rPr>
          <w:rStyle w:val="Emphasis"/>
          <w:rFonts w:ascii="Times" w:hAnsi="Times" w:cs="Times"/>
          <w:lang w:val="en-US"/>
        </w:rPr>
        <w:t xml:space="preserve">Monitoring HIV pre-exposure prophylaxis </w:t>
      </w:r>
      <w:proofErr w:type="spellStart"/>
      <w:r>
        <w:rPr>
          <w:rStyle w:val="Emphasis"/>
          <w:rFonts w:ascii="Times" w:hAnsi="Times" w:cs="Times"/>
          <w:lang w:val="en-US"/>
        </w:rPr>
        <w:t>programmes</w:t>
      </w:r>
      <w:proofErr w:type="spellEnd"/>
      <w:r>
        <w:rPr>
          <w:rStyle w:val="Emphasis"/>
          <w:rFonts w:ascii="Times" w:hAnsi="Times" w:cs="Times"/>
          <w:lang w:val="en-US"/>
        </w:rPr>
        <w:t xml:space="preserve"> in the EU/EEA: HIV-PrEP indicators</w:t>
      </w:r>
      <w:r>
        <w:rPr>
          <w:rFonts w:ascii="Times" w:hAnsi="Times" w:cs="Times"/>
          <w:lang w:val="en-US"/>
        </w:rPr>
        <w:t xml:space="preserve">. Retrieved January 6, 2025, from </w:t>
      </w:r>
      <w:hyperlink r:id="rId6" w:tgtFrame="_new" w:history="1">
        <w:r>
          <w:rPr>
            <w:rStyle w:val="Hyperlink"/>
            <w:rFonts w:ascii="Times" w:hAnsi="Times" w:cs="Times"/>
            <w:color w:val="auto"/>
            <w:u w:val="none"/>
            <w:lang w:val="en-US"/>
          </w:rPr>
          <w:t>https://www.ecdc.europa.eu/assets/hiv-monitoring-preexposure/prep-indicators.html</w:t>
        </w:r>
      </w:hyperlink>
    </w:p>
    <w:p>
      <w:pPr>
        <w:pStyle w:val="ListParagraph"/>
        <w:numPr>
          <w:ilvl w:val="3"/>
          <w:numId w:val="3"/>
        </w:numPr>
        <w:jc w:val="both"/>
        <w:rPr>
          <w:rFonts w:ascii="Times" w:hAnsi="Times" w:cs="Times"/>
          <w:lang w:val="en-US"/>
        </w:rPr>
      </w:pPr>
      <w:r>
        <w:rPr>
          <w:rFonts w:ascii="Times" w:eastAsia="Times" w:hAnsi="Times" w:cs="Times"/>
          <w:lang w:val="en-US"/>
        </w:rPr>
        <w:t xml:space="preserve"> </w:t>
      </w:r>
      <w:proofErr w:type="spellStart"/>
      <w:r>
        <w:rPr>
          <w:rFonts w:ascii="Times" w:hAnsi="Times" w:cs="Times"/>
          <w:lang w:val="en-US"/>
        </w:rPr>
        <w:t>Forschungsdatenzentrum</w:t>
      </w:r>
      <w:proofErr w:type="spellEnd"/>
      <w:r>
        <w:rPr>
          <w:rFonts w:ascii="Times" w:hAnsi="Times" w:cs="Times"/>
          <w:lang w:val="en-US"/>
        </w:rPr>
        <w:t xml:space="preserve"> Gesundheit. (n.d.). </w:t>
      </w:r>
      <w:proofErr w:type="spellStart"/>
      <w:r>
        <w:rPr>
          <w:rStyle w:val="Emphasis"/>
          <w:rFonts w:ascii="Times" w:hAnsi="Times" w:cs="Times"/>
          <w:lang w:val="en-US"/>
        </w:rPr>
        <w:t>Gesundheitsdaten</w:t>
      </w:r>
      <w:proofErr w:type="spellEnd"/>
      <w:r>
        <w:rPr>
          <w:rStyle w:val="Emphasis"/>
          <w:rFonts w:ascii="Times" w:hAnsi="Times" w:cs="Times"/>
          <w:lang w:val="en-US"/>
        </w:rPr>
        <w:t xml:space="preserve"> am FDZ Gesundheit</w:t>
      </w:r>
      <w:r>
        <w:rPr>
          <w:rFonts w:ascii="Times" w:hAnsi="Times" w:cs="Times"/>
          <w:lang w:val="en-US"/>
        </w:rPr>
        <w:t xml:space="preserve">. Retrieved January 6, 2025, from </w:t>
      </w:r>
      <w:hyperlink r:id="rId7" w:tgtFrame="_new" w:history="1">
        <w:r>
          <w:rPr>
            <w:rStyle w:val="Hyperlink"/>
            <w:rFonts w:ascii="Times" w:hAnsi="Times" w:cs="Times"/>
            <w:color w:val="auto"/>
            <w:u w:val="none"/>
            <w:lang w:val="en-US"/>
          </w:rPr>
          <w:t>https://www.forschungsdatenzentrum-gesundheit.de/gesundheitsdaten-am-fdz-gesundheit</w:t>
        </w:r>
      </w:hyperlink>
    </w:p>
    <w:p>
      <w:pPr>
        <w:pStyle w:val="ListParagraph"/>
        <w:numPr>
          <w:ilvl w:val="3"/>
          <w:numId w:val="3"/>
        </w:numPr>
        <w:jc w:val="both"/>
        <w:rPr>
          <w:rFonts w:ascii="Times" w:hAnsi="Times" w:cs="Times"/>
          <w:lang w:val="en-US"/>
        </w:rPr>
      </w:pPr>
      <w:proofErr w:type="spellStart"/>
      <w:r>
        <w:rPr>
          <w:rFonts w:ascii="Times" w:hAnsi="Times" w:cs="Times"/>
          <w:lang w:val="en-US"/>
        </w:rPr>
        <w:t>Yasnoff</w:t>
      </w:r>
      <w:proofErr w:type="spellEnd"/>
      <w:r>
        <w:rPr>
          <w:rFonts w:ascii="Times" w:hAnsi="Times" w:cs="Times"/>
          <w:lang w:val="en-US"/>
        </w:rPr>
        <w:t xml:space="preserve">, W. A., </w:t>
      </w:r>
      <w:proofErr w:type="spellStart"/>
      <w:r>
        <w:rPr>
          <w:rFonts w:ascii="Times" w:hAnsi="Times" w:cs="Times"/>
          <w:lang w:val="en-US"/>
        </w:rPr>
        <w:t>Overhage</w:t>
      </w:r>
      <w:proofErr w:type="spellEnd"/>
      <w:r>
        <w:rPr>
          <w:rFonts w:ascii="Times" w:hAnsi="Times" w:cs="Times"/>
          <w:lang w:val="en-US"/>
        </w:rPr>
        <w:t xml:space="preserve">, J. M., Humphreys, B. L., </w:t>
      </w:r>
      <w:proofErr w:type="spellStart"/>
      <w:r>
        <w:rPr>
          <w:rFonts w:ascii="Times" w:hAnsi="Times" w:cs="Times"/>
          <w:lang w:val="en-US"/>
        </w:rPr>
        <w:t>LaVenture</w:t>
      </w:r>
      <w:proofErr w:type="spellEnd"/>
      <w:r>
        <w:rPr>
          <w:rFonts w:ascii="Times" w:hAnsi="Times" w:cs="Times"/>
          <w:lang w:val="en-US"/>
        </w:rPr>
        <w:t xml:space="preserve">, M., Goodman, K. W., Gatewood, L., Ross, D. A., Reid, J., Hammond, W. E., Dwyer, D., Huff, S. M., Gotham, I., </w:t>
      </w:r>
      <w:proofErr w:type="spellStart"/>
      <w:r>
        <w:rPr>
          <w:rFonts w:ascii="Times" w:hAnsi="Times" w:cs="Times"/>
          <w:lang w:val="en-US"/>
        </w:rPr>
        <w:t>Kukafka</w:t>
      </w:r>
      <w:proofErr w:type="spellEnd"/>
      <w:r>
        <w:rPr>
          <w:rFonts w:ascii="Times" w:hAnsi="Times" w:cs="Times"/>
          <w:lang w:val="en-US"/>
        </w:rPr>
        <w:t xml:space="preserve">, R., </w:t>
      </w:r>
      <w:proofErr w:type="spellStart"/>
      <w:r>
        <w:rPr>
          <w:rFonts w:ascii="Times" w:hAnsi="Times" w:cs="Times"/>
          <w:lang w:val="en-US"/>
        </w:rPr>
        <w:t>Loonsk</w:t>
      </w:r>
      <w:proofErr w:type="spellEnd"/>
      <w:r>
        <w:rPr>
          <w:rFonts w:ascii="Times" w:hAnsi="Times" w:cs="Times"/>
          <w:lang w:val="en-US"/>
        </w:rPr>
        <w:t xml:space="preserve">, J. W., &amp; Wagner, M. M. (2001). A national agenda for public health informatics. </w:t>
      </w:r>
      <w:r>
        <w:rPr>
          <w:rFonts w:ascii="Times" w:hAnsi="Times" w:cs="Times"/>
          <w:iCs/>
          <w:lang w:val="en-US"/>
        </w:rPr>
        <w:t>Journal of public health management and practice: JPHMP</w:t>
      </w:r>
      <w:r>
        <w:rPr>
          <w:rFonts w:ascii="Times" w:hAnsi="Times" w:cs="Times"/>
          <w:lang w:val="en-US"/>
        </w:rPr>
        <w:t xml:space="preserve">, </w:t>
      </w:r>
      <w:r>
        <w:rPr>
          <w:rFonts w:ascii="Times" w:hAnsi="Times" w:cs="Times"/>
          <w:iCs/>
          <w:lang w:val="en-US"/>
        </w:rPr>
        <w:t>7</w:t>
      </w:r>
      <w:r>
        <w:rPr>
          <w:rFonts w:ascii="Times" w:hAnsi="Times" w:cs="Times"/>
          <w:lang w:val="en-US"/>
        </w:rPr>
        <w:t>(6), 1–21. https://doi.org/10.1097/00124784-200107060-00002</w:t>
      </w:r>
    </w:p>
    <w:p>
      <w:pPr>
        <w:pStyle w:val="ListParagraph"/>
        <w:numPr>
          <w:ilvl w:val="3"/>
          <w:numId w:val="3"/>
        </w:numPr>
        <w:jc w:val="both"/>
        <w:rPr>
          <w:rFonts w:ascii="Times" w:hAnsi="Times" w:cs="Times"/>
          <w:lang w:val="en-US"/>
        </w:rPr>
      </w:pPr>
      <w:proofErr w:type="spellStart"/>
      <w:r>
        <w:rPr>
          <w:rFonts w:ascii="Times" w:hAnsi="Times" w:cs="Times"/>
          <w:lang w:val="en-US"/>
        </w:rPr>
        <w:t>Gelbe</w:t>
      </w:r>
      <w:proofErr w:type="spellEnd"/>
      <w:r>
        <w:rPr>
          <w:rFonts w:ascii="Times" w:hAnsi="Times" w:cs="Times"/>
          <w:lang w:val="en-US"/>
        </w:rPr>
        <w:t xml:space="preserve"> </w:t>
      </w:r>
      <w:proofErr w:type="spellStart"/>
      <w:r>
        <w:rPr>
          <w:rFonts w:ascii="Times" w:hAnsi="Times" w:cs="Times"/>
          <w:lang w:val="en-US"/>
        </w:rPr>
        <w:t>Liste</w:t>
      </w:r>
      <w:proofErr w:type="spellEnd"/>
      <w:r>
        <w:rPr>
          <w:rFonts w:ascii="Times" w:hAnsi="Times" w:cs="Times"/>
          <w:lang w:val="en-US"/>
        </w:rPr>
        <w:t xml:space="preserve">. (n.d.). </w:t>
      </w:r>
      <w:proofErr w:type="spellStart"/>
      <w:r>
        <w:rPr>
          <w:rStyle w:val="Emphasis"/>
          <w:rFonts w:ascii="Times" w:hAnsi="Times" w:cs="Times"/>
          <w:lang w:val="en-US"/>
        </w:rPr>
        <w:t>Tenofovirdisoproxil</w:t>
      </w:r>
      <w:proofErr w:type="spellEnd"/>
      <w:r>
        <w:rPr>
          <w:rStyle w:val="Emphasis"/>
          <w:rFonts w:ascii="Times" w:hAnsi="Times" w:cs="Times"/>
          <w:lang w:val="en-US"/>
        </w:rPr>
        <w:t xml:space="preserve"> und </w:t>
      </w:r>
      <w:proofErr w:type="spellStart"/>
      <w:r>
        <w:rPr>
          <w:rStyle w:val="Emphasis"/>
          <w:rFonts w:ascii="Times" w:hAnsi="Times" w:cs="Times"/>
          <w:lang w:val="en-US"/>
        </w:rPr>
        <w:t>Emtricitabin</w:t>
      </w:r>
      <w:proofErr w:type="spellEnd"/>
      <w:r>
        <w:rPr>
          <w:rStyle w:val="Emphasis"/>
          <w:rFonts w:ascii="Times" w:hAnsi="Times" w:cs="Times"/>
          <w:lang w:val="en-US"/>
        </w:rPr>
        <w:t xml:space="preserve"> (ATC-Code: J05AR03)</w:t>
      </w:r>
      <w:r>
        <w:rPr>
          <w:rFonts w:ascii="Times" w:hAnsi="Times" w:cs="Times"/>
          <w:lang w:val="en-US"/>
        </w:rPr>
        <w:t>. Retrieved January 6, 2025, from https://www.gelbe-liste.de/atc/Tenofovirdisoproxil-und-Emtricitabin_J05AR03</w:t>
      </w:r>
    </w:p>
    <w:p>
      <w:pPr>
        <w:pStyle w:val="ListParagraph"/>
        <w:numPr>
          <w:ilvl w:val="3"/>
          <w:numId w:val="3"/>
        </w:numPr>
        <w:jc w:val="both"/>
        <w:rPr>
          <w:rFonts w:ascii="Times" w:hAnsi="Times" w:cs="Times"/>
          <w:lang w:val="en-US"/>
        </w:rPr>
      </w:pPr>
      <w:r>
        <w:rPr>
          <w:rFonts w:ascii="Times" w:eastAsia="Times" w:hAnsi="Times" w:cs="Times"/>
          <w:i/>
          <w:lang w:val="en-US"/>
        </w:rPr>
        <w:t>Wijstma, Elinea; Vanhamel, Jefa; Deblonde, Jessikab; Nöstlinger, Christianaa; Noori, Teymurc; Vuylsteke, Beaa; Laga, Mariea. An overview of programmatic indicators to monitor the roll-out of HIV preexposure prophylaxis. AIDS 37(1): p 1-17, January 1, 2023. | DOI: 10.1097/QAD.0000000000003399</w:t>
      </w:r>
    </w:p>
    <w:p>
      <w:pPr>
        <w:pStyle w:val="ListParagraph"/>
        <w:numPr>
          <w:ilvl w:val="3"/>
          <w:numId w:val="3"/>
        </w:numPr>
        <w:jc w:val="both"/>
        <w:rPr>
          <w:rFonts w:ascii="Times" w:hAnsi="Times" w:cs="Times"/>
          <w:lang w:val="en-US"/>
        </w:rPr>
      </w:pPr>
      <w:r>
        <w:rPr>
          <w:rFonts w:ascii="Times" w:hAnsi="Times" w:cs="Times"/>
          <w:i/>
          <w:lang w:val="en-US"/>
        </w:rPr>
        <w:t xml:space="preserve">European Centre for Disease Prevention and Control. (n.d.). </w:t>
      </w:r>
      <w:r>
        <w:rPr>
          <w:rStyle w:val="Emphasis"/>
          <w:rFonts w:ascii="Times" w:hAnsi="Times" w:cs="Times"/>
          <w:i w:val="0"/>
          <w:lang w:val="en-US"/>
        </w:rPr>
        <w:t>HIV pre-exposure prophylaxis (PrEP) monitoring: Indicators</w:t>
      </w:r>
      <w:r>
        <w:rPr>
          <w:rFonts w:ascii="Times" w:hAnsi="Times" w:cs="Times"/>
          <w:i/>
          <w:lang w:val="en-US"/>
        </w:rPr>
        <w:t>. Retrieved January 7, 2025, from https://www.ecdc.europa.eu/assets/hiv-monitoring-preexposure/prep-indicators.html</w:t>
      </w:r>
    </w:p>
    <w:p>
      <w:pPr>
        <w:pStyle w:val="ListParagraph"/>
        <w:numPr>
          <w:ilvl w:val="3"/>
          <w:numId w:val="3"/>
        </w:numPr>
        <w:jc w:val="both"/>
        <w:rPr>
          <w:rFonts w:ascii="Times" w:hAnsi="Times" w:cs="Times"/>
          <w:i/>
          <w:lang w:val="en-US"/>
        </w:rPr>
      </w:pPr>
      <w:r>
        <w:rPr>
          <w:rFonts w:ascii="Times" w:hAnsi="Times" w:cs="Times"/>
          <w:i/>
          <w:lang w:val="en-US"/>
        </w:rPr>
        <w:t xml:space="preserve">Olatunji, I. E., Rauch, J., </w:t>
      </w:r>
      <w:proofErr w:type="spellStart"/>
      <w:r>
        <w:rPr>
          <w:rFonts w:ascii="Times" w:hAnsi="Times" w:cs="Times"/>
          <w:i/>
          <w:lang w:val="en-US"/>
        </w:rPr>
        <w:t>Katzensteiner</w:t>
      </w:r>
      <w:proofErr w:type="spellEnd"/>
      <w:r>
        <w:rPr>
          <w:rFonts w:ascii="Times" w:hAnsi="Times" w:cs="Times"/>
          <w:i/>
          <w:lang w:val="en-US"/>
        </w:rPr>
        <w:t xml:space="preserve">, M., &amp; Khosla, M. (2024). A Review of Anonymization for Healthcare Data. </w:t>
      </w:r>
      <w:r>
        <w:rPr>
          <w:rFonts w:ascii="Times" w:hAnsi="Times" w:cs="Times"/>
          <w:i/>
          <w:iCs/>
          <w:lang w:val="en-US"/>
        </w:rPr>
        <w:t>Big data</w:t>
      </w:r>
      <w:r>
        <w:rPr>
          <w:rFonts w:ascii="Times" w:hAnsi="Times" w:cs="Times"/>
          <w:i/>
          <w:lang w:val="en-US"/>
        </w:rPr>
        <w:t xml:space="preserve">, </w:t>
      </w:r>
      <w:r>
        <w:rPr>
          <w:rFonts w:ascii="Times" w:hAnsi="Times" w:cs="Times"/>
          <w:i/>
          <w:iCs/>
          <w:lang w:val="en-US"/>
        </w:rPr>
        <w:t>12</w:t>
      </w:r>
      <w:r>
        <w:rPr>
          <w:rFonts w:ascii="Times" w:hAnsi="Times" w:cs="Times"/>
          <w:i/>
          <w:lang w:val="en-US"/>
        </w:rPr>
        <w:t>(6), 538–555. https://doi.org/10.1089/big.2021.0169</w:t>
      </w:r>
    </w:p>
    <w:p>
      <w:pPr>
        <w:pStyle w:val="ListParagraph"/>
        <w:numPr>
          <w:ilvl w:val="3"/>
          <w:numId w:val="3"/>
        </w:numPr>
        <w:jc w:val="both"/>
        <w:rPr>
          <w:rFonts w:ascii="Times" w:hAnsi="Times" w:cs="Times"/>
          <w:i/>
          <w:lang w:val="en-US"/>
        </w:rPr>
      </w:pPr>
      <w:proofErr w:type="spellStart"/>
      <w:r>
        <w:rPr>
          <w:rFonts w:ascii="Times" w:hAnsi="Times" w:cs="Times"/>
          <w:i/>
          <w:lang w:val="en-US"/>
        </w:rPr>
        <w:t>Sepas</w:t>
      </w:r>
      <w:proofErr w:type="spellEnd"/>
      <w:r>
        <w:rPr>
          <w:rFonts w:ascii="Times" w:hAnsi="Times" w:cs="Times"/>
          <w:i/>
          <w:lang w:val="en-US"/>
        </w:rPr>
        <w:t xml:space="preserve">, A., Bangash, A. H., </w:t>
      </w:r>
      <w:proofErr w:type="spellStart"/>
      <w:r>
        <w:rPr>
          <w:rFonts w:ascii="Times" w:hAnsi="Times" w:cs="Times"/>
          <w:i/>
          <w:lang w:val="en-US"/>
        </w:rPr>
        <w:t>Alraoui</w:t>
      </w:r>
      <w:proofErr w:type="spellEnd"/>
      <w:r>
        <w:rPr>
          <w:rFonts w:ascii="Times" w:hAnsi="Times" w:cs="Times"/>
          <w:i/>
          <w:lang w:val="en-US"/>
        </w:rPr>
        <w:t xml:space="preserve">, O., El </w:t>
      </w:r>
      <w:proofErr w:type="spellStart"/>
      <w:r>
        <w:rPr>
          <w:rFonts w:ascii="Times" w:hAnsi="Times" w:cs="Times"/>
          <w:i/>
          <w:lang w:val="en-US"/>
        </w:rPr>
        <w:t>Emam</w:t>
      </w:r>
      <w:proofErr w:type="spellEnd"/>
      <w:r>
        <w:rPr>
          <w:rFonts w:ascii="Times" w:hAnsi="Times" w:cs="Times"/>
          <w:i/>
          <w:lang w:val="en-US"/>
        </w:rPr>
        <w:t>, K., &amp; El-</w:t>
      </w:r>
      <w:proofErr w:type="spellStart"/>
      <w:r>
        <w:rPr>
          <w:rFonts w:ascii="Times" w:hAnsi="Times" w:cs="Times"/>
          <w:i/>
          <w:lang w:val="en-US"/>
        </w:rPr>
        <w:t>Hussuna</w:t>
      </w:r>
      <w:proofErr w:type="spellEnd"/>
      <w:r>
        <w:rPr>
          <w:rFonts w:ascii="Times" w:hAnsi="Times" w:cs="Times"/>
          <w:i/>
          <w:lang w:val="en-US"/>
        </w:rPr>
        <w:t xml:space="preserve">, A. (2022). Algorithms to anonymize structured medical and healthcare data: a systematic review. </w:t>
      </w:r>
      <w:r>
        <w:rPr>
          <w:rFonts w:ascii="Times" w:hAnsi="Times" w:cs="Times"/>
          <w:i/>
          <w:iCs/>
          <w:lang w:val="en-US"/>
        </w:rPr>
        <w:t>Frontiers in Bioinformatics</w:t>
      </w:r>
      <w:r>
        <w:rPr>
          <w:rFonts w:ascii="Times" w:hAnsi="Times" w:cs="Times"/>
          <w:i/>
          <w:lang w:val="en-US"/>
        </w:rPr>
        <w:t xml:space="preserve">, </w:t>
      </w:r>
      <w:r>
        <w:rPr>
          <w:rFonts w:ascii="Times" w:hAnsi="Times" w:cs="Times"/>
          <w:i/>
          <w:iCs/>
          <w:lang w:val="en-US"/>
        </w:rPr>
        <w:t>2</w:t>
      </w:r>
      <w:r>
        <w:rPr>
          <w:rFonts w:ascii="Times" w:hAnsi="Times" w:cs="Times"/>
          <w:i/>
          <w:lang w:val="en-US"/>
        </w:rPr>
        <w:t>, 984807.</w:t>
      </w:r>
    </w:p>
    <w:p>
      <w:pPr>
        <w:pStyle w:val="ListParagraph"/>
        <w:numPr>
          <w:ilvl w:val="3"/>
          <w:numId w:val="3"/>
        </w:numPr>
        <w:jc w:val="both"/>
        <w:rPr>
          <w:rFonts w:ascii="Times" w:hAnsi="Times" w:cs="Times"/>
          <w:i/>
          <w:lang w:val="en-US"/>
        </w:rPr>
      </w:pPr>
      <w:r>
        <w:rPr>
          <w:rFonts w:ascii="Times" w:hAnsi="Times" w:cs="Times"/>
          <w:i/>
          <w:lang w:val="en-US"/>
        </w:rPr>
        <w:t xml:space="preserve">Huang, C. W., Lu, R., Iqbal, U., Lin, S. H., Nguyen, P. A., Yang, H. C., ... &amp; Jian, W. S. (2015). A richly interactive exploratory data analysis and visualization tool using electronic medical records. </w:t>
      </w:r>
      <w:r>
        <w:rPr>
          <w:rFonts w:ascii="Times" w:hAnsi="Times" w:cs="Times"/>
          <w:i/>
          <w:iCs/>
          <w:lang w:val="en-US"/>
        </w:rPr>
        <w:t>BMC medical informatics and decision making</w:t>
      </w:r>
      <w:r>
        <w:rPr>
          <w:rFonts w:ascii="Times" w:hAnsi="Times" w:cs="Times"/>
          <w:i/>
          <w:lang w:val="en-US"/>
        </w:rPr>
        <w:t xml:space="preserve">, </w:t>
      </w:r>
      <w:r>
        <w:rPr>
          <w:rFonts w:ascii="Times" w:hAnsi="Times" w:cs="Times"/>
          <w:i/>
          <w:iCs/>
          <w:lang w:val="en-US"/>
        </w:rPr>
        <w:t>15</w:t>
      </w:r>
      <w:r>
        <w:rPr>
          <w:rFonts w:ascii="Times" w:hAnsi="Times" w:cs="Times"/>
          <w:i/>
          <w:lang w:val="en-US"/>
        </w:rPr>
        <w:t>, 1-14.</w:t>
      </w:r>
    </w:p>
    <w:p>
      <w:pPr>
        <w:pStyle w:val="ListParagraph"/>
        <w:numPr>
          <w:ilvl w:val="3"/>
          <w:numId w:val="3"/>
        </w:numPr>
        <w:jc w:val="both"/>
        <w:rPr>
          <w:rFonts w:ascii="Times" w:hAnsi="Times" w:cs="Times"/>
          <w:i/>
          <w:lang w:val="en-US"/>
        </w:rPr>
      </w:pPr>
      <w:proofErr w:type="spellStart"/>
      <w:r>
        <w:rPr>
          <w:rFonts w:ascii="Times" w:hAnsi="Times" w:cs="Times"/>
          <w:i/>
          <w:lang w:val="en-US"/>
        </w:rPr>
        <w:t>Malecki</w:t>
      </w:r>
      <w:proofErr w:type="spellEnd"/>
      <w:r>
        <w:rPr>
          <w:rFonts w:ascii="Times" w:hAnsi="Times" w:cs="Times"/>
          <w:i/>
          <w:lang w:val="en-US"/>
        </w:rPr>
        <w:t xml:space="preserve">, K. C., Resnick, B., &amp; Burke, T. A. (2008). Effective environmental public health surveillance programs: a framework for identifying and evaluating data resources and indicators. </w:t>
      </w:r>
      <w:r>
        <w:rPr>
          <w:rFonts w:ascii="Times" w:hAnsi="Times" w:cs="Times"/>
          <w:i/>
          <w:iCs/>
          <w:lang w:val="en-US"/>
        </w:rPr>
        <w:t>Journal of Public Health Management and Practice</w:t>
      </w:r>
      <w:r>
        <w:rPr>
          <w:rFonts w:ascii="Times" w:hAnsi="Times" w:cs="Times"/>
          <w:i/>
          <w:lang w:val="en-US"/>
        </w:rPr>
        <w:t xml:space="preserve">, </w:t>
      </w:r>
      <w:r>
        <w:rPr>
          <w:rFonts w:ascii="Times" w:hAnsi="Times" w:cs="Times"/>
          <w:i/>
          <w:iCs/>
          <w:lang w:val="en-US"/>
        </w:rPr>
        <w:t>14</w:t>
      </w:r>
      <w:r>
        <w:rPr>
          <w:rFonts w:ascii="Times" w:hAnsi="Times" w:cs="Times"/>
          <w:i/>
          <w:lang w:val="en-US"/>
        </w:rPr>
        <w:t>(6), 543-551.</w:t>
      </w:r>
    </w:p>
    <w:p>
      <w:pPr>
        <w:pStyle w:val="ListParagraph"/>
        <w:numPr>
          <w:ilvl w:val="3"/>
          <w:numId w:val="3"/>
        </w:numPr>
        <w:jc w:val="both"/>
        <w:rPr>
          <w:rFonts w:ascii="Times" w:hAnsi="Times" w:cs="Times"/>
          <w:i/>
          <w:lang w:val="en-US"/>
        </w:rPr>
      </w:pPr>
      <w:r>
        <w:rPr>
          <w:rFonts w:ascii="Times" w:hAnsi="Times" w:cs="Times"/>
          <w:i/>
          <w:lang w:val="en-US"/>
        </w:rPr>
        <w:t xml:space="preserve">Chishtie, J., Bielska, I. A., Barrera, A., Marchand, J. S., Imran, M., Tirmizi, S. F. A., ... &amp; Jaglal, S. (2022). Interactive visualization applications in population health and health services research: systematic scoping review. </w:t>
      </w:r>
      <w:r>
        <w:rPr>
          <w:rFonts w:ascii="Times" w:hAnsi="Times" w:cs="Times"/>
          <w:i/>
          <w:iCs/>
          <w:lang w:val="en-US"/>
        </w:rPr>
        <w:t>Journal of medical Internet research</w:t>
      </w:r>
      <w:r>
        <w:rPr>
          <w:rFonts w:ascii="Times" w:hAnsi="Times" w:cs="Times"/>
          <w:i/>
          <w:lang w:val="en-US"/>
        </w:rPr>
        <w:t xml:space="preserve">, </w:t>
      </w:r>
      <w:r>
        <w:rPr>
          <w:rFonts w:ascii="Times" w:hAnsi="Times" w:cs="Times"/>
          <w:i/>
          <w:iCs/>
          <w:lang w:val="en-US"/>
        </w:rPr>
        <w:t>24</w:t>
      </w:r>
      <w:r>
        <w:rPr>
          <w:rFonts w:ascii="Times" w:hAnsi="Times" w:cs="Times"/>
          <w:i/>
          <w:lang w:val="en-US"/>
        </w:rPr>
        <w:t>(2), e27534.</w:t>
      </w:r>
    </w:p>
    <w:p>
      <w:pPr>
        <w:ind w:left="180"/>
        <w:jc w:val="both"/>
        <w:rPr>
          <w:rFonts w:ascii="Times" w:hAnsi="Times" w:cs="Times"/>
          <w:i/>
          <w:lang w:val="en-US"/>
        </w:rPr>
      </w:pPr>
      <w:r>
        <w:rPr>
          <w:rFonts w:ascii="Times" w:hAnsi="Times" w:cs="Times"/>
          <w:i/>
          <w:lang w:val="en-US"/>
        </w:rPr>
        <w:br/>
      </w: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pStyle w:val="Heading1"/>
        <w:rPr>
          <w:rFonts w:ascii="Times" w:hAnsi="Times" w:cs="Times"/>
          <w:sz w:val="22"/>
          <w:szCs w:val="22"/>
          <w:lang w:val="en-US"/>
        </w:rPr>
      </w:pPr>
      <w:r>
        <w:rPr>
          <w:rFonts w:ascii="Times" w:hAnsi="Times" w:cs="Times"/>
          <w:sz w:val="22"/>
          <w:szCs w:val="22"/>
          <w:lang w:val="en-US"/>
        </w:rPr>
        <w:t>Effective Environmental Public Health Surveillance Programs</w:t>
      </w:r>
    </w:p>
    <w:p>
      <w:pPr>
        <w:rPr>
          <w:rFonts w:ascii="Times" w:eastAsia="Times" w:hAnsi="Times" w:cs="Times"/>
          <w:b/>
          <w:sz w:val="26"/>
          <w:szCs w:val="26"/>
          <w:lang w:val="en-US"/>
        </w:rPr>
      </w:pPr>
    </w:p>
    <w:p>
      <w:pPr>
        <w:rPr>
          <w:rFonts w:ascii="Times" w:eastAsia="Times" w:hAnsi="Times" w:cs="Times"/>
          <w:b/>
          <w:sz w:val="26"/>
          <w:szCs w:val="26"/>
          <w:lang w:val="en-US"/>
        </w:rPr>
      </w:pPr>
    </w:p>
    <w:p>
      <w:pPr>
        <w:rPr>
          <w:rFonts w:ascii="Times" w:eastAsia="Times" w:hAnsi="Times" w:cs="Times"/>
          <w:b/>
          <w:sz w:val="26"/>
          <w:szCs w:val="26"/>
          <w:lang w:val="en-US"/>
        </w:rPr>
      </w:pPr>
    </w:p>
    <w:p>
      <w:pP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  PubChem, 2024. Compound Summary for CID 86575116. Available at: </w:t>
      </w:r>
      <w:hyperlink r:id="rId8" w:anchor="section=3D-Status" w:tgtFrame="_new" w:history="1">
        <w:r>
          <w:rPr>
            <w:rFonts w:ascii="Times New Roman" w:eastAsia="Times New Roman" w:hAnsi="Times New Roman" w:cs="Times New Roman"/>
            <w:sz w:val="24"/>
            <w:szCs w:val="24"/>
            <w:u w:val="single"/>
            <w:lang w:val="en-US"/>
          </w:rPr>
          <w:t>https://pubchem.ncbi.nlm.nih.gov/compound/86575116#section=3D-Status</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2.</w:t>
      </w:r>
      <w:r>
        <w:rPr>
          <w:rFonts w:ascii="Times New Roman" w:eastAsia="Times New Roman" w:hAnsi="Times New Roman" w:cs="Times New Roman"/>
          <w:sz w:val="24"/>
          <w:szCs w:val="24"/>
          <w:lang w:val="en-US"/>
        </w:rPr>
        <w:t xml:space="preserve"> Germany4Ukraine, 2024. Healthcare - Statutory Health Insurance. Available at: https://www.germany4ukraine.de/hilfeportal-en/healthcare/statutory-health-insurance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3.</w:t>
      </w:r>
      <w:r>
        <w:rPr>
          <w:rFonts w:ascii="Times New Roman" w:eastAsia="Times New Roman" w:hAnsi="Times New Roman" w:cs="Times New Roman"/>
          <w:sz w:val="24"/>
          <w:szCs w:val="24"/>
          <w:lang w:val="en-US"/>
        </w:rPr>
        <w:t xml:space="preserve"> European Centre for Disease Prevention and Control (ECDC), 2024. Monitoring HIV Pre-Exposure Prophylaxis </w:t>
      </w:r>
      <w:proofErr w:type="spellStart"/>
      <w:r>
        <w:rPr>
          <w:rFonts w:ascii="Times New Roman" w:eastAsia="Times New Roman" w:hAnsi="Times New Roman" w:cs="Times New Roman"/>
          <w:sz w:val="24"/>
          <w:szCs w:val="24"/>
          <w:lang w:val="en-US"/>
        </w:rPr>
        <w:t>Programmes</w:t>
      </w:r>
      <w:proofErr w:type="spellEnd"/>
      <w:r>
        <w:rPr>
          <w:rFonts w:ascii="Times New Roman" w:eastAsia="Times New Roman" w:hAnsi="Times New Roman" w:cs="Times New Roman"/>
          <w:sz w:val="24"/>
          <w:szCs w:val="24"/>
          <w:lang w:val="en-US"/>
        </w:rPr>
        <w:t xml:space="preserve"> in the EU/EEA. Available at: </w:t>
      </w:r>
      <w:hyperlink r:id="rId9" w:tgtFrame="_new" w:history="1">
        <w:r>
          <w:rPr>
            <w:rFonts w:ascii="Times New Roman" w:eastAsia="Times New Roman" w:hAnsi="Times New Roman" w:cs="Times New Roman"/>
            <w:sz w:val="24"/>
            <w:szCs w:val="24"/>
            <w:u w:val="single"/>
            <w:lang w:val="en-US"/>
          </w:rPr>
          <w:t>https://www.ecdc.europa.eu/en/publications-data/monitoring-hiv-pre-exposure-prophylaxis-programmes-eueea</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4.</w:t>
      </w:r>
      <w:r>
        <w:rPr>
          <w:rFonts w:ascii="Times New Roman" w:eastAsia="Times New Roman" w:hAnsi="Times New Roman" w:cs="Times New Roman"/>
          <w:sz w:val="24"/>
          <w:szCs w:val="24"/>
          <w:lang w:val="en-US"/>
        </w:rPr>
        <w:t xml:space="preserve"> Federal Institute for Drugs and Medical Devices (</w:t>
      </w:r>
      <w:proofErr w:type="spellStart"/>
      <w:r>
        <w:rPr>
          <w:rFonts w:ascii="Times New Roman" w:eastAsia="Times New Roman" w:hAnsi="Times New Roman" w:cs="Times New Roman"/>
          <w:sz w:val="24"/>
          <w:szCs w:val="24"/>
          <w:lang w:val="en-US"/>
        </w:rPr>
        <w:t>BfArM</w:t>
      </w:r>
      <w:proofErr w:type="spellEnd"/>
      <w:r>
        <w:rPr>
          <w:rFonts w:ascii="Times New Roman" w:eastAsia="Times New Roman" w:hAnsi="Times New Roman" w:cs="Times New Roman"/>
          <w:sz w:val="24"/>
          <w:szCs w:val="24"/>
          <w:lang w:val="en-US"/>
        </w:rPr>
        <w:t xml:space="preserve">), 2024. Home. Available at: </w:t>
      </w:r>
      <w:hyperlink r:id="rId10" w:tgtFrame="_new" w:history="1">
        <w:r>
          <w:rPr>
            <w:rFonts w:ascii="Times New Roman" w:eastAsia="Times New Roman" w:hAnsi="Times New Roman" w:cs="Times New Roman"/>
            <w:sz w:val="24"/>
            <w:szCs w:val="24"/>
            <w:u w:val="single"/>
            <w:lang w:val="en-US"/>
          </w:rPr>
          <w:t>https://www.bfarm.de/EN/Home/_node.html</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5.</w:t>
      </w:r>
      <w:r>
        <w:rPr>
          <w:rFonts w:ascii="Times New Roman" w:eastAsia="Times New Roman" w:hAnsi="Times New Roman" w:cs="Times New Roman"/>
          <w:sz w:val="24"/>
          <w:szCs w:val="24"/>
          <w:lang w:val="en-US"/>
        </w:rPr>
        <w:t xml:space="preserve"> Robert Koch Institute (RKI), 2024. Division 34: PrEP Surveillance. Available at: https://www.rki.de/EN/Content/Institute/DepartmentsUnits/InfDiseaseEpidem/Div34/PrEP-Surv.html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6.</w:t>
      </w:r>
      <w:r>
        <w:rPr>
          <w:rFonts w:ascii="Times New Roman" w:eastAsia="Times New Roman" w:hAnsi="Times New Roman" w:cs="Times New Roman"/>
          <w:sz w:val="24"/>
          <w:szCs w:val="24"/>
          <w:lang w:val="en-US"/>
        </w:rPr>
        <w:t xml:space="preserve"> KBV, 2024. Medical Information Objects (MIOs). Available at: https://www-kbv-de.translate.goog/html/mio.php?_x_tr_sl=de&amp;_x_tr_tl=en&amp;_x_tr_hl=en&amp;_x_tr_pto=sc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7.</w:t>
      </w:r>
      <w:r>
        <w:rPr>
          <w:rFonts w:ascii="Times New Roman" w:eastAsia="Times New Roman" w:hAnsi="Times New Roman" w:cs="Times New Roman"/>
          <w:sz w:val="24"/>
          <w:szCs w:val="24"/>
          <w:lang w:val="en-US"/>
        </w:rPr>
        <w:t xml:space="preserve"> Wikipedia, 2024. </w:t>
      </w:r>
      <w:proofErr w:type="spellStart"/>
      <w:r>
        <w:rPr>
          <w:rFonts w:ascii="Times New Roman" w:eastAsia="Times New Roman" w:hAnsi="Times New Roman" w:cs="Times New Roman"/>
          <w:sz w:val="24"/>
          <w:szCs w:val="24"/>
          <w:lang w:val="en-US"/>
        </w:rPr>
        <w:t>Medizinisches</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Informationsobjekt</w:t>
      </w:r>
      <w:proofErr w:type="spellEnd"/>
      <w:r>
        <w:rPr>
          <w:rFonts w:ascii="Times New Roman" w:eastAsia="Times New Roman" w:hAnsi="Times New Roman" w:cs="Times New Roman"/>
          <w:sz w:val="24"/>
          <w:szCs w:val="24"/>
          <w:lang w:val="en-US"/>
        </w:rPr>
        <w:t xml:space="preserve">. Available at: </w:t>
      </w:r>
      <w:hyperlink r:id="rId11" w:tgtFrame="_new" w:history="1">
        <w:r>
          <w:rPr>
            <w:rFonts w:ascii="Times New Roman" w:eastAsia="Times New Roman" w:hAnsi="Times New Roman" w:cs="Times New Roman"/>
            <w:sz w:val="24"/>
            <w:szCs w:val="24"/>
            <w:u w:val="single"/>
            <w:lang w:val="en-US"/>
          </w:rPr>
          <w:t>https://de.wikipedia.org/wiki/Medizinisches_Informationsobjekt</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8.</w:t>
      </w:r>
      <w:r>
        <w:rPr>
          <w:rFonts w:ascii="Times New Roman" w:eastAsia="Times New Roman" w:hAnsi="Times New Roman" w:cs="Times New Roman"/>
          <w:sz w:val="24"/>
          <w:szCs w:val="24"/>
          <w:lang w:val="en-US"/>
        </w:rPr>
        <w:t xml:space="preserve"> FHIR, 2024. HL7® FHIR®. Available at: </w:t>
      </w:r>
      <w:hyperlink r:id="rId12" w:tgtFrame="_new" w:history="1">
        <w:r>
          <w:rPr>
            <w:rFonts w:ascii="Times New Roman" w:eastAsia="Times New Roman" w:hAnsi="Times New Roman" w:cs="Times New Roman"/>
            <w:sz w:val="24"/>
            <w:szCs w:val="24"/>
            <w:u w:val="single"/>
            <w:lang w:val="en-US"/>
          </w:rPr>
          <w:t>https://fhir.org/</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9.</w:t>
      </w:r>
      <w:r>
        <w:rPr>
          <w:rFonts w:ascii="Times New Roman" w:eastAsia="Times New Roman" w:hAnsi="Times New Roman" w:cs="Times New Roman"/>
          <w:sz w:val="24"/>
          <w:szCs w:val="24"/>
          <w:lang w:val="en-US"/>
        </w:rPr>
        <w:t xml:space="preserve"> Robert Koch Institute (RKI), 2024. Evaluation and Monitoring of HIV PrEP in Germany. Available at: </w:t>
      </w:r>
      <w:hyperlink r:id="rId13" w:tgtFrame="_new" w:history="1">
        <w:r>
          <w:rPr>
            <w:rFonts w:ascii="Times New Roman" w:eastAsia="Times New Roman" w:hAnsi="Times New Roman" w:cs="Times New Roman"/>
            <w:sz w:val="24"/>
            <w:szCs w:val="24"/>
            <w:u w:val="single"/>
            <w:lang w:val="en-US"/>
          </w:rPr>
          <w:t>https://www.rki.de/DE/Content/InfAZ/H/HIVAIDS/EvE-PrEP.html</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10.</w:t>
      </w:r>
      <w:r>
        <w:rPr>
          <w:rFonts w:ascii="Times New Roman" w:eastAsia="Times New Roman" w:hAnsi="Times New Roman" w:cs="Times New Roman"/>
          <w:sz w:val="24"/>
          <w:szCs w:val="24"/>
          <w:lang w:val="en-US"/>
        </w:rPr>
        <w:t xml:space="preserve"> MIO42, 2024. About Us. Available at: </w:t>
      </w:r>
      <w:hyperlink r:id="rId14" w:tgtFrame="_new" w:history="1">
        <w:r>
          <w:rPr>
            <w:rFonts w:ascii="Times New Roman" w:eastAsia="Times New Roman" w:hAnsi="Times New Roman" w:cs="Times New Roman"/>
            <w:sz w:val="24"/>
            <w:szCs w:val="24"/>
            <w:u w:val="single"/>
            <w:lang w:val="en-US"/>
          </w:rPr>
          <w:t>https://mio42.de/ueber-uns/</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11.</w:t>
      </w:r>
      <w:r>
        <w:rPr>
          <w:rFonts w:ascii="Times New Roman" w:eastAsia="Times New Roman" w:hAnsi="Times New Roman" w:cs="Times New Roman"/>
          <w:sz w:val="24"/>
          <w:szCs w:val="24"/>
          <w:lang w:val="en-US"/>
        </w:rPr>
        <w:t xml:space="preserve"> KBV, 2024. MIO Base 1.x. Available at: </w:t>
      </w:r>
      <w:hyperlink r:id="rId15" w:tgtFrame="_new" w:history="1">
        <w:r>
          <w:rPr>
            <w:rFonts w:ascii="Times New Roman" w:eastAsia="Times New Roman" w:hAnsi="Times New Roman" w:cs="Times New Roman"/>
            <w:sz w:val="24"/>
            <w:szCs w:val="24"/>
            <w:u w:val="single"/>
            <w:lang w:val="en-US"/>
          </w:rPr>
          <w:t>https://mio.kbv.de/display/BASE1X0</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12.</w:t>
      </w:r>
      <w:r>
        <w:rPr>
          <w:rFonts w:ascii="Times New Roman" w:eastAsia="Times New Roman" w:hAnsi="Times New Roman" w:cs="Times New Roman"/>
          <w:sz w:val="24"/>
          <w:szCs w:val="24"/>
          <w:lang w:val="en-US"/>
        </w:rPr>
        <w:t xml:space="preserve"> PubMed, 2024. Article ID 37436444. Available at: </w:t>
      </w:r>
      <w:hyperlink r:id="rId16" w:tgtFrame="_new" w:history="1">
        <w:r>
          <w:rPr>
            <w:rFonts w:ascii="Times New Roman" w:eastAsia="Times New Roman" w:hAnsi="Times New Roman" w:cs="Times New Roman"/>
            <w:sz w:val="24"/>
            <w:szCs w:val="24"/>
            <w:u w:val="single"/>
            <w:lang w:val="en-US"/>
          </w:rPr>
          <w:t>https://pubmed.ncbi.nlm.nih.gov/37436444/</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13.</w:t>
      </w:r>
      <w:r>
        <w:rPr>
          <w:rFonts w:ascii="Times New Roman" w:eastAsia="Times New Roman" w:hAnsi="Times New Roman" w:cs="Times New Roman"/>
          <w:sz w:val="24"/>
          <w:szCs w:val="24"/>
          <w:lang w:val="en-US"/>
        </w:rPr>
        <w:t xml:space="preserve">  DB Thüringen, 2024. Publication Database. Available at: </w:t>
      </w:r>
      <w:hyperlink r:id="rId17" w:tgtFrame="_new" w:history="1">
        <w:r>
          <w:rPr>
            <w:rFonts w:ascii="Times New Roman" w:eastAsia="Times New Roman" w:hAnsi="Times New Roman" w:cs="Times New Roman"/>
            <w:sz w:val="24"/>
            <w:szCs w:val="24"/>
            <w:u w:val="single"/>
            <w:lang w:val="en-US"/>
          </w:rPr>
          <w:t>https://www.db-thueringen.de/receive/dbt_mods_00025536</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14.</w:t>
      </w:r>
      <w:r>
        <w:rPr>
          <w:rFonts w:ascii="Times New Roman" w:eastAsia="Times New Roman" w:hAnsi="Times New Roman" w:cs="Times New Roman"/>
          <w:sz w:val="24"/>
          <w:szCs w:val="24"/>
          <w:lang w:val="en-US"/>
        </w:rPr>
        <w:t xml:space="preserve">  IEEE Xplore, 2024. Article Abstract for Document 1409919. Available at: </w:t>
      </w:r>
      <w:hyperlink r:id="rId18" w:tgtFrame="_new" w:history="1">
        <w:r>
          <w:rPr>
            <w:rFonts w:ascii="Times New Roman" w:eastAsia="Times New Roman" w:hAnsi="Times New Roman" w:cs="Times New Roman"/>
            <w:sz w:val="24"/>
            <w:szCs w:val="24"/>
            <w:u w:val="single"/>
            <w:lang w:val="en-US"/>
          </w:rPr>
          <w:t>https://ieeexplore.ieee.org/abstract/document/1409919</w:t>
        </w:r>
      </w:hyperlink>
      <w:r>
        <w:rPr>
          <w:rFonts w:ascii="Times New Roman" w:eastAsia="Times New Roman" w:hAnsi="Times New Roman" w:cs="Times New Roman"/>
          <w:sz w:val="24"/>
          <w:szCs w:val="24"/>
          <w:lang w:val="en-US"/>
        </w:rPr>
        <w:t xml:space="preserve"> [Accessed November 29, 2024].</w:t>
      </w:r>
    </w:p>
    <w:p>
      <w:pPr>
        <w:spacing w:line="240" w:lineRule="auto"/>
        <w:rPr>
          <w:rFonts w:ascii="Times New Roman" w:eastAsia="Times New Roman" w:hAnsi="Times New Roman" w:cs="Times New Roman"/>
          <w:sz w:val="24"/>
          <w:szCs w:val="24"/>
          <w:lang w:val="en-US"/>
        </w:rPr>
      </w:pPr>
      <w:r>
        <w:rPr>
          <w:rFonts w:ascii="Times New Roman" w:eastAsia="Times New Roman" w:hAnsi="Symbol" w:cs="Times New Roman"/>
          <w:sz w:val="24"/>
          <w:szCs w:val="24"/>
          <w:lang w:val="en-US"/>
        </w:rPr>
        <w:t>15.</w:t>
      </w:r>
      <w:r>
        <w:rPr>
          <w:rFonts w:ascii="Times New Roman" w:eastAsia="Times New Roman" w:hAnsi="Times New Roman" w:cs="Times New Roman"/>
          <w:sz w:val="24"/>
          <w:szCs w:val="24"/>
          <w:lang w:val="en-US"/>
        </w:rPr>
        <w:t xml:space="preserve">  NASA OIG, 2024. Report IG-23-008. Available at: </w:t>
      </w:r>
      <w:hyperlink r:id="rId19" w:tgtFrame="_new" w:history="1">
        <w:r>
          <w:rPr>
            <w:rFonts w:ascii="Times New Roman" w:eastAsia="Times New Roman" w:hAnsi="Times New Roman" w:cs="Times New Roman"/>
            <w:sz w:val="24"/>
            <w:szCs w:val="24"/>
            <w:u w:val="single"/>
            <w:lang w:val="en-US"/>
          </w:rPr>
          <w:t>https://oig.nasa.gov/wp-content/uploads/2024/02/ig-23-008.pdf</w:t>
        </w:r>
      </w:hyperlink>
      <w:r>
        <w:rPr>
          <w:rFonts w:ascii="Times New Roman" w:eastAsia="Times New Roman" w:hAnsi="Times New Roman" w:cs="Times New Roman"/>
          <w:sz w:val="24"/>
          <w:szCs w:val="24"/>
          <w:lang w:val="en-US"/>
        </w:rPr>
        <w:t xml:space="preserve"> [Accessed November 29, 2024].</w:t>
      </w:r>
    </w:p>
    <w:p>
      <w:pPr>
        <w:rPr>
          <w:rFonts w:ascii="Times" w:eastAsia="Times" w:hAnsi="Times" w:cs="Times"/>
          <w:lang w:val="en-US"/>
        </w:rPr>
      </w:pPr>
      <w:r>
        <w:rPr>
          <w:rFonts w:ascii="Times New Roman" w:eastAsia="Times New Roman" w:hAnsi="Symbol" w:cs="Times New Roman"/>
          <w:sz w:val="24"/>
          <w:szCs w:val="24"/>
          <w:lang w:val="en-US"/>
        </w:rPr>
        <w:t>16.</w:t>
      </w:r>
      <w:r>
        <w:rPr>
          <w:rFonts w:ascii="Times New Roman" w:eastAsia="Times New Roman" w:hAnsi="Times New Roman" w:cs="Times New Roman"/>
          <w:sz w:val="24"/>
          <w:szCs w:val="24"/>
          <w:lang w:val="en-US"/>
        </w:rPr>
        <w:t xml:space="preserve">  HL7 International, 2024. FHIR Shorthand Reference. Available at: </w:t>
      </w:r>
      <w:hyperlink r:id="rId20" w:tgtFrame="_new" w:history="1">
        <w:r>
          <w:rPr>
            <w:rFonts w:ascii="Times New Roman" w:eastAsia="Times New Roman" w:hAnsi="Times New Roman" w:cs="Times New Roman"/>
            <w:sz w:val="24"/>
            <w:szCs w:val="24"/>
            <w:u w:val="single"/>
            <w:lang w:val="en-US"/>
          </w:rPr>
          <w:t>https://build.fhir.org/ig/HL7/fhir-shorthand/reference.html</w:t>
        </w:r>
      </w:hyperlink>
      <w:r>
        <w:rPr>
          <w:rFonts w:ascii="Times New Roman" w:eastAsia="Times New Roman" w:hAnsi="Times New Roman" w:cs="Times New Roman"/>
          <w:sz w:val="24"/>
          <w:szCs w:val="24"/>
          <w:lang w:val="en-US"/>
        </w:rPr>
        <w:t xml:space="preserve"> [Accessed November 29, 2024].</w:t>
      </w:r>
      <w:r>
        <w:rPr>
          <w:rFonts w:ascii="Times" w:eastAsia="Times" w:hAnsi="Times" w:cs="Times"/>
          <w:lang w:val="en-US"/>
        </w:rPr>
        <w:t xml:space="preserve"> </w:t>
      </w:r>
    </w:p>
    <w:sectPr>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820D1"/>
    <w:multiLevelType w:val="hybridMultilevel"/>
    <w:tmpl w:val="DB0600A6"/>
    <w:lvl w:ilvl="0" w:tplc="0407000F">
      <w:start w:val="7"/>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AA652C"/>
    <w:multiLevelType w:val="hybridMultilevel"/>
    <w:tmpl w:val="F60820F0"/>
    <w:lvl w:ilvl="0" w:tplc="3626B86E">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7492A50"/>
    <w:multiLevelType w:val="multilevel"/>
    <w:tmpl w:val="F62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E3937"/>
    <w:multiLevelType w:val="hybridMultilevel"/>
    <w:tmpl w:val="FEA6DC36"/>
    <w:lvl w:ilvl="0" w:tplc="F8E8A608">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72E03F9"/>
    <w:multiLevelType w:val="hybridMultilevel"/>
    <w:tmpl w:val="6486EB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731752"/>
    <w:multiLevelType w:val="hybridMultilevel"/>
    <w:tmpl w:val="23DE877A"/>
    <w:lvl w:ilvl="0" w:tplc="FEEE746E">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12A120F"/>
    <w:multiLevelType w:val="multilevel"/>
    <w:tmpl w:val="13D2D8B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5"/>
      <w:numFmt w:val="decimal"/>
      <w:lvlText w:val="%2"/>
      <w:lvlJc w:val="left"/>
      <w:pPr>
        <w:ind w:left="1440" w:hanging="360"/>
      </w:pPr>
      <w:rPr>
        <w:rFonts w:eastAsia="Times" w:hint="default"/>
        <w:b/>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D50FD"/>
    <w:multiLevelType w:val="multilevel"/>
    <w:tmpl w:val="6E8A4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4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1D129A9"/>
    <w:multiLevelType w:val="multilevel"/>
    <w:tmpl w:val="E5126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2270CE8"/>
    <w:multiLevelType w:val="multilevel"/>
    <w:tmpl w:val="A10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A2650"/>
    <w:multiLevelType w:val="hybridMultilevel"/>
    <w:tmpl w:val="1CB483BA"/>
    <w:lvl w:ilvl="0" w:tplc="06A2CA00">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D0E66B8"/>
    <w:multiLevelType w:val="multilevel"/>
    <w:tmpl w:val="01567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11"/>
  </w:num>
  <w:num w:numId="3">
    <w:abstractNumId w:val="7"/>
  </w:num>
  <w:num w:numId="4">
    <w:abstractNumId w:val="5"/>
  </w:num>
  <w:num w:numId="5">
    <w:abstractNumId w:val="10"/>
  </w:num>
  <w:num w:numId="6">
    <w:abstractNumId w:val="6"/>
  </w:num>
  <w:num w:numId="7">
    <w:abstractNumId w:val="9"/>
  </w:num>
  <w:num w:numId="8">
    <w:abstractNumId w:val="1"/>
  </w:num>
  <w:num w:numId="9">
    <w:abstractNumId w:val="4"/>
  </w:num>
  <w:num w:numId="10">
    <w:abstractNumId w:val="0"/>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1288C-062C-41A5-8C7F-98BAE135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de-D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de-DE"/>
    </w:rPr>
  </w:style>
  <w:style w:type="character" w:styleId="UnresolvedMention">
    <w:name w:val="Unresolved Mention"/>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361528">
      <w:bodyDiv w:val="1"/>
      <w:marLeft w:val="0"/>
      <w:marRight w:val="0"/>
      <w:marTop w:val="0"/>
      <w:marBottom w:val="0"/>
      <w:divBdr>
        <w:top w:val="none" w:sz="0" w:space="0" w:color="auto"/>
        <w:left w:val="none" w:sz="0" w:space="0" w:color="auto"/>
        <w:bottom w:val="none" w:sz="0" w:space="0" w:color="auto"/>
        <w:right w:val="none" w:sz="0" w:space="0" w:color="auto"/>
      </w:divBdr>
    </w:div>
    <w:div w:id="397245882">
      <w:bodyDiv w:val="1"/>
      <w:marLeft w:val="0"/>
      <w:marRight w:val="0"/>
      <w:marTop w:val="0"/>
      <w:marBottom w:val="0"/>
      <w:divBdr>
        <w:top w:val="none" w:sz="0" w:space="0" w:color="auto"/>
        <w:left w:val="none" w:sz="0" w:space="0" w:color="auto"/>
        <w:bottom w:val="none" w:sz="0" w:space="0" w:color="auto"/>
        <w:right w:val="none" w:sz="0" w:space="0" w:color="auto"/>
      </w:divBdr>
    </w:div>
    <w:div w:id="442194668">
      <w:bodyDiv w:val="1"/>
      <w:marLeft w:val="0"/>
      <w:marRight w:val="0"/>
      <w:marTop w:val="0"/>
      <w:marBottom w:val="0"/>
      <w:divBdr>
        <w:top w:val="none" w:sz="0" w:space="0" w:color="auto"/>
        <w:left w:val="none" w:sz="0" w:space="0" w:color="auto"/>
        <w:bottom w:val="none" w:sz="0" w:space="0" w:color="auto"/>
        <w:right w:val="none" w:sz="0" w:space="0" w:color="auto"/>
      </w:divBdr>
    </w:div>
    <w:div w:id="623737005">
      <w:bodyDiv w:val="1"/>
      <w:marLeft w:val="0"/>
      <w:marRight w:val="0"/>
      <w:marTop w:val="0"/>
      <w:marBottom w:val="0"/>
      <w:divBdr>
        <w:top w:val="none" w:sz="0" w:space="0" w:color="auto"/>
        <w:left w:val="none" w:sz="0" w:space="0" w:color="auto"/>
        <w:bottom w:val="none" w:sz="0" w:space="0" w:color="auto"/>
        <w:right w:val="none" w:sz="0" w:space="0" w:color="auto"/>
      </w:divBdr>
    </w:div>
    <w:div w:id="1034580115">
      <w:bodyDiv w:val="1"/>
      <w:marLeft w:val="0"/>
      <w:marRight w:val="0"/>
      <w:marTop w:val="0"/>
      <w:marBottom w:val="0"/>
      <w:divBdr>
        <w:top w:val="none" w:sz="0" w:space="0" w:color="auto"/>
        <w:left w:val="none" w:sz="0" w:space="0" w:color="auto"/>
        <w:bottom w:val="none" w:sz="0" w:space="0" w:color="auto"/>
        <w:right w:val="none" w:sz="0" w:space="0" w:color="auto"/>
      </w:divBdr>
    </w:div>
    <w:div w:id="1148739782">
      <w:bodyDiv w:val="1"/>
      <w:marLeft w:val="0"/>
      <w:marRight w:val="0"/>
      <w:marTop w:val="0"/>
      <w:marBottom w:val="0"/>
      <w:divBdr>
        <w:top w:val="none" w:sz="0" w:space="0" w:color="auto"/>
        <w:left w:val="none" w:sz="0" w:space="0" w:color="auto"/>
        <w:bottom w:val="none" w:sz="0" w:space="0" w:color="auto"/>
        <w:right w:val="none" w:sz="0" w:space="0" w:color="auto"/>
      </w:divBdr>
    </w:div>
    <w:div w:id="1181236263">
      <w:bodyDiv w:val="1"/>
      <w:marLeft w:val="0"/>
      <w:marRight w:val="0"/>
      <w:marTop w:val="0"/>
      <w:marBottom w:val="0"/>
      <w:divBdr>
        <w:top w:val="none" w:sz="0" w:space="0" w:color="auto"/>
        <w:left w:val="none" w:sz="0" w:space="0" w:color="auto"/>
        <w:bottom w:val="none" w:sz="0" w:space="0" w:color="auto"/>
        <w:right w:val="none" w:sz="0" w:space="0" w:color="auto"/>
      </w:divBdr>
    </w:div>
    <w:div w:id="1198935804">
      <w:bodyDiv w:val="1"/>
      <w:marLeft w:val="0"/>
      <w:marRight w:val="0"/>
      <w:marTop w:val="0"/>
      <w:marBottom w:val="0"/>
      <w:divBdr>
        <w:top w:val="none" w:sz="0" w:space="0" w:color="auto"/>
        <w:left w:val="none" w:sz="0" w:space="0" w:color="auto"/>
        <w:bottom w:val="none" w:sz="0" w:space="0" w:color="auto"/>
        <w:right w:val="none" w:sz="0" w:space="0" w:color="auto"/>
      </w:divBdr>
    </w:div>
    <w:div w:id="1370302492">
      <w:bodyDiv w:val="1"/>
      <w:marLeft w:val="0"/>
      <w:marRight w:val="0"/>
      <w:marTop w:val="0"/>
      <w:marBottom w:val="0"/>
      <w:divBdr>
        <w:top w:val="none" w:sz="0" w:space="0" w:color="auto"/>
        <w:left w:val="none" w:sz="0" w:space="0" w:color="auto"/>
        <w:bottom w:val="none" w:sz="0" w:space="0" w:color="auto"/>
        <w:right w:val="none" w:sz="0" w:space="0" w:color="auto"/>
      </w:divBdr>
    </w:div>
    <w:div w:id="1437945671">
      <w:bodyDiv w:val="1"/>
      <w:marLeft w:val="0"/>
      <w:marRight w:val="0"/>
      <w:marTop w:val="0"/>
      <w:marBottom w:val="0"/>
      <w:divBdr>
        <w:top w:val="none" w:sz="0" w:space="0" w:color="auto"/>
        <w:left w:val="none" w:sz="0" w:space="0" w:color="auto"/>
        <w:bottom w:val="none" w:sz="0" w:space="0" w:color="auto"/>
        <w:right w:val="none" w:sz="0" w:space="0" w:color="auto"/>
      </w:divBdr>
    </w:div>
    <w:div w:id="1493984108">
      <w:bodyDiv w:val="1"/>
      <w:marLeft w:val="0"/>
      <w:marRight w:val="0"/>
      <w:marTop w:val="0"/>
      <w:marBottom w:val="0"/>
      <w:divBdr>
        <w:top w:val="none" w:sz="0" w:space="0" w:color="auto"/>
        <w:left w:val="none" w:sz="0" w:space="0" w:color="auto"/>
        <w:bottom w:val="none" w:sz="0" w:space="0" w:color="auto"/>
        <w:right w:val="none" w:sz="0" w:space="0" w:color="auto"/>
      </w:divBdr>
    </w:div>
    <w:div w:id="1600679636">
      <w:bodyDiv w:val="1"/>
      <w:marLeft w:val="0"/>
      <w:marRight w:val="0"/>
      <w:marTop w:val="0"/>
      <w:marBottom w:val="0"/>
      <w:divBdr>
        <w:top w:val="none" w:sz="0" w:space="0" w:color="auto"/>
        <w:left w:val="none" w:sz="0" w:space="0" w:color="auto"/>
        <w:bottom w:val="none" w:sz="0" w:space="0" w:color="auto"/>
        <w:right w:val="none" w:sz="0" w:space="0" w:color="auto"/>
      </w:divBdr>
    </w:div>
    <w:div w:id="1628851069">
      <w:bodyDiv w:val="1"/>
      <w:marLeft w:val="0"/>
      <w:marRight w:val="0"/>
      <w:marTop w:val="0"/>
      <w:marBottom w:val="0"/>
      <w:divBdr>
        <w:top w:val="none" w:sz="0" w:space="0" w:color="auto"/>
        <w:left w:val="none" w:sz="0" w:space="0" w:color="auto"/>
        <w:bottom w:val="none" w:sz="0" w:space="0" w:color="auto"/>
        <w:right w:val="none" w:sz="0" w:space="0" w:color="auto"/>
      </w:divBdr>
    </w:div>
    <w:div w:id="1670670501">
      <w:bodyDiv w:val="1"/>
      <w:marLeft w:val="0"/>
      <w:marRight w:val="0"/>
      <w:marTop w:val="0"/>
      <w:marBottom w:val="0"/>
      <w:divBdr>
        <w:top w:val="none" w:sz="0" w:space="0" w:color="auto"/>
        <w:left w:val="none" w:sz="0" w:space="0" w:color="auto"/>
        <w:bottom w:val="none" w:sz="0" w:space="0" w:color="auto"/>
        <w:right w:val="none" w:sz="0" w:space="0" w:color="auto"/>
      </w:divBdr>
    </w:div>
    <w:div w:id="1713649244">
      <w:bodyDiv w:val="1"/>
      <w:marLeft w:val="0"/>
      <w:marRight w:val="0"/>
      <w:marTop w:val="0"/>
      <w:marBottom w:val="0"/>
      <w:divBdr>
        <w:top w:val="none" w:sz="0" w:space="0" w:color="auto"/>
        <w:left w:val="none" w:sz="0" w:space="0" w:color="auto"/>
        <w:bottom w:val="none" w:sz="0" w:space="0" w:color="auto"/>
        <w:right w:val="none" w:sz="0" w:space="0" w:color="auto"/>
      </w:divBdr>
    </w:div>
    <w:div w:id="1997604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chem.ncbi.nlm.nih.gov/compound/86575116" TargetMode="External"/><Relationship Id="rId13" Type="http://schemas.openxmlformats.org/officeDocument/2006/relationships/hyperlink" Target="https://www.rki.de/DE/Content/InfAZ/H/HIVAIDS/EvE-PrEP.html" TargetMode="External"/><Relationship Id="rId18" Type="http://schemas.openxmlformats.org/officeDocument/2006/relationships/hyperlink" Target="https://ieeexplore.ieee.org/abstract/document/140991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forschungsdatenzentrum-gesundheit.de/gesundheitsdaten-am-fdz-gesundheit" TargetMode="External"/><Relationship Id="rId12" Type="http://schemas.openxmlformats.org/officeDocument/2006/relationships/hyperlink" Target="https://fhir.org/" TargetMode="External"/><Relationship Id="rId17" Type="http://schemas.openxmlformats.org/officeDocument/2006/relationships/hyperlink" Target="https://www.db-thueringen.de/receive/dbt_mods_00025536" TargetMode="External"/><Relationship Id="rId2" Type="http://schemas.openxmlformats.org/officeDocument/2006/relationships/styles" Target="styles.xml"/><Relationship Id="rId16" Type="http://schemas.openxmlformats.org/officeDocument/2006/relationships/hyperlink" Target="https://pubmed.ncbi.nlm.nih.gov/37436444/" TargetMode="External"/><Relationship Id="rId20" Type="http://schemas.openxmlformats.org/officeDocument/2006/relationships/hyperlink" Target="https://build.fhir.org/ig/HL7/fhir-shorthand/reference.html" TargetMode="External"/><Relationship Id="rId1" Type="http://schemas.openxmlformats.org/officeDocument/2006/relationships/numbering" Target="numbering.xml"/><Relationship Id="rId6" Type="http://schemas.openxmlformats.org/officeDocument/2006/relationships/hyperlink" Target="https://www.ecdc.europa.eu/assets/hiv-monitoring-preexposure/prep-indicators.html" TargetMode="External"/><Relationship Id="rId11" Type="http://schemas.openxmlformats.org/officeDocument/2006/relationships/hyperlink" Target="https://de.wikipedia.org/wiki/Medizinisches_Informationsobjekt" TargetMode="External"/><Relationship Id="rId5" Type="http://schemas.openxmlformats.org/officeDocument/2006/relationships/image" Target="media/image1.png"/><Relationship Id="rId15" Type="http://schemas.openxmlformats.org/officeDocument/2006/relationships/hyperlink" Target="https://mio.kbv.de/display/BASE1X0" TargetMode="External"/><Relationship Id="rId10" Type="http://schemas.openxmlformats.org/officeDocument/2006/relationships/hyperlink" Target="https://www.bfarm.de/EN/Home/_node.html" TargetMode="External"/><Relationship Id="rId19" Type="http://schemas.openxmlformats.org/officeDocument/2006/relationships/hyperlink" Target="https://oig.nasa.gov/wp-content/uploads/2024/02/ig-23-008.pdf" TargetMode="External"/><Relationship Id="rId4" Type="http://schemas.openxmlformats.org/officeDocument/2006/relationships/webSettings" Target="webSettings.xml"/><Relationship Id="rId9" Type="http://schemas.openxmlformats.org/officeDocument/2006/relationships/hyperlink" Target="https://www.ecdc.europa.eu/en/publications-data/monitoring-hiv-pre-exposure-prophylaxis-programmes-eueea" TargetMode="External"/><Relationship Id="rId14" Type="http://schemas.openxmlformats.org/officeDocument/2006/relationships/hyperlink" Target="https://mio42.de/ueber-un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3586</Words>
  <Characters>22592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Robert Koch Institut</Company>
  <LinksUpToDate>false</LinksUpToDate>
  <CharactersWithSpaces>26126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Thothathri, Gokul</dc:creator>
  <cp:lastModifiedBy>Thothathri, Gokul</cp:lastModifiedBy>
  <cp:revision>2</cp:revision>
  <cp:lastPrinted>2025-01-07T16:29:00Z</cp:lastPrinted>
  <dcterms:created xsi:type="dcterms:W3CDTF">2025-01-17T10:07:00Z</dcterms:created>
  <dcterms:modified xsi:type="dcterms:W3CDTF">2025-01-17T10:07:00Z</dcterms:modified>
</cp:coreProperties>
</file>