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t xml:space="preserve">HIV PrEP-DART (Data Analysis and Reporting Tool):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21 - 02 - 2025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 PrEP-DART (Data Analysis and Reporting Tool):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HIV pre-exposure prophylaxis (PrEP) programs are essential in preventing the transmission of HIV, requiring efficient monitoring and reporting frameworks to assess their reach and impact. This master thesis aims to develop a robust and scalable data analysis pipeline with emphasis on Synthetic Data Generation (SDG)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Synthetic Data Generation Algorithms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15" w:right="0" w:firstLine="0"/>
        <w:rPr>
          <w:lang w:val="en-US"/>
        </w:rPr>
      </w:pPr>
      <w:r>
        <w:rPr>
          <w:lang w:val="en-US"/>
        </w:rPr>
        <w:br/>
      </w:r>
      <w:r>
        <w:rPr>
          <w:b/>
          <w:i/>
          <w:szCs w:val="21"/>
          <w:lang w:val="en-US"/>
        </w:rPr>
        <w:t>RQ1: “How does the HIV-PrEP DART pipeline enhance the automation, scalability, and accuracy of PrEP indicator reporting in HIV surveillance systems?</w:t>
      </w:r>
    </w:p>
    <w:p>
      <w:pPr>
        <w:spacing w:after="316"/>
        <w:ind w:left="-5" w:right="0"/>
        <w:rPr>
          <w:b/>
          <w:i/>
          <w:szCs w:val="21"/>
          <w:lang w:val="en-US"/>
        </w:rPr>
      </w:pPr>
      <w:r>
        <w:rPr>
          <w:b/>
          <w:i/>
          <w:szCs w:val="21"/>
          <w:lang w:val="en-US"/>
        </w:rPr>
        <w:br/>
        <w:t>RQ2: “How do different Synthetic Data Generation (SDG) techniques impact the accuracy and reliability of PrEP indicators in HIV-PrEP surveillance systems?”</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 xml:space="preserve">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w:t>
      </w:r>
      <w:r>
        <w:rPr>
          <w:lang w:val="en-US"/>
        </w:rPr>
        <w:lastRenderedPageBreak/>
        <w:t xml:space="preserve">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HIV-PrEP indicator reporting</w:t>
      </w:r>
      <w:r>
        <w:rPr>
          <w:sz w:val="21"/>
          <w:szCs w:val="21"/>
          <w:lang w:val="en-US"/>
        </w:rPr>
        <w:t xml:space="preserve"> using the </w:t>
      </w:r>
      <w:r>
        <w:rPr>
          <w:rStyle w:val="Strong"/>
          <w:b w:val="0"/>
          <w:sz w:val="21"/>
          <w:szCs w:val="21"/>
          <w:lang w:val="en-US"/>
        </w:rPr>
        <w:t>Health Data Lab (FDZ Gesundheit) framework</w:t>
      </w:r>
      <w:r>
        <w:rPr>
          <w:b/>
          <w:sz w:val="21"/>
          <w:szCs w:val="21"/>
          <w:lang w:val="en-US"/>
        </w:rPr>
        <w:t>.</w:t>
      </w:r>
      <w:r>
        <w:rPr>
          <w:b/>
          <w:sz w:val="21"/>
          <w:szCs w:val="21"/>
          <w:lang w:val="en-US"/>
        </w:rPr>
        <w:br/>
        <w:t xml:space="preserve">     </w:t>
      </w:r>
      <w:r>
        <w:rPr>
          <w:sz w:val="21"/>
          <w:szCs w:val="21"/>
          <w:lang w:val="en-US"/>
        </w:rPr>
        <w:t>2. Compare and evaluate different</w:t>
      </w:r>
      <w:r>
        <w:rPr>
          <w:b/>
          <w:sz w:val="21"/>
          <w:szCs w:val="21"/>
          <w:lang w:val="en-US"/>
        </w:rPr>
        <w:t xml:space="preserve"> </w:t>
      </w:r>
      <w:r>
        <w:rPr>
          <w:rStyle w:val="Strong"/>
          <w:b w:val="0"/>
          <w:sz w:val="21"/>
          <w:szCs w:val="21"/>
          <w:lang w:val="en-US"/>
        </w:rPr>
        <w:t>Synthetic Data Generation (SDG) 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sz w:val="21"/>
          <w:szCs w:val="21"/>
          <w:lang w:val="en-US"/>
        </w:rPr>
        <w:br/>
        <w:t xml:space="preserve">     3.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bookmarkStart w:id="2" w:name="_GoBack"/>
      <w:bookmarkEnd w:id="2"/>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The master thesis project utilizes synthetically generated datasets to simulate real-world data while preserving privacy and confidentiality requirements. The synthetic data is created using the framework provided by the Health Data Lab (FDZ Gesundheit) [12].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given by FDZ (</w:t>
      </w:r>
      <w:proofErr w:type="spellStart"/>
      <w:r>
        <w:rPr>
          <w:lang w:val="en-US"/>
        </w:rPr>
        <w:t>ForschungsDatenZentrum</w:t>
      </w:r>
      <w:proofErr w:type="spellEnd"/>
      <w:r>
        <w:rPr>
          <w:lang w:val="en-US"/>
        </w:rPr>
        <w:t>) ignores individual differences and may lead to information loss if not optimized for narrow utility goal of HIV PrEP-DART.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lastRenderedPageBreak/>
        <w:t xml:space="preserve"> </w:t>
      </w:r>
      <w:r>
        <w:rPr>
          <w:lang w:val="en-US"/>
        </w:rPr>
        <w:tab/>
      </w:r>
      <w:r>
        <w:rPr>
          <w:i/>
          <w:lang w:val="en-US"/>
        </w:rPr>
        <w:t xml:space="preserve">Pipeline Architecture: HIV PrEP-DART (HIV PrEP- Data Analysis and Reporting Tool) </w:t>
      </w:r>
    </w:p>
    <w:p>
      <w:pPr>
        <w:rPr>
          <w:lang w:val="en-US"/>
        </w:rPr>
      </w:pPr>
    </w:p>
    <w:p>
      <w:pPr>
        <w:ind w:left="-5" w:right="0"/>
        <w:rPr>
          <w:lang w:val="en-US"/>
        </w:rPr>
      </w:pPr>
      <w:r>
        <w:rPr>
          <w:lang w:val="en-US"/>
        </w:rPr>
        <w:t xml:space="preserve">The HIV PrEP DART architecture involves multiple stages, each designed to ensure the pipeline is scalable, efficient, and compliant with privacy standards.  The pipeline begins with dataset model provided by the Health Data Lab (FDZ Gesundheit),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illustrates how the PrEP-DART pipeline processes PUF datasets, maps them to standardized PrEP indicators, and converts anonymized data into meaningful insights for further evaluation and reporting. </w:t>
      </w:r>
      <w:r>
        <w:rPr>
          <w:noProof/>
        </w:rPr>
        <w:drawing>
          <wp:inline distT="0" distB="0" distL="0" distR="0">
            <wp:extent cx="5760720" cy="3180715"/>
            <wp:effectExtent l="0" t="0" r="0" b="635"/>
            <wp:docPr id="4" name="Picture 3">
              <a:extLst xmlns:a="http://schemas.openxmlformats.org/drawingml/2006/main">
                <a:ext uri="{FF2B5EF4-FFF2-40B4-BE49-F238E27FC236}">
                  <a16:creationId xmlns:a16="http://schemas.microsoft.com/office/drawing/2014/main" id="{77BAB3BB-00BF-4428-9689-3FDF8CDE0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BAB3BB-00BF-4428-9689-3FDF8CDE0888}"/>
                        </a:ext>
                      </a:extLst>
                    </pic:cNvPr>
                    <pic:cNvPicPr>
                      <a:picLocks noChangeAspect="1"/>
                    </pic:cNvPicPr>
                  </pic:nvPicPr>
                  <pic:blipFill>
                    <a:blip r:embed="rId6"/>
                    <a:stretch>
                      <a:fillRect/>
                    </a:stretch>
                  </pic:blipFill>
                  <pic:spPr>
                    <a:xfrm>
                      <a:off x="0" y="0"/>
                      <a:ext cx="5760720" cy="3180715"/>
                    </a:xfrm>
                    <a:prstGeom prst="rect">
                      <a:avLst/>
                    </a:prstGeom>
                  </pic:spPr>
                </pic:pic>
              </a:graphicData>
            </a:graphic>
          </wp:inline>
        </w:drawing>
      </w:r>
      <w:r>
        <w:rPr>
          <w:lang w:val="en-US"/>
        </w:rPr>
        <w:br/>
      </w:r>
      <w:r>
        <w:rPr>
          <w:lang w:val="en-US"/>
        </w:rPr>
        <w:br/>
        <w:t>Figure 1: HIV-PrEP DART Anonymization Framework: Classification of Anonymization Techniques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pPr>
        <w:spacing w:after="14" w:line="259" w:lineRule="auto"/>
        <w:ind w:left="0" w:right="0" w:firstLine="0"/>
        <w:jc w:val="left"/>
        <w:rPr>
          <w:lang w:val="en-US"/>
        </w:rPr>
      </w:pPr>
    </w:p>
    <w:p>
      <w:pPr>
        <w:pStyle w:val="Heading2"/>
        <w:numPr>
          <w:ilvl w:val="0"/>
          <w:numId w:val="0"/>
        </w:numPr>
        <w:spacing w:after="247"/>
        <w:ind w:left="10" w:hanging="10"/>
        <w:rPr>
          <w:i/>
          <w:lang w:val="en-US"/>
        </w:rPr>
      </w:pPr>
      <w:r>
        <w:rPr>
          <w:i/>
          <w:lang w:val="en-US"/>
        </w:rPr>
        <w:lastRenderedPageBreak/>
        <w:t xml:space="preserve">     </w:t>
      </w:r>
    </w:p>
    <w:p>
      <w:pPr>
        <w:pStyle w:val="Heading2"/>
        <w:spacing w:after="247"/>
        <w:ind w:left="307" w:hanging="322"/>
        <w:rPr>
          <w:i/>
          <w:lang w:val="en-US"/>
        </w:rPr>
      </w:pPr>
      <w:r>
        <w:rPr>
          <w:i/>
          <w:lang w:val="en-US"/>
        </w:rPr>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(5) Indicator-Specific Insights – Identifies service gaps in PrEP coverage, assesses program effectiveness in reducing new infections (PnR), and evaluates adherence and retention trends among PrEP users</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Synthetic Data Generation (SDG) Techniques for Privacy-Preserving Health Data Processing</w:t>
      </w:r>
    </w:p>
    <w:p>
      <w:pPr>
        <w:ind w:left="-15" w:right="0" w:firstLine="0"/>
        <w:rPr>
          <w:lang w:val="en-US"/>
        </w:rPr>
      </w:pPr>
      <w:r>
        <w:rPr>
          <w:lang w:val="en-US"/>
        </w:rPr>
        <w:br/>
        <w:t xml:space="preserve">This study classifies Synthetic Data Generation (SDG) techniques into three categories to systematically evaluate their impact on pipeline results;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r>
        <w:rPr>
          <w:noProof/>
        </w:rPr>
        <w:lastRenderedPageBreak/>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7"/>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HIV-PrEP DART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privacy[16,17] and homomorphic encryption, which emphasize </w:t>
      </w:r>
      <w:r>
        <w:rPr>
          <w:rStyle w:val="Strong"/>
          <w:b w:val="0"/>
          <w:lang w:val="en-US"/>
        </w:rPr>
        <w:t>computational security, privacy guarantees, and data fidelity</w:t>
      </w:r>
      <w:r>
        <w:rPr>
          <w:lang w:val="en-US"/>
        </w:rPr>
        <w:t>. However, a common security bias—</w:t>
      </w:r>
      <w:r>
        <w:rPr>
          <w:rStyle w:val="Strong"/>
          <w:b w:val="0"/>
          <w:lang w:val="en-US"/>
        </w:rPr>
        <w:t>the representativeness heuristic</w:t>
      </w:r>
      <w:r>
        <w:rPr>
          <w:lang w:val="en-US"/>
        </w:rPr>
        <w:t xml:space="preserve">—leads to the mistaken assumption that synthetic data is inherently private simply because it differs from real data. This misconception can result in overlooked privacy vulnerabilities. By systematically applying this evaluation, the generated synthetic datasets undergo rigorous validation to ensure that privacy protection mechanisms do not excessively distort data utility, making them </w:t>
      </w:r>
      <w:r>
        <w:rPr>
          <w:lang w:val="en-US"/>
        </w:rPr>
        <w:t>optimized</w:t>
      </w:r>
      <w:r>
        <w:rPr>
          <w:lang w:val="en-US"/>
        </w:rPr>
        <w:t xml:space="preserve"> for </w:t>
      </w:r>
      <w:r>
        <w:rPr>
          <w:rStyle w:val="Strong"/>
          <w:b w:val="0"/>
          <w:lang w:val="en-US"/>
        </w:rPr>
        <w:t>HIV-PrEP DART indicator analysis</w:t>
      </w:r>
      <w:r>
        <w:rPr>
          <w:lang w:val="en-US"/>
        </w:rPr>
        <w:t xml:space="preserve">. </w:t>
      </w:r>
    </w:p>
    <w:p>
      <w:pPr>
        <w:ind w:left="-5" w:right="0"/>
        <w:rPr>
          <w:lang w:val="en-US"/>
        </w:rPr>
      </w:pP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3496"/>
        <w:gridCol w:w="1068"/>
        <w:gridCol w:w="4030"/>
      </w:tblGrid>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Duration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lastRenderedPageBreak/>
              <w:t xml:space="preserve">          </w:t>
            </w:r>
            <w:proofErr w:type="spellStart"/>
            <w:r>
              <w:t>Indicator</w:t>
            </w:r>
            <w:proofErr w:type="spellEnd"/>
            <w:r>
              <w:t xml:space="preserve"> Mapping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proofErr w:type="spellStart"/>
            <w:r>
              <w:t>Automated</w:t>
            </w:r>
            <w:proofErr w:type="spellEnd"/>
            <w:r>
              <w:t xml:space="preserve"> Reporting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Reports with tables and visualizations, final testing </w:t>
            </w:r>
          </w:p>
        </w:tc>
      </w:tr>
      <w:tr>
        <w:trPr>
          <w:trHeight w:val="869"/>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lastRenderedPageBreak/>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i/>
          <w:lang w:val="en-US"/>
        </w:rPr>
        <w:t xml:space="preserve">Huang, Yan, and Jacob </w:t>
      </w:r>
      <w:proofErr w:type="spellStart"/>
      <w:r>
        <w:rPr>
          <w:rStyle w:val="Strong"/>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lang w:val="en-US"/>
        </w:rPr>
        <w:t>IEEE Access</w:t>
      </w:r>
      <w:r>
        <w:rPr>
          <w:lang w:val="en-US"/>
        </w:rPr>
        <w:t xml:space="preserve"> (2024).</w:t>
      </w:r>
    </w:p>
    <w:p>
      <w:pPr>
        <w:spacing w:after="8" w:line="269" w:lineRule="auto"/>
        <w:ind w:left="520" w:right="0" w:firstLine="0"/>
        <w:rPr>
          <w:i/>
          <w:lang w:val="en-US"/>
        </w:rPr>
      </w:pP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BBA46-CBB7-4964-8777-1B41CD0A3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3130</Words>
  <Characters>19722</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8</cp:revision>
  <dcterms:created xsi:type="dcterms:W3CDTF">2025-02-20T17:08:00Z</dcterms:created>
  <dcterms:modified xsi:type="dcterms:W3CDTF">2025-02-21T12:45:00Z</dcterms:modified>
</cp:coreProperties>
</file>