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r>
      <w:r>
        <w:rPr>
          <w:lang w:val="en-US"/>
        </w:rPr>
        <w:t>HIV-PrEP</w:t>
      </w:r>
      <w:r>
        <w:rPr>
          <w:lang w:val="en-US"/>
        </w:rPr>
        <w:t xml:space="preserve"> CORE (</w:t>
      </w:r>
      <w:r>
        <w:rPr>
          <w:lang w:val="en-US"/>
        </w:rPr>
        <w:t>HIV-PrEP Comprehensive Oversight for Reporting &amp; Evaluation</w:t>
      </w:r>
      <w:r>
        <w:rPr>
          <w:lang w:val="en-US"/>
        </w:rPr>
        <w:t xml:space="preserve">):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r>
        <w:rPr>
          <w:lang w:val="en-US"/>
        </w:rPr>
        <w:t xml:space="preserve">          </w:t>
      </w:r>
      <w:r>
        <w:t xml:space="preserve">01 - 03 - 2025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HIV-PrEP CORE (HIV-PrEP Comprehensive Oversight for Reporting &amp; Evaluation)</w:t>
      </w:r>
      <w:r>
        <w:rPr>
          <w:lang w:val="en-US"/>
        </w:rPr>
        <w:t>: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HIV pre-exposure prophylaxis (PrEP) programs are essential in preventing the transmission of HIV, requiring efficient monitoring and reporting frameworks to assess their reach and impact. This master thesis aims to develop a robust and scalable data analysis pipeline with emphasis on Synthetic Data Generation (SDG)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synthetic data generation (SDG) are widely used as a privacy-preserving technique which defends against linking attacks by suppression and generalization. The methodology outputs metrics called “PrEP indicators”, offering insights into program performance while remaining adaptable to future extensions or real-world data followed by benchmarking the expected results with different Synthetic Data Generation Algorithms (SDG) algorithms. By reducing the time and effort required for reporting, the proposed pipeline not only supports efficient monitoring of HIV-PrEP programs but also serves for better understandability of the underlying data structure and correlations between the medical data variables [3]. The research in this master thesis is guided by the following key questions:</w:t>
      </w:r>
    </w:p>
    <w:p>
      <w:pPr>
        <w:spacing w:after="316"/>
        <w:ind w:left="-15" w:right="0" w:firstLine="0"/>
        <w:rPr>
          <w:lang w:val="en-US"/>
        </w:rPr>
      </w:pPr>
      <w:r>
        <w:rPr>
          <w:lang w:val="en-US"/>
        </w:rPr>
        <w:br/>
      </w:r>
      <w:r>
        <w:rPr>
          <w:b/>
          <w:i/>
          <w:szCs w:val="21"/>
          <w:lang w:val="en-US"/>
        </w:rPr>
        <w:t>RQ1: “How does the HIV-PrEP CORE pipeline enhance the automation, scalability, and accuracy of PrEP indicator reporting in HIV surveillance systems?</w:t>
      </w:r>
    </w:p>
    <w:p>
      <w:pPr>
        <w:spacing w:after="316"/>
        <w:ind w:left="-5" w:right="0"/>
        <w:rPr>
          <w:b/>
          <w:i/>
          <w:szCs w:val="21"/>
          <w:lang w:val="en-US"/>
        </w:rPr>
      </w:pPr>
      <w:r>
        <w:rPr>
          <w:b/>
          <w:i/>
          <w:szCs w:val="21"/>
          <w:lang w:val="en-US"/>
        </w:rPr>
        <w:br/>
        <w:t>RQ2: “How do different Synthetic Data Generation (SDG) techniques impact the accuracy and reliability of PrEP indicators in HIV-PrEP surveillance systems?”</w:t>
      </w: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3.1</w:t>
      </w:r>
      <w:r>
        <w:rPr>
          <w:i/>
          <w:lang w:val="en-US"/>
        </w:rPr>
        <w:tab/>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Entity-Relationship (ER) diagrams, which visually map the relationships betwee</w:t>
      </w:r>
      <w:bookmarkStart w:id="2" w:name="_GoBack"/>
      <w:bookmarkEnd w:id="2"/>
      <w:r>
        <w:rPr>
          <w:lang w:val="en-US"/>
        </w:rPr>
        <w:t xml:space="preserve">n tables, facilitating efficient data integration and analysis. Additionally, the main FDZ Gesundheit website explains the broader context and purpose of the data lab, </w:t>
      </w:r>
      <w:r>
        <w:rPr>
          <w:lang w:val="en-US"/>
        </w:rPr>
        <w:lastRenderedPageBreak/>
        <w:t xml:space="preserve">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in a broader context.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3.2</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 xml:space="preserve"> The framework includes indicators that are categorized into three domains: pre-uptake, uptake and coverage, and continued and effective use [6].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Monitoring will be vital to understand whether programs succeed in engaging people into using PrEP appropriately, and in reducing the HIV epidemic. [5]</w:t>
      </w:r>
    </w:p>
    <w:p>
      <w:pPr>
        <w:ind w:left="-5" w:right="0"/>
        <w:rPr>
          <w:lang w:val="en-US"/>
        </w:rPr>
      </w:pPr>
    </w:p>
    <w:p>
      <w:pPr>
        <w:spacing w:after="321" w:line="259" w:lineRule="auto"/>
        <w:ind w:left="0" w:right="0" w:firstLine="0"/>
        <w:jc w:val="left"/>
        <w:rPr>
          <w:lang w:val="en-US"/>
        </w:rPr>
      </w:pPr>
    </w:p>
    <w:p>
      <w:pPr>
        <w:spacing w:after="321" w:line="259" w:lineRule="auto"/>
        <w:ind w:left="0" w:right="0" w:firstLine="0"/>
        <w:jc w:val="left"/>
        <w:rPr>
          <w:lang w:val="en-US"/>
        </w:rPr>
      </w:pPr>
    </w:p>
    <w:p>
      <w:pPr>
        <w:pStyle w:val="Heading1"/>
        <w:spacing w:after="263"/>
        <w:ind w:left="174" w:hanging="189"/>
        <w:rPr>
          <w:lang w:val="en-US"/>
        </w:rPr>
      </w:pPr>
      <w:r>
        <w:rPr>
          <w:b/>
          <w:lang w:val="en-US"/>
        </w:rPr>
        <w:lastRenderedPageBreak/>
        <w:t xml:space="preserve">Objectives </w:t>
      </w:r>
      <w:r>
        <w:rPr>
          <w:sz w:val="21"/>
          <w:szCs w:val="21"/>
          <w:lang w:val="en-US"/>
        </w:rPr>
        <w:br/>
      </w:r>
      <w:r>
        <w:rPr>
          <w:b/>
          <w:lang w:val="en-US"/>
        </w:rPr>
        <w:t xml:space="preserve">    </w:t>
      </w:r>
      <w:r>
        <w:rPr>
          <w:sz w:val="21"/>
          <w:szCs w:val="21"/>
          <w:lang w:val="en-US"/>
        </w:rPr>
        <w:t>1.</w:t>
      </w:r>
      <w:r>
        <w:rPr>
          <w:b/>
          <w:lang w:val="en-US"/>
        </w:rPr>
        <w:t xml:space="preserve"> </w:t>
      </w:r>
      <w:r>
        <w:rPr>
          <w:sz w:val="21"/>
          <w:szCs w:val="21"/>
          <w:lang w:val="en-US"/>
        </w:rPr>
        <w:t xml:space="preserve">Design and implement a </w:t>
      </w:r>
      <w:r>
        <w:rPr>
          <w:rStyle w:val="Strong"/>
          <w:b w:val="0"/>
          <w:sz w:val="21"/>
          <w:szCs w:val="21"/>
          <w:lang w:val="en-US"/>
        </w:rPr>
        <w:t>scalable, automated, and privacy-preserving data pipeline</w:t>
      </w:r>
      <w:r>
        <w:rPr>
          <w:sz w:val="21"/>
          <w:szCs w:val="21"/>
          <w:lang w:val="en-US"/>
        </w:rPr>
        <w:t xml:space="preserve"> for </w:t>
      </w:r>
      <w:r>
        <w:rPr>
          <w:rStyle w:val="Strong"/>
          <w:b w:val="0"/>
          <w:sz w:val="21"/>
          <w:szCs w:val="21"/>
          <w:lang w:val="en-US"/>
        </w:rPr>
        <w:t>HIV-PrEP indicator reporting</w:t>
      </w:r>
      <w:r>
        <w:rPr>
          <w:sz w:val="21"/>
          <w:szCs w:val="21"/>
          <w:lang w:val="en-US"/>
        </w:rPr>
        <w:t xml:space="preserve"> using the </w:t>
      </w:r>
      <w:r>
        <w:rPr>
          <w:rStyle w:val="Strong"/>
          <w:b w:val="0"/>
          <w:sz w:val="21"/>
          <w:szCs w:val="21"/>
          <w:lang w:val="en-US"/>
        </w:rPr>
        <w:t>Health Data Lab (FDZ Gesundheit) framework</w:t>
      </w:r>
      <w:r>
        <w:rPr>
          <w:b/>
          <w:sz w:val="21"/>
          <w:szCs w:val="21"/>
          <w:lang w:val="en-US"/>
        </w:rPr>
        <w:t>.</w:t>
      </w:r>
      <w:r>
        <w:rPr>
          <w:b/>
          <w:sz w:val="21"/>
          <w:szCs w:val="21"/>
          <w:lang w:val="en-US"/>
        </w:rPr>
        <w:br/>
        <w:t xml:space="preserve">     </w:t>
      </w:r>
      <w:r>
        <w:rPr>
          <w:sz w:val="21"/>
          <w:szCs w:val="21"/>
          <w:lang w:val="en-US"/>
        </w:rPr>
        <w:t>2. Compare and evaluate different</w:t>
      </w:r>
      <w:r>
        <w:rPr>
          <w:b/>
          <w:sz w:val="21"/>
          <w:szCs w:val="21"/>
          <w:lang w:val="en-US"/>
        </w:rPr>
        <w:t xml:space="preserve"> </w:t>
      </w:r>
      <w:r>
        <w:rPr>
          <w:rStyle w:val="Strong"/>
          <w:b w:val="0"/>
          <w:sz w:val="21"/>
          <w:szCs w:val="21"/>
          <w:lang w:val="en-US"/>
        </w:rPr>
        <w:t>Synthetic Data Generation (SDG) techniques</w:t>
      </w:r>
      <w:r>
        <w:rPr>
          <w:b/>
          <w:sz w:val="21"/>
          <w:szCs w:val="21"/>
          <w:lang w:val="en-US"/>
        </w:rPr>
        <w:t xml:space="preserve"> </w:t>
      </w:r>
      <w:r>
        <w:rPr>
          <w:sz w:val="21"/>
          <w:szCs w:val="21"/>
          <w:lang w:val="en-US"/>
        </w:rPr>
        <w:t>across</w:t>
      </w:r>
      <w:r>
        <w:rPr>
          <w:b/>
          <w:sz w:val="21"/>
          <w:szCs w:val="21"/>
          <w:lang w:val="en-US"/>
        </w:rPr>
        <w:t xml:space="preserve"> </w:t>
      </w:r>
      <w:r>
        <w:rPr>
          <w:rStyle w:val="Strong"/>
          <w:b w:val="0"/>
          <w:sz w:val="21"/>
          <w:szCs w:val="21"/>
          <w:lang w:val="en-US"/>
        </w:rPr>
        <w:t>three classes</w:t>
      </w:r>
      <w:r>
        <w:rPr>
          <w:sz w:val="21"/>
          <w:szCs w:val="21"/>
          <w:lang w:val="en-US"/>
        </w:rPr>
        <w:br/>
        <w:t xml:space="preserve">                - </w:t>
      </w:r>
      <w:r>
        <w:rPr>
          <w:rStyle w:val="Strong"/>
          <w:sz w:val="21"/>
          <w:szCs w:val="21"/>
          <w:lang w:val="en-US"/>
        </w:rPr>
        <w:t>Class 1:</w:t>
      </w:r>
      <w:r>
        <w:rPr>
          <w:sz w:val="21"/>
          <w:szCs w:val="21"/>
          <w:lang w:val="en-US"/>
        </w:rPr>
        <w:t xml:space="preserve"> Fundamental/Basic Anonymization (FDZ standard techniques).</w:t>
      </w:r>
      <w:r>
        <w:rPr>
          <w:sz w:val="21"/>
          <w:szCs w:val="21"/>
          <w:lang w:val="en-US"/>
        </w:rPr>
        <w:br/>
        <w:t xml:space="preserve">                - </w:t>
      </w:r>
      <w:r>
        <w:rPr>
          <w:rStyle w:val="Strong"/>
          <w:sz w:val="21"/>
          <w:szCs w:val="21"/>
          <w:lang w:val="en-US"/>
        </w:rPr>
        <w:t>Class 2:</w:t>
      </w:r>
      <w:r>
        <w:rPr>
          <w:sz w:val="21"/>
          <w:szCs w:val="21"/>
          <w:lang w:val="en-US"/>
        </w:rPr>
        <w:t xml:space="preserve"> Statistical and Perturbation-Based Techniques.</w:t>
      </w:r>
      <w:r>
        <w:rPr>
          <w:sz w:val="21"/>
          <w:szCs w:val="21"/>
          <w:lang w:val="en-US"/>
        </w:rPr>
        <w:br/>
        <w:t xml:space="preserve">                - </w:t>
      </w:r>
      <w:r>
        <w:rPr>
          <w:rStyle w:val="Strong"/>
          <w:sz w:val="21"/>
          <w:szCs w:val="21"/>
          <w:lang w:val="en-US"/>
        </w:rPr>
        <w:t>Class 3:</w:t>
      </w:r>
      <w:r>
        <w:rPr>
          <w:sz w:val="21"/>
          <w:szCs w:val="21"/>
          <w:lang w:val="en-US"/>
        </w:rPr>
        <w:t xml:space="preserve"> Privacy-Preserving Computational-Based Techniques.</w:t>
      </w:r>
      <w:r>
        <w:rPr>
          <w:sz w:val="21"/>
          <w:szCs w:val="21"/>
          <w:lang w:val="en-US"/>
        </w:rPr>
        <w:br/>
        <w:t xml:space="preserve">     3. Validate the </w:t>
      </w:r>
      <w:r>
        <w:rPr>
          <w:rStyle w:val="Strong"/>
          <w:b w:val="0"/>
          <w:sz w:val="21"/>
          <w:szCs w:val="21"/>
          <w:lang w:val="en-US"/>
        </w:rPr>
        <w:t>accuracy, reliability, and effectiveness</w:t>
      </w:r>
      <w:r>
        <w:rPr>
          <w:sz w:val="21"/>
          <w:szCs w:val="21"/>
          <w:lang w:val="en-US"/>
        </w:rPr>
        <w:t xml:space="preserve"> of </w:t>
      </w:r>
      <w:r>
        <w:rPr>
          <w:rStyle w:val="Strong"/>
          <w:b w:val="0"/>
          <w:sz w:val="21"/>
          <w:szCs w:val="21"/>
          <w:lang w:val="en-US"/>
        </w:rPr>
        <w:t>PrEP indicators</w:t>
      </w:r>
      <w:r>
        <w:rPr>
          <w:sz w:val="21"/>
          <w:szCs w:val="21"/>
          <w:lang w:val="en-US"/>
        </w:rPr>
        <w:t xml:space="preserve"> (e.g., PrEP coverage, adherence, retention rates, and PrEP-to-Need Ratio) derived from the </w:t>
      </w:r>
      <w:r>
        <w:rPr>
          <w:rStyle w:val="Strong"/>
          <w:b w:val="0"/>
          <w:sz w:val="21"/>
          <w:szCs w:val="21"/>
          <w:lang w:val="en-US"/>
        </w:rPr>
        <w:t xml:space="preserve">synthetic datasets. </w:t>
      </w:r>
      <w:r>
        <w:rPr>
          <w:b/>
          <w:lang w:val="en-US"/>
        </w:rPr>
        <w:t xml:space="preserve">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Data Collection using Synthetic Data Generation: Public Use Files (PUF)</w:t>
      </w:r>
    </w:p>
    <w:p>
      <w:pPr>
        <w:ind w:left="-5" w:right="0"/>
        <w:rPr>
          <w:lang w:val="en-US"/>
        </w:rPr>
      </w:pPr>
    </w:p>
    <w:p>
      <w:pPr>
        <w:pStyle w:val="Heading2"/>
        <w:numPr>
          <w:ilvl w:val="0"/>
          <w:numId w:val="0"/>
        </w:numPr>
        <w:ind w:left="10"/>
        <w:jc w:val="both"/>
        <w:rPr>
          <w:lang w:val="en-US"/>
        </w:rPr>
      </w:pPr>
      <w:r>
        <w:rPr>
          <w:lang w:val="en-US"/>
        </w:rPr>
        <w:t>The master thesis project utilizes synthetically generated datasets to simulate real-world data while preserving privacy and confidentiality requirements. The synthetic data is created using the framework provided by the Health Data Lab (FDZ Gesundheit) [12].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this generalized SDG techniques (combination of K-anonymization, Pseudonymization, Random Shuffling, Data shuffling, Generalization, Suppression, Secondary Pseudonym pools, Column Segmentation) given by FDZ (</w:t>
      </w:r>
      <w:proofErr w:type="spellStart"/>
      <w:r>
        <w:rPr>
          <w:lang w:val="en-US"/>
        </w:rPr>
        <w:t>Forschungsdatenzentrum</w:t>
      </w:r>
      <w:proofErr w:type="spellEnd"/>
      <w:r>
        <w:rPr>
          <w:lang w:val="en-US"/>
        </w:rPr>
        <w:t>) ignores individual differences and may lead to information loss if not optimized for narrow utility goal of HIV PrEP-CORE.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[13].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[13].</w:t>
      </w:r>
    </w:p>
    <w:p>
      <w:pPr>
        <w:rPr>
          <w:lang w:val="en-US"/>
        </w:rPr>
      </w:pPr>
    </w:p>
    <w:p>
      <w:pPr>
        <w:rPr>
          <w:lang w:val="en-US"/>
        </w:rPr>
      </w:pPr>
    </w:p>
    <w:p>
      <w:pPr>
        <w:rPr>
          <w:lang w:val="en-US"/>
        </w:rPr>
      </w:pPr>
    </w:p>
    <w:p>
      <w:pPr>
        <w:rPr>
          <w:lang w:val="en-US"/>
        </w:rPr>
      </w:pPr>
    </w:p>
    <w:p>
      <w:pPr>
        <w:pStyle w:val="Heading2"/>
        <w:numPr>
          <w:ilvl w:val="0"/>
          <w:numId w:val="0"/>
        </w:numPr>
        <w:ind w:left="10"/>
        <w:jc w:val="both"/>
        <w:rPr>
          <w:lang w:val="en-US"/>
        </w:rPr>
      </w:pPr>
      <w:r>
        <w:rPr>
          <w:lang w:val="en-US"/>
        </w:rPr>
        <w:lastRenderedPageBreak/>
        <w:br/>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t xml:space="preserve"> </w:t>
      </w:r>
      <w:r>
        <w:rPr>
          <w:lang w:val="en-US"/>
        </w:rPr>
        <w:tab/>
      </w:r>
      <w:r>
        <w:rPr>
          <w:i/>
          <w:lang w:val="en-US"/>
        </w:rPr>
        <w:t xml:space="preserve">Pipeline Architecture: HIV PrEP-CORE (HIV PrEP- Data Analysis and Reporting Tool) </w:t>
      </w:r>
    </w:p>
    <w:p>
      <w:pPr>
        <w:rPr>
          <w:lang w:val="en-US"/>
        </w:rPr>
      </w:pPr>
    </w:p>
    <w:p>
      <w:pPr>
        <w:ind w:left="-5" w:right="0"/>
        <w:rPr>
          <w:lang w:val="en-US"/>
        </w:rPr>
      </w:pPr>
      <w:r>
        <w:rPr>
          <w:lang w:val="en-US"/>
        </w:rPr>
        <w:t xml:space="preserve">The HIV-PrEP CORE architecture involves multiple stages, each designed to ensure the pipeline is scalable, efficient, and compliant with privacy standards.  The pipeline begins with dataset model provided by the Health Data Lab (FDZ Gesundheit), which serves as the foundation for the PUF generated data. Further, the project will assess its impact through key metrics aligned with indicators and overall the PUF structure maintains the same structure as the </w:t>
      </w:r>
      <w:proofErr w:type="spellStart"/>
      <w:r>
        <w:rPr>
          <w:lang w:val="en-US"/>
        </w:rPr>
        <w:t>DaTrav</w:t>
      </w:r>
      <w:proofErr w:type="spellEnd"/>
      <w:r>
        <w:rPr>
          <w:lang w:val="en-US"/>
        </w:rPr>
        <w:t xml:space="preserve"> structure with core components of Entity-Relationship (ER) models, tables and variables, Data models and structural components such as Primary Keys (PK), relationships, Hierarchical Variables, Anonymized data and standardization.  The pipeline outputs tabular 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illustrates how the HIV-PrEP CORE pipeline processes PUF datasets, maps them to standardized PrEP indicators, and converts anonymized data into meaningful insights for further evaluation and reporting. </w:t>
      </w:r>
      <w:r>
        <w:rPr>
          <w:noProof/>
        </w:rPr>
        <w:br/>
      </w:r>
      <w:r>
        <w:rPr>
          <w:noProof/>
        </w:rPr>
        <w:drawing>
          <wp:inline distT="0" distB="0" distL="0" distR="0">
            <wp:extent cx="5760720" cy="3242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r>
        <w:rPr>
          <w:lang w:val="en-US"/>
        </w:rPr>
        <w:br/>
      </w:r>
      <w:r>
        <w:rPr>
          <w:lang w:val="en-US"/>
        </w:rPr>
        <w:br/>
        <w:t>Figure 1: HIV-PrEP CORE Anonymization Framework: Classification of Anonymization Techniques</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pPr>
        <w:spacing w:after="14" w:line="259" w:lineRule="auto"/>
        <w:ind w:left="0" w:right="0" w:firstLine="0"/>
        <w:jc w:val="left"/>
        <w:rPr>
          <w:lang w:val="en-US"/>
        </w:rPr>
      </w:pPr>
    </w:p>
    <w:p>
      <w:pPr>
        <w:pStyle w:val="Heading2"/>
        <w:numPr>
          <w:ilvl w:val="0"/>
          <w:numId w:val="0"/>
        </w:numPr>
        <w:spacing w:after="247"/>
        <w:ind w:left="10" w:hanging="10"/>
        <w:rPr>
          <w:i/>
          <w:lang w:val="en-US"/>
        </w:rPr>
      </w:pPr>
      <w:r>
        <w:rPr>
          <w:i/>
          <w:lang w:val="en-US"/>
        </w:rPr>
        <w:lastRenderedPageBreak/>
        <w:t xml:space="preserve">     </w:t>
      </w:r>
    </w:p>
    <w:p>
      <w:pPr>
        <w:pStyle w:val="Heading2"/>
        <w:spacing w:after="247"/>
        <w:ind w:left="307" w:hanging="322"/>
        <w:rPr>
          <w:i/>
          <w:lang w:val="en-US"/>
        </w:rPr>
      </w:pPr>
      <w:r>
        <w:rPr>
          <w:i/>
          <w:lang w:val="en-US"/>
        </w:rPr>
        <w:t xml:space="preserve">     Data Analysis: Data Processing, Integration, and Analytical Framework for HIV-PrEP Indicator Evaluation</w:t>
      </w:r>
    </w:p>
    <w:p>
      <w:pPr>
        <w:ind w:left="-5" w:right="0"/>
        <w:rPr>
          <w:lang w:val="en-US"/>
        </w:rPr>
      </w:pPr>
      <w:r>
        <w:rPr>
          <w:lang w:val="en-US"/>
        </w:rPr>
        <w:t xml:space="preserve">The </w:t>
      </w:r>
      <w:r>
        <w:rPr>
          <w:rStyle w:val="Strong"/>
          <w:b w:val="0"/>
          <w:lang w:val="en-US"/>
        </w:rPr>
        <w:t>data pre-processing</w:t>
      </w:r>
      <w:r>
        <w:rPr>
          <w:lang w:val="en-US"/>
        </w:rPr>
        <w:t xml:space="preserve"> steps include</w:t>
      </w:r>
      <w:r>
        <w:rPr>
          <w:b/>
          <w:lang w:val="en-US"/>
        </w:rPr>
        <w:t xml:space="preserve"> </w:t>
      </w:r>
      <w:r>
        <w:rPr>
          <w:rStyle w:val="Strong"/>
          <w:b w:val="0"/>
          <w:lang w:val="en-US"/>
        </w:rPr>
        <w:t>handling missing or inconsistent values, standardizing formats</w:t>
      </w:r>
      <w:r>
        <w:rPr>
          <w:lang w:val="en-US"/>
        </w:rPr>
        <w:t xml:space="preserve"> across datasets (e.g., date formats, variable names), and </w:t>
      </w:r>
      <w:r>
        <w:rPr>
          <w:rStyle w:val="Strong"/>
          <w:b w:val="0"/>
          <w:lang w:val="en-US"/>
        </w:rPr>
        <w:t>removing duplicates or irrelevant records</w:t>
      </w:r>
      <w:r>
        <w:rPr>
          <w:lang w:val="en-US"/>
        </w:rPr>
        <w:t xml:space="preserve"> to ensure data quality. These computations will be performed for </w:t>
      </w:r>
      <w:r>
        <w:rPr>
          <w:rStyle w:val="Strong"/>
          <w:b w:val="0"/>
          <w:lang w:val="en-US"/>
        </w:rPr>
        <w:t>specific timeframes</w:t>
      </w:r>
      <w:r>
        <w:rPr>
          <w:lang w:val="en-US"/>
        </w:rPr>
        <w:t xml:space="preserve"> (e.g., </w:t>
      </w:r>
      <w:r>
        <w:rPr>
          <w:rStyle w:val="Strong"/>
          <w:b w:val="0"/>
          <w:lang w:val="en-US"/>
        </w:rPr>
        <w:t>annually and quarterly</w:t>
      </w:r>
      <w:r>
        <w:rPr>
          <w:lang w:val="en-US"/>
        </w:rPr>
        <w:t xml:space="preserve">) to facilitate trend monitoring. The </w:t>
      </w:r>
      <w:r>
        <w:rPr>
          <w:rStyle w:val="Strong"/>
          <w:b w:val="0"/>
          <w:lang w:val="en-US"/>
        </w:rPr>
        <w:t>data analysis framework</w:t>
      </w:r>
      <w:r>
        <w:rPr>
          <w:lang w:val="en-US"/>
        </w:rPr>
        <w:t xml:space="preserve"> will include:</w:t>
      </w:r>
    </w:p>
    <w:p>
      <w:pPr>
        <w:ind w:left="-5" w:right="0"/>
        <w:rPr>
          <w:lang w:val="en-US"/>
        </w:rPr>
      </w:pPr>
      <w:r>
        <w:rPr>
          <w:lang w:val="en-US"/>
        </w:rPr>
        <w:t xml:space="preserve">(1) Descriptive Analysis, to provide an overview of the dataset and key metrics. </w:t>
      </w:r>
    </w:p>
    <w:p>
      <w:pPr>
        <w:ind w:left="-5" w:right="0"/>
        <w:rPr>
          <w:lang w:val="en-US"/>
        </w:rPr>
      </w:pPr>
      <w:r>
        <w:rPr>
          <w:lang w:val="en-US"/>
        </w:rPr>
        <w:t xml:space="preserve">(2) PrEP-Trend analysis, to monitor changes in PrEP indicators over time. </w:t>
      </w:r>
    </w:p>
    <w:p>
      <w:pPr>
        <w:ind w:left="-5" w:right="0"/>
        <w:rPr>
          <w:lang w:val="en-US"/>
        </w:rPr>
      </w:pPr>
      <w:r>
        <w:rPr>
          <w:lang w:val="en-US"/>
        </w:rPr>
        <w:t xml:space="preserve">(3) Comparative Analysis, to identify disparities in prEP adoption across demographics or regions using group-wise comparisons (e.g., by age, gender, geography). </w:t>
      </w:r>
    </w:p>
    <w:p>
      <w:pPr>
        <w:ind w:left="-5" w:right="0"/>
        <w:rPr>
          <w:lang w:val="en-US"/>
        </w:rPr>
      </w:pPr>
      <w:r>
        <w:rPr>
          <w:lang w:val="en-US"/>
        </w:rPr>
        <w:t xml:space="preserve">(4) Predictive Insights, to forecast future trends in prEP adoption and its impact on historical data. </w:t>
      </w:r>
    </w:p>
    <w:p>
      <w:pPr>
        <w:ind w:left="-5" w:right="0"/>
        <w:rPr>
          <w:lang w:val="en-US"/>
        </w:rPr>
      </w:pPr>
      <w:r>
        <w:rPr>
          <w:lang w:val="en-US"/>
        </w:rPr>
        <w:t>(5) Indicator-Specific Insights – Identifies service gaps in PrEP coverage, assesses program effectiveness in reducing new infections (PnR), and evaluates adherence and retention trends among PrEP users</w:t>
      </w:r>
    </w:p>
    <w:p>
      <w:pPr>
        <w:ind w:left="-5" w:right="0"/>
        <w:rPr>
          <w:lang w:val="en-US"/>
        </w:rPr>
      </w:pPr>
      <w:r>
        <w:rPr>
          <w:lang w:val="en-US"/>
        </w:rPr>
        <w:t xml:space="preserve">The resulting insights empower beneficiaries to make data-driven decisions, optimize resource allocation, and enhance the overall impact of HIV prevention programs. </w:t>
      </w:r>
    </w:p>
    <w:p>
      <w:pPr>
        <w:ind w:left="-5" w:right="0"/>
        <w:rPr>
          <w:lang w:val="en-US"/>
        </w:rPr>
      </w:pPr>
    </w:p>
    <w:p>
      <w:pPr>
        <w:pStyle w:val="Heading2"/>
        <w:numPr>
          <w:ilvl w:val="0"/>
          <w:numId w:val="0"/>
        </w:numPr>
        <w:ind w:left="10"/>
        <w:jc w:val="both"/>
        <w:rPr>
          <w:lang w:val="en-US"/>
        </w:rPr>
      </w:pPr>
      <w:r>
        <w:rPr>
          <w:lang w:val="en-US"/>
        </w:rPr>
        <w:t>6.4</w:t>
      </w:r>
      <w:r>
        <w:rPr>
          <w:lang w:val="en-US"/>
        </w:rPr>
        <w:tab/>
      </w:r>
      <w:r>
        <w:rPr>
          <w:i/>
          <w:lang w:val="en-US"/>
        </w:rPr>
        <w:t>Classification of Synthetic Data Generation (SDG) Techniques for Privacy-Preserving Health Data Processing</w:t>
      </w:r>
    </w:p>
    <w:p>
      <w:pPr>
        <w:ind w:left="-15" w:right="0" w:firstLine="0"/>
        <w:rPr>
          <w:lang w:val="en-US"/>
        </w:rPr>
      </w:pPr>
      <w:r>
        <w:rPr>
          <w:lang w:val="en-US"/>
        </w:rPr>
        <w:br/>
        <w:t xml:space="preserve">This study classifies Synthetic Data Generation (SDG) techniques into three categories to systematically evaluate their impact on pipeline results; Class 1: Fundamental/Basic Anonymization (given by FDZ): These include </w:t>
      </w:r>
      <w:r>
        <w:rPr>
          <w:rStyle w:val="Strong"/>
          <w:b w:val="0"/>
          <w:lang w:val="en-US"/>
        </w:rPr>
        <w:t>k-anonymization, pseudonymization, random shuffling, generalization, suppression, secondary pseudonym pools, and column segmentation</w:t>
      </w:r>
      <w:r>
        <w:rPr>
          <w:lang w:val="en-US"/>
        </w:rPr>
        <w:t xml:space="preserve">, forming the baseline anonymization methods used in FDZ’s synthetic data framework. Class 2: </w:t>
      </w:r>
      <w:r>
        <w:rPr>
          <w:rStyle w:val="Strong"/>
          <w:b w:val="0"/>
          <w:lang w:val="en-US"/>
        </w:rPr>
        <w:t xml:space="preserve">Statistical and Perturbation-Based Techniques: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xml:space="preserve">. These techniques introduce statistical variations to balance privacy and data utility, making them suitable for structured health data transformation. These methods are particularly effective in scenarios where data needs to be shared for research or analysis without exposing individual identities. However, they require careful calibration to ensure that the introduced modifications do not significantly distort the data's utility [14]. Class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 Implementing such methods ensures that data can be utilized for valuable insights without compromising individual privacy. [15]</w:t>
      </w:r>
    </w:p>
    <w:p>
      <w:pPr>
        <w:ind w:left="-5" w:right="0"/>
        <w:rPr>
          <w:lang w:val="en-US"/>
        </w:rPr>
      </w:pPr>
    </w:p>
    <w:p>
      <w:pPr>
        <w:ind w:left="-5" w:right="0"/>
        <w:rPr>
          <w:lang w:val="en-US"/>
        </w:rPr>
      </w:pPr>
      <w:r>
        <w:rPr>
          <w:noProof/>
        </w:rPr>
        <w:lastRenderedPageBreak/>
        <w:drawing>
          <wp:inline distT="0" distB="0" distL="0" distR="0">
            <wp:extent cx="5887720" cy="2722880"/>
            <wp:effectExtent l="0" t="0" r="0" b="1270"/>
            <wp:docPr id="9" name="Picture 8">
              <a:extLst xmlns:a="http://schemas.openxmlformats.org/drawingml/2006/main">
                <a:ext uri="{FF2B5EF4-FFF2-40B4-BE49-F238E27FC236}">
                  <a16:creationId xmlns:a16="http://schemas.microsoft.com/office/drawing/2014/main" id="{7CF2A065-2F9E-4C13-BA29-A505573CB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F2A065-2F9E-4C13-BA29-A505573CB9B2}"/>
                        </a:ext>
                      </a:extLst>
                    </pic:cNvPr>
                    <pic:cNvPicPr>
                      <a:picLocks noChangeAspect="1"/>
                    </pic:cNvPicPr>
                  </pic:nvPicPr>
                  <pic:blipFill>
                    <a:blip r:embed="rId7"/>
                    <a:stretch>
                      <a:fillRect/>
                    </a:stretch>
                  </pic:blipFill>
                  <pic:spPr>
                    <a:xfrm>
                      <a:off x="0" y="0"/>
                      <a:ext cx="5887720" cy="2722880"/>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1: HIV-PrEP CORE Anonymization Framework: Classification of Anonymization Techniques</w:t>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anonymization evaluation for each class after the synthetic data generation step</w:t>
      </w:r>
      <w:r>
        <w:rPr>
          <w:lang w:val="en-US"/>
        </w:rPr>
        <w:t xml:space="preserve"> serves as a structured framework to assess the effectiveness of synthetic data generation techniques and to ensuring privacy while maintaining analytical utility. Evaluation is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xml:space="preserve">, including differential privacy[16,17] and homomorphic encryption, which emphasize </w:t>
      </w:r>
      <w:r>
        <w:rPr>
          <w:rStyle w:val="Strong"/>
          <w:b w:val="0"/>
          <w:lang w:val="en-US"/>
        </w:rPr>
        <w:t>computational security, privacy guarantees, and data fidelity</w:t>
      </w:r>
      <w:r>
        <w:rPr>
          <w:lang w:val="en-US"/>
        </w:rPr>
        <w:t>. However, a common security bias—</w:t>
      </w:r>
      <w:r>
        <w:rPr>
          <w:rStyle w:val="Strong"/>
          <w:b w:val="0"/>
          <w:lang w:val="en-US"/>
        </w:rPr>
        <w:t>the representativeness heuristic</w:t>
      </w:r>
      <w:r>
        <w:rPr>
          <w:lang w:val="en-US"/>
        </w:rPr>
        <w:t xml:space="preserve">—leads to the mistaken assumption that synthetic data is inherently private simply because it differs from real data. This misconception can result in overlooked privacy vulnerabilities. By systematically applying this evaluation, the generated synthetic datasets undergo rigorous validation to ensure that privacy protection mechanisms do not excessively distort data utility, making them optimized for </w:t>
      </w:r>
      <w:r>
        <w:rPr>
          <w:rStyle w:val="Strong"/>
          <w:b w:val="0"/>
          <w:lang w:val="en-US"/>
        </w:rPr>
        <w:t>HIV-PrEP CORE indicator analysis</w:t>
      </w:r>
      <w:r>
        <w:rPr>
          <w:lang w:val="en-US"/>
        </w:rPr>
        <w:t xml:space="preserve">. </w:t>
      </w:r>
    </w:p>
    <w:p>
      <w:pPr>
        <w:ind w:left="-5" w:right="0"/>
        <w:rPr>
          <w:lang w:val="en-US"/>
        </w:rPr>
      </w:pPr>
    </w:p>
    <w:p>
      <w:pPr>
        <w:ind w:left="-5" w:right="0"/>
        <w:rPr>
          <w:lang w:val="en-US"/>
        </w:rPr>
      </w:pPr>
    </w:p>
    <w:p>
      <w:pPr>
        <w:pStyle w:val="Heading1"/>
        <w:ind w:left="174" w:hanging="189"/>
      </w:pPr>
      <w:r>
        <w:t xml:space="preserve">Timeline </w:t>
      </w:r>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3496"/>
        <w:gridCol w:w="1068"/>
        <w:gridCol w:w="4030"/>
      </w:tblGrid>
      <w:tr>
        <w:trPr>
          <w:trHeight w:val="70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Duration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Literature</w:t>
            </w:r>
            <w:proofErr w:type="spellEnd"/>
            <w:r>
              <w:t xml:space="preserve"> Review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lastRenderedPageBreak/>
              <w:t xml:space="preserve">          </w:t>
            </w:r>
            <w:r>
              <w:t xml:space="preserve">Indicator Mapping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9"/>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4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proofErr w:type="spellStart"/>
            <w:r>
              <w:t>continuous</w:t>
            </w:r>
            <w:proofErr w:type="spellEnd"/>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rPr>
          <w:i/>
        </w:rPr>
      </w:pPr>
      <w:r>
        <w:rPr>
          <w:i/>
          <w:lang w:val="en-US"/>
        </w:rPr>
        <w:t xml:space="preserve">European Centre for Disease Prevention and Control. (n.d.). Monitoring HIV pre-exposure prophylaxis </w:t>
      </w:r>
      <w:proofErr w:type="spellStart"/>
      <w:r>
        <w:rPr>
          <w:i/>
          <w:lang w:val="en-US"/>
        </w:rPr>
        <w:t>programmes</w:t>
      </w:r>
      <w:proofErr w:type="spellEnd"/>
      <w:r>
        <w:rPr>
          <w:i/>
          <w:lang w:val="en-US"/>
        </w:rPr>
        <w:t xml:space="preserve"> in the EU/EEA: HIV-PrEP indicators. </w:t>
      </w:r>
      <w:proofErr w:type="spellStart"/>
      <w:r>
        <w:rPr>
          <w:i/>
        </w:rPr>
        <w:t>Retrieved</w:t>
      </w:r>
      <w:proofErr w:type="spellEnd"/>
      <w:r>
        <w:rPr>
          <w:i/>
        </w:rPr>
        <w:t xml:space="preserve"> </w:t>
      </w:r>
      <w:proofErr w:type="spellStart"/>
      <w:r>
        <w:rPr>
          <w:i/>
        </w:rPr>
        <w:t>January</w:t>
      </w:r>
      <w:proofErr w:type="spellEnd"/>
      <w:r>
        <w:rPr>
          <w:i/>
        </w:rPr>
        <w:t xml:space="preserve"> 6, 2025, </w:t>
      </w:r>
      <w:proofErr w:type="spellStart"/>
      <w:r>
        <w:rPr>
          <w:i/>
        </w:rPr>
        <w:t>from</w:t>
      </w:r>
      <w:proofErr w:type="spellEnd"/>
      <w:r>
        <w:rPr>
          <w:i/>
        </w:rPr>
        <w:t xml:space="preserve"> </w:t>
      </w:r>
    </w:p>
    <w:p>
      <w:pPr>
        <w:spacing w:after="17" w:line="265" w:lineRule="auto"/>
        <w:ind w:left="526" w:right="0" w:firstLine="0"/>
        <w:jc w:val="left"/>
        <w:rPr>
          <w:i/>
        </w:rPr>
      </w:pPr>
      <w:r>
        <w:rPr>
          <w:i/>
          <w:color w:val="0000FF"/>
          <w:u w:val="single" w:color="0000FF"/>
        </w:rPr>
        <w:t>https://www.ecdc.europa.eu/assets/hiv-monitoring-preexposure/prep-indicators.html</w:t>
      </w:r>
      <w:r>
        <w:rPr>
          <w:i/>
        </w:rPr>
        <w:t xml:space="preserve"> </w:t>
      </w:r>
    </w:p>
    <w:p>
      <w:pPr>
        <w:numPr>
          <w:ilvl w:val="0"/>
          <w:numId w:val="3"/>
        </w:numPr>
        <w:spacing w:after="17" w:line="265" w:lineRule="auto"/>
        <w:ind w:left="520" w:right="0" w:hanging="360"/>
        <w:rPr>
          <w:i/>
          <w:lang w:val="en-US"/>
        </w:rPr>
      </w:pPr>
      <w:r>
        <w:rPr>
          <w:i/>
        </w:rPr>
        <w:t>Forschungsdatenzentrum Gesundheit. (</w:t>
      </w:r>
      <w:proofErr w:type="spellStart"/>
      <w:r>
        <w:rPr>
          <w:i/>
        </w:rPr>
        <w:t>n.d</w:t>
      </w:r>
      <w:proofErr w:type="spellEnd"/>
      <w:r>
        <w:rPr>
          <w:i/>
        </w:rPr>
        <w:t xml:space="preserve">.). Gesundheitsdaten am FDZ Gesundheit. </w:t>
      </w:r>
      <w:r>
        <w:rPr>
          <w:i/>
          <w:lang w:val="en-US"/>
        </w:rPr>
        <w:t xml:space="preserve">Retrieved January 6, 2025, from </w:t>
      </w:r>
      <w:r>
        <w:rPr>
          <w:i/>
          <w:color w:val="0000FF"/>
          <w:u w:val="single" w:color="0000FF"/>
          <w:lang w:val="en-US"/>
        </w:rPr>
        <w:t>https://www.forschungsdatenzentrum-gesundheit.de/gesundheitsdaten-amfdz-gesundheit</w:t>
      </w:r>
      <w:r>
        <w:rPr>
          <w:i/>
          <w:lang w:val="en-US"/>
        </w:rPr>
        <w:t xml:space="preserve"> </w:t>
      </w:r>
    </w:p>
    <w:p>
      <w:pPr>
        <w:numPr>
          <w:ilvl w:val="0"/>
          <w:numId w:val="3"/>
        </w:numPr>
        <w:ind w:left="520" w:right="0" w:hanging="360"/>
        <w:rPr>
          <w:i/>
          <w:lang w:val="en-US"/>
        </w:rPr>
      </w:pPr>
      <w:proofErr w:type="spellStart"/>
      <w:r>
        <w:rPr>
          <w:i/>
          <w:lang w:val="en-US"/>
        </w:rPr>
        <w:t>Yasnoff</w:t>
      </w:r>
      <w:proofErr w:type="spellEnd"/>
      <w:r>
        <w:rPr>
          <w:i/>
          <w:lang w:val="en-US"/>
        </w:rPr>
        <w:t xml:space="preserve">, W. A., </w:t>
      </w:r>
      <w:proofErr w:type="spellStart"/>
      <w:r>
        <w:rPr>
          <w:i/>
          <w:lang w:val="en-US"/>
        </w:rPr>
        <w:t>Overhage</w:t>
      </w:r>
      <w:proofErr w:type="spellEnd"/>
      <w:r>
        <w:rPr>
          <w:i/>
          <w:lang w:val="en-US"/>
        </w:rPr>
        <w:t xml:space="preserve">, J. M., Humphreys, B. L., </w:t>
      </w:r>
      <w:proofErr w:type="spellStart"/>
      <w:r>
        <w:rPr>
          <w:i/>
          <w:lang w:val="en-US"/>
        </w:rPr>
        <w:t>LaVenture</w:t>
      </w:r>
      <w:proofErr w:type="spellEnd"/>
      <w:r>
        <w:rPr>
          <w:i/>
          <w:lang w:val="en-US"/>
        </w:rPr>
        <w:t xml:space="preserve">, M., Goodman, K. W., Gatewood, </w:t>
      </w:r>
    </w:p>
    <w:p>
      <w:pPr>
        <w:ind w:left="536" w:right="0"/>
        <w:rPr>
          <w:i/>
          <w:lang w:val="en-US"/>
        </w:rPr>
      </w:pPr>
      <w:r>
        <w:rPr>
          <w:i/>
          <w:lang w:val="en-US"/>
        </w:rPr>
        <w:t xml:space="preserve">L., Ross, D. A., Reid, J., Hammond, W. E., Dwyer, D., Huff, S. M., Gotham, I., </w:t>
      </w:r>
      <w:proofErr w:type="spellStart"/>
      <w:r>
        <w:rPr>
          <w:i/>
          <w:lang w:val="en-US"/>
        </w:rPr>
        <w:t>Kukafka</w:t>
      </w:r>
      <w:proofErr w:type="spellEnd"/>
      <w:r>
        <w:rPr>
          <w:i/>
          <w:lang w:val="en-US"/>
        </w:rPr>
        <w:t xml:space="preserve">, R., </w:t>
      </w:r>
      <w:proofErr w:type="spellStart"/>
      <w:r>
        <w:rPr>
          <w:i/>
          <w:lang w:val="en-US"/>
        </w:rPr>
        <w:t>Loonsk</w:t>
      </w:r>
      <w:proofErr w:type="spellEnd"/>
      <w:r>
        <w:rPr>
          <w:i/>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rPr>
          <w:i/>
        </w:rPr>
      </w:pPr>
      <w:r>
        <w:rPr>
          <w:i/>
        </w:rPr>
        <w:t>Gelbe Liste. (</w:t>
      </w:r>
      <w:proofErr w:type="spellStart"/>
      <w:r>
        <w:rPr>
          <w:i/>
        </w:rPr>
        <w:t>n.d</w:t>
      </w:r>
      <w:proofErr w:type="spellEnd"/>
      <w:r>
        <w:rPr>
          <w:i/>
        </w:rPr>
        <w:t xml:space="preserve">.). </w:t>
      </w:r>
      <w:proofErr w:type="spellStart"/>
      <w:r>
        <w:rPr>
          <w:i/>
        </w:rPr>
        <w:t>Tenofovirdisoproxil</w:t>
      </w:r>
      <w:proofErr w:type="spellEnd"/>
      <w:r>
        <w:rPr>
          <w:i/>
        </w:rPr>
        <w:t xml:space="preserve"> und </w:t>
      </w:r>
      <w:proofErr w:type="spellStart"/>
      <w:r>
        <w:rPr>
          <w:i/>
        </w:rPr>
        <w:t>Emtricitabin</w:t>
      </w:r>
      <w:proofErr w:type="spellEnd"/>
      <w:r>
        <w:rPr>
          <w:i/>
        </w:rPr>
        <w:t xml:space="preserve"> (ATC-Code: J05AR03). </w:t>
      </w:r>
      <w:proofErr w:type="spellStart"/>
      <w:r>
        <w:rPr>
          <w:i/>
        </w:rPr>
        <w:t>Retrieved</w:t>
      </w:r>
      <w:proofErr w:type="spellEnd"/>
      <w:r>
        <w:rPr>
          <w:i/>
        </w:rPr>
        <w:t xml:space="preserve"> </w:t>
      </w:r>
      <w:proofErr w:type="spellStart"/>
      <w:r>
        <w:rPr>
          <w:i/>
        </w:rPr>
        <w:t>January</w:t>
      </w:r>
      <w:proofErr w:type="spellEnd"/>
      <w:r>
        <w:rPr>
          <w:i/>
        </w:rPr>
        <w:t xml:space="preserve"> </w:t>
      </w:r>
    </w:p>
    <w:p>
      <w:pPr>
        <w:spacing w:after="17" w:line="259" w:lineRule="auto"/>
        <w:ind w:right="38"/>
        <w:jc w:val="center"/>
        <w:rPr>
          <w:i/>
          <w:lang w:val="en-US"/>
        </w:rPr>
      </w:pPr>
      <w:r>
        <w:rPr>
          <w:i/>
          <w:lang w:val="en-US"/>
        </w:rPr>
        <w:t xml:space="preserve">6, 2025, from https://www.gelbe-liste.de/atc/Tenofovirdisoproxil-und-Emtricitabin_J05AR03 </w:t>
      </w:r>
    </w:p>
    <w:p>
      <w:pPr>
        <w:numPr>
          <w:ilvl w:val="0"/>
          <w:numId w:val="3"/>
        </w:numPr>
        <w:spacing w:after="32" w:line="269" w:lineRule="auto"/>
        <w:ind w:left="520" w:right="0" w:hanging="360"/>
        <w:rPr>
          <w:i/>
          <w:lang w:val="en-US"/>
        </w:rPr>
      </w:pPr>
      <w:r>
        <w:rPr>
          <w:i/>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rPr>
          <w:i/>
        </w:rPr>
      </w:pPr>
      <w:r>
        <w:rPr>
          <w:i/>
          <w:lang w:val="en-US"/>
        </w:rPr>
        <w:t xml:space="preserve">HIV </w:t>
      </w:r>
      <w:r>
        <w:rPr>
          <w:i/>
          <w:lang w:val="en-US"/>
        </w:rPr>
        <w:tab/>
        <w:t xml:space="preserve">preexposure </w:t>
      </w:r>
      <w:r>
        <w:rPr>
          <w:i/>
          <w:lang w:val="en-US"/>
        </w:rPr>
        <w:tab/>
        <w:t xml:space="preserve">prophylaxis. </w:t>
      </w:r>
      <w:r>
        <w:rPr>
          <w:i/>
          <w:lang w:val="en-US"/>
        </w:rPr>
        <w:tab/>
        <w:t xml:space="preserve">AIDS </w:t>
      </w:r>
      <w:r>
        <w:rPr>
          <w:i/>
          <w:lang w:val="en-US"/>
        </w:rPr>
        <w:tab/>
        <w:t xml:space="preserve">37(1): </w:t>
      </w:r>
      <w:r>
        <w:rPr>
          <w:i/>
          <w:lang w:val="en-US"/>
        </w:rPr>
        <w:tab/>
        <w:t xml:space="preserve">p </w:t>
      </w:r>
      <w:r>
        <w:rPr>
          <w:i/>
          <w:lang w:val="en-US"/>
        </w:rPr>
        <w:tab/>
        <w:t xml:space="preserve">1-17, </w:t>
      </w:r>
      <w:r>
        <w:rPr>
          <w:i/>
          <w:lang w:val="en-US"/>
        </w:rPr>
        <w:tab/>
        <w:t xml:space="preserve">January </w:t>
      </w:r>
      <w:r>
        <w:rPr>
          <w:i/>
          <w:lang w:val="en-US"/>
        </w:rPr>
        <w:tab/>
        <w:t xml:space="preserve">1, </w:t>
      </w:r>
      <w:r>
        <w:rPr>
          <w:i/>
          <w:lang w:val="en-US"/>
        </w:rPr>
        <w:tab/>
        <w:t xml:space="preserve">2023. </w:t>
      </w:r>
      <w:r>
        <w:rPr>
          <w:i/>
          <w:lang w:val="en-US"/>
        </w:rPr>
        <w:tab/>
      </w:r>
      <w:r>
        <w:rPr>
          <w:i/>
        </w:rPr>
        <w:t xml:space="preserve">| DOI: 10.1097/QAD.0000000000003399 </w:t>
      </w:r>
    </w:p>
    <w:p>
      <w:pPr>
        <w:numPr>
          <w:ilvl w:val="0"/>
          <w:numId w:val="3"/>
        </w:numPr>
        <w:spacing w:after="8" w:line="269" w:lineRule="auto"/>
        <w:ind w:left="520" w:right="0" w:hanging="360"/>
        <w:rPr>
          <w:i/>
          <w:lang w:val="en-US"/>
        </w:rPr>
      </w:pPr>
      <w:r>
        <w:rPr>
          <w:i/>
          <w:lang w:val="en-US"/>
        </w:rPr>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i/>
          <w:lang w:val="en-US"/>
        </w:rPr>
      </w:pPr>
      <w:proofErr w:type="spellStart"/>
      <w:r>
        <w:rPr>
          <w:i/>
        </w:rPr>
        <w:t>Olatunji</w:t>
      </w:r>
      <w:proofErr w:type="spellEnd"/>
      <w:r>
        <w:rPr>
          <w:i/>
        </w:rPr>
        <w:t xml:space="preserve">, I. E., Rauch, J., </w:t>
      </w:r>
      <w:proofErr w:type="spellStart"/>
      <w:r>
        <w:rPr>
          <w:i/>
        </w:rPr>
        <w:t>Katzensteiner</w:t>
      </w:r>
      <w:proofErr w:type="spellEnd"/>
      <w:r>
        <w:rPr>
          <w:i/>
        </w:rPr>
        <w:t xml:space="preserve">, M., &amp; </w:t>
      </w:r>
      <w:proofErr w:type="spellStart"/>
      <w:r>
        <w:rPr>
          <w:i/>
        </w:rPr>
        <w:t>Khosla</w:t>
      </w:r>
      <w:proofErr w:type="spellEnd"/>
      <w:r>
        <w:rPr>
          <w:i/>
        </w:rPr>
        <w:t xml:space="preserve">, M. (2024). </w:t>
      </w:r>
      <w:r>
        <w:rPr>
          <w:i/>
          <w:lang w:val="en-US"/>
        </w:rPr>
        <w:t xml:space="preserve">A Review of Anonymization for Healthcare Data. Big data, 12(6), 538–555. https://doi.org/10.1089/big.2021.0169 </w:t>
      </w:r>
    </w:p>
    <w:p>
      <w:pPr>
        <w:numPr>
          <w:ilvl w:val="0"/>
          <w:numId w:val="3"/>
        </w:numPr>
        <w:spacing w:after="8" w:line="269" w:lineRule="auto"/>
        <w:ind w:left="520" w:right="0" w:hanging="360"/>
        <w:rPr>
          <w:i/>
        </w:rPr>
      </w:pPr>
      <w:proofErr w:type="spellStart"/>
      <w:r>
        <w:rPr>
          <w:i/>
          <w:lang w:val="en-US"/>
        </w:rPr>
        <w:t>Sepas</w:t>
      </w:r>
      <w:proofErr w:type="spellEnd"/>
      <w:r>
        <w:rPr>
          <w:i/>
          <w:lang w:val="en-US"/>
        </w:rPr>
        <w:t xml:space="preserve">, A., Bangash, A. H., </w:t>
      </w:r>
      <w:proofErr w:type="spellStart"/>
      <w:r>
        <w:rPr>
          <w:i/>
          <w:lang w:val="en-US"/>
        </w:rPr>
        <w:t>Alraoui</w:t>
      </w:r>
      <w:proofErr w:type="spellEnd"/>
      <w:r>
        <w:rPr>
          <w:i/>
          <w:lang w:val="en-US"/>
        </w:rPr>
        <w:t xml:space="preserve">, O., El </w:t>
      </w:r>
      <w:proofErr w:type="spellStart"/>
      <w:r>
        <w:rPr>
          <w:i/>
          <w:lang w:val="en-US"/>
        </w:rPr>
        <w:t>Emam</w:t>
      </w:r>
      <w:proofErr w:type="spellEnd"/>
      <w:r>
        <w:rPr>
          <w:i/>
          <w:lang w:val="en-US"/>
        </w:rPr>
        <w:t>, K., &amp; El-</w:t>
      </w:r>
      <w:proofErr w:type="spellStart"/>
      <w:r>
        <w:rPr>
          <w:i/>
          <w:lang w:val="en-US"/>
        </w:rPr>
        <w:t>Hussuna</w:t>
      </w:r>
      <w:proofErr w:type="spellEnd"/>
      <w:r>
        <w:rPr>
          <w:i/>
          <w:lang w:val="en-US"/>
        </w:rPr>
        <w:t xml:space="preserve">, A. (2022). Algorithms to anonymize structured medical and healthcare data: a systematic review. </w:t>
      </w:r>
      <w:r>
        <w:rPr>
          <w:i/>
        </w:rPr>
        <w:t xml:space="preserve">Frontiers in </w:t>
      </w:r>
      <w:proofErr w:type="spellStart"/>
      <w:r>
        <w:rPr>
          <w:i/>
        </w:rPr>
        <w:t>Bioinformatics</w:t>
      </w:r>
      <w:proofErr w:type="spellEnd"/>
      <w:r>
        <w:rPr>
          <w:i/>
        </w:rPr>
        <w:t xml:space="preserve">, 2, 984807. </w:t>
      </w:r>
    </w:p>
    <w:p>
      <w:pPr>
        <w:numPr>
          <w:ilvl w:val="0"/>
          <w:numId w:val="3"/>
        </w:numPr>
        <w:spacing w:after="8" w:line="269" w:lineRule="auto"/>
        <w:ind w:left="520" w:right="0" w:hanging="360"/>
        <w:rPr>
          <w:i/>
        </w:rPr>
      </w:pPr>
      <w:r>
        <w:rPr>
          <w:i/>
          <w:lang w:val="en-US"/>
        </w:rPr>
        <w:t xml:space="preserve">Huang, C. W., Lu, R., Iqbal, U., Lin, S. H., Nguyen, P. A., Yang, H. C., ... &amp; Jian, W. S. (2015). A richly interactive exploratory data analysis and visualization tool using electronic medical records. </w:t>
      </w:r>
      <w:r>
        <w:rPr>
          <w:i/>
        </w:rPr>
        <w:t xml:space="preserve">BMC </w:t>
      </w:r>
      <w:proofErr w:type="spellStart"/>
      <w:r>
        <w:rPr>
          <w:i/>
        </w:rPr>
        <w:t>medical</w:t>
      </w:r>
      <w:proofErr w:type="spellEnd"/>
      <w:r>
        <w:rPr>
          <w:i/>
        </w:rPr>
        <w:t xml:space="preserve"> </w:t>
      </w:r>
      <w:proofErr w:type="spellStart"/>
      <w:r>
        <w:rPr>
          <w:i/>
        </w:rPr>
        <w:t>informatics</w:t>
      </w:r>
      <w:proofErr w:type="spellEnd"/>
      <w:r>
        <w:rPr>
          <w:i/>
        </w:rPr>
        <w:t xml:space="preserve"> and </w:t>
      </w:r>
      <w:proofErr w:type="spellStart"/>
      <w:r>
        <w:rPr>
          <w:i/>
        </w:rPr>
        <w:t>decision</w:t>
      </w:r>
      <w:proofErr w:type="spellEnd"/>
      <w:r>
        <w:rPr>
          <w:i/>
        </w:rPr>
        <w:t xml:space="preserve"> </w:t>
      </w:r>
      <w:proofErr w:type="spellStart"/>
      <w:r>
        <w:rPr>
          <w:i/>
        </w:rPr>
        <w:t>making</w:t>
      </w:r>
      <w:proofErr w:type="spellEnd"/>
      <w:r>
        <w:rPr>
          <w:i/>
        </w:rPr>
        <w:t xml:space="preserve">, 15, 1-14. </w:t>
      </w:r>
    </w:p>
    <w:p>
      <w:pPr>
        <w:numPr>
          <w:ilvl w:val="0"/>
          <w:numId w:val="3"/>
        </w:numPr>
        <w:spacing w:after="8" w:line="269" w:lineRule="auto"/>
        <w:ind w:left="520" w:right="0" w:hanging="360"/>
        <w:rPr>
          <w:i/>
        </w:rPr>
      </w:pPr>
      <w:proofErr w:type="spellStart"/>
      <w:r>
        <w:rPr>
          <w:i/>
          <w:lang w:val="en-US"/>
        </w:rPr>
        <w:t>Malecki</w:t>
      </w:r>
      <w:proofErr w:type="spellEnd"/>
      <w:r>
        <w:rPr>
          <w:i/>
          <w:lang w:val="en-US"/>
        </w:rPr>
        <w:t xml:space="preserve">, K. C., Resnick, B., &amp; Burke, T. A. (2008). Effective environmental public health surveillance programs: a framework for identifying and evaluating data resources and indicators. </w:t>
      </w:r>
      <w:r>
        <w:rPr>
          <w:i/>
        </w:rPr>
        <w:t xml:space="preserve">Journal </w:t>
      </w:r>
      <w:proofErr w:type="spellStart"/>
      <w:r>
        <w:rPr>
          <w:i/>
        </w:rPr>
        <w:t>of</w:t>
      </w:r>
      <w:proofErr w:type="spellEnd"/>
      <w:r>
        <w:rPr>
          <w:i/>
        </w:rPr>
        <w:t xml:space="preserve"> Public Health Management and Practice, 14(6), 543-551.</w:t>
      </w:r>
    </w:p>
    <w:p>
      <w:pPr>
        <w:numPr>
          <w:ilvl w:val="0"/>
          <w:numId w:val="3"/>
        </w:numPr>
        <w:spacing w:after="8" w:line="269" w:lineRule="auto"/>
        <w:ind w:left="520" w:right="0" w:hanging="360"/>
        <w:rPr>
          <w:i/>
          <w:lang w:val="en-US"/>
        </w:rPr>
      </w:pPr>
      <w:r>
        <w:rPr>
          <w:i/>
          <w:lang w:val="en-US"/>
        </w:rPr>
        <w:lastRenderedPageBreak/>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i/>
          <w:lang w:val="en-US"/>
        </w:rPr>
      </w:pPr>
      <w:r>
        <w:rPr>
          <w:i/>
          <w:lang w:val="en-US"/>
        </w:rPr>
        <w:t>systematic scoping review. Journal of medical Internet research, 24(2), e27534.</w:t>
      </w:r>
    </w:p>
    <w:p>
      <w:pPr>
        <w:numPr>
          <w:ilvl w:val="0"/>
          <w:numId w:val="3"/>
        </w:numPr>
        <w:spacing w:after="8" w:line="269" w:lineRule="auto"/>
        <w:ind w:left="520" w:right="0" w:hanging="360"/>
        <w:rPr>
          <w:rStyle w:val="Hyperlink"/>
          <w:i/>
          <w:color w:val="000000"/>
          <w:u w:val="none"/>
          <w:lang w:val="en-US"/>
        </w:rPr>
      </w:pPr>
      <w:r>
        <w:rPr>
          <w:rStyle w:val="Strong"/>
          <w:b w:val="0"/>
          <w:i/>
        </w:rPr>
        <w:t xml:space="preserve">Qian, J., Jiang, H., </w:t>
      </w:r>
      <w:proofErr w:type="spellStart"/>
      <w:r>
        <w:rPr>
          <w:rStyle w:val="Strong"/>
          <w:b w:val="0"/>
          <w:i/>
        </w:rPr>
        <w:t>Yu</w:t>
      </w:r>
      <w:proofErr w:type="spellEnd"/>
      <w:r>
        <w:rPr>
          <w:rStyle w:val="Strong"/>
          <w:b w:val="0"/>
          <w:i/>
        </w:rPr>
        <w:t>, Y., Wang, H., &amp; Miao, D. (2024).</w:t>
      </w:r>
      <w:r>
        <w:rPr>
          <w:i/>
        </w:rPr>
        <w:t xml:space="preserve"> </w:t>
      </w:r>
      <w:r>
        <w:rPr>
          <w:i/>
          <w:lang w:val="en-US"/>
        </w:rPr>
        <w:t xml:space="preserve">Multi-level personalized k-anonymity privacy-preserving model based on sequential three-way decisions. </w:t>
      </w:r>
      <w:r>
        <w:rPr>
          <w:rStyle w:val="Emphasis"/>
          <w:i w:val="0"/>
        </w:rPr>
        <w:t xml:space="preserve">Expert Systems </w:t>
      </w:r>
      <w:proofErr w:type="spellStart"/>
      <w:r>
        <w:rPr>
          <w:rStyle w:val="Emphasis"/>
          <w:i w:val="0"/>
        </w:rPr>
        <w:t>with</w:t>
      </w:r>
      <w:proofErr w:type="spellEnd"/>
      <w:r>
        <w:rPr>
          <w:rStyle w:val="Emphasis"/>
          <w:i w:val="0"/>
        </w:rPr>
        <w:t xml:space="preserve"> </w:t>
      </w:r>
      <w:proofErr w:type="spellStart"/>
      <w:r>
        <w:rPr>
          <w:rStyle w:val="Emphasis"/>
          <w:i w:val="0"/>
        </w:rPr>
        <w:t>Applications</w:t>
      </w:r>
      <w:proofErr w:type="spellEnd"/>
      <w:r>
        <w:rPr>
          <w:rStyle w:val="Emphasis"/>
          <w:i w:val="0"/>
        </w:rPr>
        <w:t>, 239</w:t>
      </w:r>
      <w:r>
        <w:rPr>
          <w:i/>
        </w:rPr>
        <w:t xml:space="preserve">, 122343. </w:t>
      </w:r>
      <w:hyperlink r:id="rId8" w:tgtFrame="_new" w:history="1">
        <w:r>
          <w:rPr>
            <w:rStyle w:val="Hyperlink"/>
            <w:i/>
          </w:rPr>
          <w:t>https://doi.org/10.1016/j.eswa.2023.122343</w:t>
        </w:r>
      </w:hyperlink>
    </w:p>
    <w:p>
      <w:pPr>
        <w:numPr>
          <w:ilvl w:val="0"/>
          <w:numId w:val="3"/>
        </w:numPr>
        <w:spacing w:after="8" w:line="269" w:lineRule="auto"/>
        <w:ind w:left="520" w:right="0" w:hanging="360"/>
        <w:rPr>
          <w:i/>
          <w:lang w:val="en-US"/>
        </w:rPr>
      </w:pPr>
      <w:proofErr w:type="spellStart"/>
      <w:r>
        <w:rPr>
          <w:i/>
          <w:lang w:val="en-US"/>
        </w:rPr>
        <w:t>Kaabachi</w:t>
      </w:r>
      <w:proofErr w:type="spellEnd"/>
      <w:r>
        <w:rPr>
          <w:i/>
          <w:lang w:val="en-US"/>
        </w:rPr>
        <w:t xml:space="preserve">, </w:t>
      </w:r>
      <w:proofErr w:type="spellStart"/>
      <w:r>
        <w:rPr>
          <w:i/>
          <w:lang w:val="en-US"/>
        </w:rPr>
        <w:t>Bayrem</w:t>
      </w:r>
      <w:proofErr w:type="spellEnd"/>
      <w:r>
        <w:rPr>
          <w:i/>
          <w:lang w:val="en-US"/>
        </w:rPr>
        <w:t xml:space="preserve">, et al. "A scoping review of privacy and utility metrics in medical synthetic data." </w:t>
      </w:r>
      <w:r>
        <w:rPr>
          <w:i/>
          <w:iCs/>
        </w:rPr>
        <w:t xml:space="preserve">NPJ digital </w:t>
      </w:r>
      <w:proofErr w:type="spellStart"/>
      <w:r>
        <w:rPr>
          <w:i/>
          <w:iCs/>
        </w:rPr>
        <w:t>medicine</w:t>
      </w:r>
      <w:proofErr w:type="spellEnd"/>
      <w:r>
        <w:rPr>
          <w:i/>
        </w:rPr>
        <w:t xml:space="preserve"> 8.1 (2025): 60.</w:t>
      </w:r>
    </w:p>
    <w:p>
      <w:pPr>
        <w:numPr>
          <w:ilvl w:val="0"/>
          <w:numId w:val="3"/>
        </w:numPr>
        <w:spacing w:after="8" w:line="269" w:lineRule="auto"/>
        <w:ind w:left="520" w:right="0" w:hanging="360"/>
        <w:rPr>
          <w:i/>
          <w:lang w:val="en-US"/>
        </w:rPr>
      </w:pPr>
      <w:proofErr w:type="spellStart"/>
      <w:r>
        <w:rPr>
          <w:i/>
          <w:lang w:val="en-US"/>
        </w:rPr>
        <w:t>Sepas</w:t>
      </w:r>
      <w:proofErr w:type="spellEnd"/>
      <w:r>
        <w:rPr>
          <w:i/>
          <w:lang w:val="en-US"/>
        </w:rPr>
        <w:t xml:space="preserve">, Ali et al. “Algorithms to anonymize structured medical and healthcare data: A systematic review.” </w:t>
      </w:r>
      <w:r>
        <w:rPr>
          <w:i/>
          <w:iCs/>
        </w:rPr>
        <w:t xml:space="preserve">Frontiers in </w:t>
      </w:r>
      <w:proofErr w:type="spellStart"/>
      <w:r>
        <w:rPr>
          <w:i/>
          <w:iCs/>
        </w:rPr>
        <w:t>bioinformatics</w:t>
      </w:r>
      <w:proofErr w:type="spellEnd"/>
      <w:r>
        <w:rPr>
          <w:i/>
        </w:rPr>
        <w:t xml:space="preserve"> vol. 2 984807. 22 </w:t>
      </w:r>
      <w:proofErr w:type="spellStart"/>
      <w:r>
        <w:rPr>
          <w:i/>
        </w:rPr>
        <w:t>Dec</w:t>
      </w:r>
      <w:proofErr w:type="spellEnd"/>
      <w:r>
        <w:rPr>
          <w:i/>
        </w:rPr>
        <w:t>. 2022, doi:10.3389/fbinf.2022.984807</w:t>
      </w:r>
    </w:p>
    <w:p>
      <w:pPr>
        <w:numPr>
          <w:ilvl w:val="0"/>
          <w:numId w:val="3"/>
        </w:numPr>
        <w:spacing w:after="8" w:line="269" w:lineRule="auto"/>
        <w:ind w:left="520" w:right="0" w:hanging="360"/>
        <w:rPr>
          <w:i/>
          <w:lang w:val="en-US"/>
        </w:rPr>
      </w:pPr>
      <w:r>
        <w:rPr>
          <w:rStyle w:val="Strong"/>
          <w:i/>
          <w:lang w:val="en-US"/>
        </w:rPr>
        <w:t xml:space="preserve">Huang, Yan, and Jacob </w:t>
      </w:r>
      <w:proofErr w:type="spellStart"/>
      <w:r>
        <w:rPr>
          <w:rStyle w:val="Strong"/>
          <w:i/>
          <w:lang w:val="en-US"/>
        </w:rPr>
        <w:t>Imola</w:t>
      </w:r>
      <w:proofErr w:type="spellEnd"/>
      <w:r>
        <w:rPr>
          <w:rStyle w:val="Strong"/>
          <w:i/>
          <w:lang w:val="en-US"/>
        </w:rPr>
        <w:t>.</w:t>
      </w:r>
      <w:r>
        <w:rPr>
          <w:i/>
          <w:lang w:val="en-US"/>
        </w:rPr>
        <w:t xml:space="preserve"> </w:t>
      </w:r>
      <w:r>
        <w:rPr>
          <w:rStyle w:val="Emphasis"/>
          <w:i w:val="0"/>
          <w:lang w:val="en-US"/>
        </w:rPr>
        <w:t>"Differential Privacy: A Comprehensive Survey."</w:t>
      </w:r>
      <w:r>
        <w:rPr>
          <w:i/>
          <w:lang w:val="en-US"/>
        </w:rPr>
        <w:t xml:space="preserve"> </w:t>
      </w:r>
      <w:proofErr w:type="spellStart"/>
      <w:r>
        <w:rPr>
          <w:rStyle w:val="Strong"/>
          <w:i/>
          <w:lang w:val="en-US"/>
        </w:rPr>
        <w:t>arXiv</w:t>
      </w:r>
      <w:proofErr w:type="spellEnd"/>
      <w:r>
        <w:rPr>
          <w:i/>
          <w:lang w:val="en-US"/>
        </w:rPr>
        <w:t xml:space="preserve">, preprint, 18 Oct. 2022, </w:t>
      </w:r>
      <w:hyperlink r:id="rId9" w:tgtFrame="_new" w:history="1">
        <w:r>
          <w:rPr>
            <w:rStyle w:val="Hyperlink"/>
            <w:i/>
            <w:lang w:val="en-US"/>
          </w:rPr>
          <w:t>arxiv.org/abs/2210.09963</w:t>
        </w:r>
      </w:hyperlink>
      <w:r>
        <w:rPr>
          <w:i/>
          <w:lang w:val="en-US"/>
        </w:rPr>
        <w:t>.</w:t>
      </w:r>
    </w:p>
    <w:p>
      <w:pPr>
        <w:numPr>
          <w:ilvl w:val="0"/>
          <w:numId w:val="3"/>
        </w:numPr>
        <w:spacing w:after="8" w:line="269" w:lineRule="auto"/>
        <w:ind w:left="520" w:right="0" w:hanging="360"/>
        <w:rPr>
          <w:i/>
          <w:lang w:val="en-US"/>
        </w:rPr>
      </w:pPr>
      <w:r>
        <w:rPr>
          <w:lang w:val="en-US"/>
        </w:rPr>
        <w:t xml:space="preserve">Goncalves, Andre, et al. "Generation and evaluation of synthetic patient data." </w:t>
      </w:r>
      <w:r>
        <w:rPr>
          <w:i/>
          <w:iCs/>
        </w:rPr>
        <w:t xml:space="preserve">BMC </w:t>
      </w:r>
      <w:proofErr w:type="spellStart"/>
      <w:r>
        <w:rPr>
          <w:i/>
          <w:iCs/>
        </w:rPr>
        <w:t>medical</w:t>
      </w:r>
      <w:proofErr w:type="spellEnd"/>
      <w:r>
        <w:rPr>
          <w:i/>
          <w:iCs/>
        </w:rPr>
        <w:t xml:space="preserve"> </w:t>
      </w:r>
      <w:proofErr w:type="spellStart"/>
      <w:r>
        <w:rPr>
          <w:i/>
          <w:iCs/>
        </w:rPr>
        <w:t>research</w:t>
      </w:r>
      <w:proofErr w:type="spellEnd"/>
      <w:r>
        <w:rPr>
          <w:i/>
          <w:iCs/>
        </w:rPr>
        <w:t xml:space="preserve"> </w:t>
      </w:r>
      <w:proofErr w:type="spellStart"/>
      <w:r>
        <w:rPr>
          <w:i/>
          <w:iCs/>
        </w:rPr>
        <w:t>methodology</w:t>
      </w:r>
      <w:proofErr w:type="spellEnd"/>
      <w:r>
        <w:t xml:space="preserve"> 20 (2020): 1-40.</w:t>
      </w:r>
    </w:p>
    <w:p>
      <w:pPr>
        <w:numPr>
          <w:ilvl w:val="0"/>
          <w:numId w:val="3"/>
        </w:numPr>
        <w:spacing w:after="8" w:line="269" w:lineRule="auto"/>
        <w:ind w:left="520" w:right="0" w:hanging="360"/>
        <w:rPr>
          <w:i/>
          <w:lang w:val="en-US"/>
        </w:rPr>
      </w:pPr>
      <w:r>
        <w:rPr>
          <w:lang w:val="en-US"/>
        </w:rPr>
        <w:t>Osorio-</w:t>
      </w:r>
      <w:proofErr w:type="spellStart"/>
      <w:r>
        <w:rPr>
          <w:lang w:val="en-US"/>
        </w:rPr>
        <w:t>Marulanda</w:t>
      </w:r>
      <w:proofErr w:type="spellEnd"/>
      <w:r>
        <w:rPr>
          <w:lang w:val="en-US"/>
        </w:rPr>
        <w:t xml:space="preserve">, Pablo A., et al. "Privacy mechanisms and evaluation metrics for Synthetic Data Generation: A systematic review." </w:t>
      </w:r>
      <w:r>
        <w:rPr>
          <w:i/>
          <w:iCs/>
          <w:lang w:val="en-US"/>
        </w:rPr>
        <w:t>IEEE Access</w:t>
      </w:r>
      <w:r>
        <w:rPr>
          <w:lang w:val="en-US"/>
        </w:rPr>
        <w:t xml:space="preserve"> (2024).</w:t>
      </w:r>
    </w:p>
    <w:p>
      <w:pPr>
        <w:spacing w:after="8" w:line="269" w:lineRule="auto"/>
        <w:ind w:left="520" w:right="0" w:firstLine="0"/>
        <w:rPr>
          <w:i/>
          <w:lang w:val="en-US"/>
        </w:rPr>
      </w:pP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pPr>
        <w:rPr>
          <w:lang w:val="en-US"/>
        </w:rPr>
      </w:pP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6899-8BDC-4CEF-AA0A-7C5DB73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234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210.099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7406F-314D-465D-8E12-C5823A9CC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3123</Words>
  <Characters>19681</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11</cp:revision>
  <dcterms:created xsi:type="dcterms:W3CDTF">2025-02-21T12:45:00Z</dcterms:created>
  <dcterms:modified xsi:type="dcterms:W3CDTF">2025-02-28T15:19:00Z</dcterms:modified>
</cp:coreProperties>
</file>