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t xml:space="preserve">HIV-PrEP CORE (HIV-PrEP Comprehensive Oversight for Reporting &amp; Evaluation):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01 - 03 - 2025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HIV-PrEP CORE (HIV-PrEP Comprehensive Oversight for Reporting &amp; Evaluation):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 xml:space="preserve">HIV pre-exposure prophylaxis (PrEP) programs are essential in preventing the transmission of HIV, requiring efficient monitoring and reporting frameworks to assess their reach and impact. The </w:t>
      </w:r>
      <w:proofErr w:type="spellStart"/>
      <w:r>
        <w:rPr>
          <w:rStyle w:val="Strong"/>
          <w:b w:val="0"/>
          <w:lang w:val="en-US"/>
        </w:rPr>
        <w:t>Forschungsdatenzentrum</w:t>
      </w:r>
      <w:proofErr w:type="spellEnd"/>
      <w:r>
        <w:rPr>
          <w:rStyle w:val="Strong"/>
          <w:b w:val="0"/>
          <w:lang w:val="en-US"/>
        </w:rPr>
        <w:t xml:space="preserve"> Gesundheit (FDZ Gesundheit)</w:t>
      </w:r>
      <w:r>
        <w:rPr>
          <w:lang w:val="en-US"/>
        </w:rPr>
        <w:t xml:space="preserve"> is the </w:t>
      </w:r>
      <w:r>
        <w:rPr>
          <w:rStyle w:val="Strong"/>
          <w:b w:val="0"/>
          <w:lang w:val="en-US"/>
        </w:rPr>
        <w:t>Research Data Center for Health</w:t>
      </w:r>
      <w:r>
        <w:rPr>
          <w:lang w:val="en-US"/>
        </w:rPr>
        <w:t xml:space="preserve"> in Germany. It provides access to anonymized health data for scientific research while ensuring data protection and privacy compliance. FDZ Gesundheit facilitates research on public health topics, epidemiology, and healthcare policy by offering structured access to datasets from health insurance records, hospital data, and other healthcare </w:t>
      </w:r>
      <w:proofErr w:type="spellStart"/>
      <w:r>
        <w:rPr>
          <w:lang w:val="en-US"/>
        </w:rPr>
        <w:t>sources.This</w:t>
      </w:r>
      <w:proofErr w:type="spellEnd"/>
      <w:r>
        <w:rPr>
          <w:lang w:val="en-US"/>
        </w:rPr>
        <w:t xml:space="preserve"> master thesis aims to develop a robust and scalable data analysis pipeline with emphasis on Synthetic Data Generation (SDG)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anonymization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techniques.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15" w:right="0" w:firstLine="0"/>
        <w:rPr>
          <w:lang w:val="en-US"/>
        </w:rPr>
      </w:pPr>
      <w:r>
        <w:rPr>
          <w:lang w:val="en-US"/>
        </w:rPr>
        <w:br/>
      </w:r>
      <w:r>
        <w:rPr>
          <w:b/>
          <w:i/>
          <w:szCs w:val="21"/>
          <w:lang w:val="en-US"/>
        </w:rPr>
        <w:t>RQ1: “How does the HIV-PrEP CORE pipeline enhance the automation, scalability, and accuracy of PrEP indicator reporting in HIV surveillance systems?</w:t>
      </w:r>
    </w:p>
    <w:p>
      <w:pPr>
        <w:spacing w:after="316"/>
        <w:ind w:left="-5" w:right="0"/>
        <w:rPr>
          <w:b/>
          <w:i/>
          <w:szCs w:val="21"/>
          <w:lang w:val="en-US"/>
        </w:rPr>
      </w:pPr>
      <w:r>
        <w:rPr>
          <w:b/>
          <w:i/>
          <w:szCs w:val="21"/>
          <w:lang w:val="en-US"/>
        </w:rPr>
        <w:br/>
        <w:t>RQ2: “How do different Synthetic Data Generation (SDG) techniques impact the accuracy and reliability of PrEP indicators in HIV-PrEP surveillance systems?”</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 xml:space="preserve">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framework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w:t>
      </w:r>
      <w:r>
        <w:rPr>
          <w:lang w:val="en-US"/>
        </w:rPr>
        <w:lastRenderedPageBreak/>
        <w:t xml:space="preserve">datasets, such as variable definitions, coding systems, and data formats. To assist researchers in understanding the data architecture, the site provides Entity-Relationship (ER) diagrams,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 xml:space="preserve">HIV-PrEP indicator </w:t>
      </w:r>
      <w:proofErr w:type="spellStart"/>
      <w:r>
        <w:rPr>
          <w:rStyle w:val="Strong"/>
          <w:b w:val="0"/>
          <w:sz w:val="21"/>
          <w:szCs w:val="21"/>
          <w:lang w:val="en-US"/>
        </w:rPr>
        <w:t>reportin</w:t>
      </w:r>
      <w:proofErr w:type="spellEnd"/>
      <w:r>
        <w:rPr>
          <w:b/>
          <w:sz w:val="21"/>
          <w:szCs w:val="21"/>
          <w:lang w:val="en-US"/>
        </w:rPr>
        <w:t>.</w:t>
      </w:r>
      <w:r>
        <w:rPr>
          <w:b/>
          <w:sz w:val="21"/>
          <w:szCs w:val="21"/>
          <w:lang w:val="en-US"/>
        </w:rPr>
        <w:br/>
        <w:t xml:space="preserve">     </w:t>
      </w:r>
      <w:r>
        <w:rPr>
          <w:sz w:val="21"/>
          <w:szCs w:val="21"/>
          <w:lang w:val="en-US"/>
        </w:rPr>
        <w:t>2. Compare and evaluate different</w:t>
      </w:r>
      <w:r>
        <w:rPr>
          <w:b/>
          <w:sz w:val="21"/>
          <w:szCs w:val="21"/>
          <w:lang w:val="en-US"/>
        </w:rPr>
        <w:t xml:space="preserve"> </w:t>
      </w:r>
      <w:r>
        <w:rPr>
          <w:rStyle w:val="Strong"/>
          <w:b w:val="0"/>
          <w:sz w:val="21"/>
          <w:szCs w:val="21"/>
          <w:lang w:val="en-US"/>
        </w:rPr>
        <w:t>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sz w:val="21"/>
          <w:szCs w:val="21"/>
          <w:lang w:val="en-US"/>
        </w:rPr>
        <w:br/>
        <w:t xml:space="preserve">     3.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 xml:space="preserve">The master thesis project utilizes synthetically generated datasets to simulate real-world data while preserving privacy and confidentiality </w:t>
      </w:r>
      <w:proofErr w:type="gramStart"/>
      <w:r>
        <w:rPr>
          <w:lang w:val="en-US"/>
        </w:rPr>
        <w:t>requirements[</w:t>
      </w:r>
      <w:proofErr w:type="gramEnd"/>
      <w:r>
        <w:rPr>
          <w:lang w:val="en-US"/>
        </w:rPr>
        <w:t>12]. The Public Use File (PUF) repository enables researchers to develop and test analysis pipelines with datasets that mimic the structure and schema of FDZ’s actual datasets.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ignores individual differences and may lead to information loss if not optimized for narrow utility goal of HIV PrEP-CORE.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lastRenderedPageBreak/>
        <w:t xml:space="preserve"> </w:t>
      </w:r>
      <w:r>
        <w:rPr>
          <w:lang w:val="en-US"/>
        </w:rPr>
        <w:tab/>
      </w:r>
      <w:r>
        <w:rPr>
          <w:i/>
          <w:lang w:val="en-US"/>
        </w:rPr>
        <w:t xml:space="preserve">Pipeline Architecture: HIV PrEP-CORE (HIV PrEP- Data Analysis and Reporting Tool) </w:t>
      </w:r>
    </w:p>
    <w:p>
      <w:pPr>
        <w:rPr>
          <w:lang w:val="en-US"/>
        </w:rPr>
      </w:pPr>
    </w:p>
    <w:p>
      <w:pPr>
        <w:ind w:left="-5" w:right="0"/>
        <w:rPr>
          <w:lang w:val="en-US"/>
        </w:rPr>
      </w:pPr>
      <w:r>
        <w:rPr>
          <w:lang w:val="en-US"/>
        </w:rPr>
        <w:t xml:space="preserve">The HIV-PrEP CORE architecture involves multiple stages, each designed to ensure the pipeline is scalable, efficient, and compliant with privacy standards.  The pipeline begins with dataset model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illustrates how the HIV-PrEP CORE pipeline processes PUF datasets, maps them to standardized PrEP indicators, and converts anonymized data into meaningful insights for further evaluation and reporting. </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noProof/>
          <w:lang w:val="en-GB"/>
        </w:rPr>
        <w:br/>
        <w:t xml:space="preserve">          </w:t>
      </w:r>
      <w:r>
        <w:rPr>
          <w:noProof/>
          <w:lang w:val="en-US"/>
        </w:rPr>
        <w:drawing>
          <wp:inline distT="0" distB="0" distL="0" distR="0">
            <wp:extent cx="5778500" cy="324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1Proposal17032025_page-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8500" cy="3241040"/>
                    </a:xfrm>
                    <a:prstGeom prst="rect">
                      <a:avLst/>
                    </a:prstGeom>
                  </pic:spPr>
                </pic:pic>
              </a:graphicData>
            </a:graphic>
          </wp:inline>
        </w:drawing>
      </w:r>
    </w:p>
    <w:p>
      <w:pPr>
        <w:ind w:left="-5" w:right="0"/>
        <w:rPr>
          <w:lang w:val="en-US"/>
        </w:rPr>
      </w:pPr>
      <w:r>
        <w:rPr>
          <w:noProof/>
          <w:lang w:val="en-US"/>
        </w:rPr>
        <w:t xml:space="preserve"> </w:t>
      </w:r>
    </w:p>
    <w:p>
      <w:pPr>
        <w:ind w:left="-5" w:right="0"/>
        <w:rPr>
          <w:lang w:val="en-US"/>
        </w:rPr>
      </w:pPr>
      <w:r>
        <w:rPr>
          <w:lang w:val="en-US"/>
        </w:rPr>
        <w:t xml:space="preserve">         </w:t>
      </w:r>
    </w:p>
    <w:p>
      <w:pPr>
        <w:ind w:left="-5" w:right="0"/>
        <w:rPr>
          <w:lang w:val="en-US"/>
        </w:rPr>
      </w:pPr>
      <w:r>
        <w:rPr>
          <w:lang w:val="en-US"/>
        </w:rPr>
        <w:t xml:space="preserve">           </w:t>
      </w:r>
    </w:p>
    <w:p>
      <w:pPr>
        <w:ind w:left="-5" w:right="0" w:firstLine="0"/>
        <w:rPr>
          <w:lang w:val="en-US"/>
        </w:rPr>
      </w:pPr>
      <w:r>
        <w:rPr>
          <w:lang w:val="en-US"/>
        </w:rPr>
        <w:t xml:space="preserve">                                            Figure 1: HIV-PrEP CORE Anonymization Architecture </w:t>
      </w:r>
    </w:p>
    <w:p>
      <w:pPr>
        <w:ind w:left="-5" w:right="0"/>
        <w:rPr>
          <w:lang w:val="en-US"/>
        </w:rPr>
      </w:pPr>
    </w:p>
    <w:p>
      <w:pPr>
        <w:ind w:left="-5" w:right="0"/>
        <w:rPr>
          <w:lang w:val="en-US"/>
        </w:rPr>
      </w:pPr>
    </w:p>
    <w:p>
      <w:pPr>
        <w:ind w:left="0" w:right="0" w:firstLine="0"/>
        <w:rPr>
          <w:lang w:val="en-US"/>
        </w:rPr>
      </w:pPr>
      <w:r>
        <w:rPr>
          <w:lang w:val="en-US"/>
        </w:rPr>
        <w:br/>
      </w:r>
      <w:r>
        <w:rPr>
          <w:lang w:val="en-US"/>
        </w:rPr>
        <w:br/>
      </w:r>
    </w:p>
    <w:p>
      <w:pPr>
        <w:pStyle w:val="Heading2"/>
        <w:spacing w:after="247"/>
        <w:ind w:left="307" w:hanging="322"/>
        <w:rPr>
          <w:i/>
          <w:lang w:val="en-US"/>
        </w:rPr>
      </w:pPr>
      <w:r>
        <w:rPr>
          <w:i/>
          <w:lang w:val="en-US"/>
        </w:rPr>
        <w:lastRenderedPageBreak/>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(5) Indicator-Specific Insights – Identifies service gaps in PrEP coverage, assesses program effectiveness in reducing new infections (PnR), and evaluates adherence and retention trends among PrEP users</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Techniques for Privacy-Preserving Health Data Processing</w:t>
      </w:r>
    </w:p>
    <w:p>
      <w:pPr>
        <w:ind w:left="-15" w:right="0" w:firstLine="0"/>
        <w:rPr>
          <w:lang w:val="en-US"/>
        </w:rPr>
      </w:pPr>
      <w:r>
        <w:rPr>
          <w:lang w:val="en-US"/>
        </w:rPr>
        <w:br/>
        <w:t xml:space="preserve">This study classifies the techniques into three categories to systematically evaluate their impact on pipeline results;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p>
    <w:p>
      <w:pPr>
        <w:ind w:left="-5" w:right="0"/>
        <w:rPr>
          <w:lang w:val="en-US"/>
        </w:rPr>
      </w:pPr>
    </w:p>
    <w:p>
      <w:pPr>
        <w:ind w:left="-5" w:right="0"/>
        <w:rPr>
          <w:lang w:val="en-US"/>
        </w:rPr>
      </w:pPr>
      <w:r>
        <w:rPr>
          <w:lang w:val="en-US"/>
        </w:rPr>
        <w:lastRenderedPageBreak/>
        <w:br/>
      </w:r>
      <w:r>
        <w:rPr>
          <w:noProof/>
          <w:lang w:val="en-US"/>
        </w:rPr>
        <w:drawing>
          <wp:inline distT="0" distB="0" distL="0" distR="0">
            <wp:extent cx="6223000" cy="4590558"/>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V-prEP Anonymization.png"/>
                    <pic:cNvPicPr/>
                  </pic:nvPicPr>
                  <pic:blipFill>
                    <a:blip r:embed="rId7">
                      <a:extLst>
                        <a:ext uri="{28A0092B-C50C-407E-A947-70E740481C1C}">
                          <a14:useLocalDpi xmlns:a14="http://schemas.microsoft.com/office/drawing/2010/main" val="0"/>
                        </a:ext>
                      </a:extLst>
                    </a:blip>
                    <a:stretch>
                      <a:fillRect/>
                    </a:stretch>
                  </pic:blipFill>
                  <pic:spPr>
                    <a:xfrm>
                      <a:off x="0" y="0"/>
                      <a:ext cx="6242159" cy="4604691"/>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2: HIV-PrEP CORE Anonymization Framework: Classification of Anonymization Techniques</w:t>
      </w:r>
      <w:r>
        <w:rPr>
          <w:lang w:val="en-US"/>
        </w:rPr>
        <w:br/>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privacy[16,17] and homomorphic encryption, which emphasize </w:t>
      </w:r>
      <w:r>
        <w:rPr>
          <w:rStyle w:val="Strong"/>
          <w:b w:val="0"/>
          <w:lang w:val="en-US"/>
        </w:rPr>
        <w:t>computational security, privacy guarantees, and data fidelity</w:t>
      </w:r>
      <w:r>
        <w:rPr>
          <w:lang w:val="en-US"/>
        </w:rPr>
        <w:t>. However, a common security bias—</w:t>
      </w:r>
      <w:r>
        <w:rPr>
          <w:rStyle w:val="Strong"/>
          <w:b w:val="0"/>
          <w:lang w:val="en-US"/>
        </w:rPr>
        <w:t>the representativeness heuristic</w:t>
      </w:r>
      <w:r>
        <w:rPr>
          <w:lang w:val="en-US"/>
        </w:rPr>
        <w:t xml:space="preserve">—leads to the mistaken assumption that synthetic data is inherently private simply because it differs from real data. This misconception can result in overlooked privacy vulnerabilities. By systematically applying this evaluation, the generated synthetic datasets undergo rigorous validation to ensure that privacy protection mechanisms do not excessively distort data utility, making them optimized for </w:t>
      </w:r>
      <w:r>
        <w:rPr>
          <w:rStyle w:val="Strong"/>
          <w:b w:val="0"/>
          <w:lang w:val="en-US"/>
        </w:rPr>
        <w:t>HIV-PrEP CORE indicator analysis</w:t>
      </w:r>
      <w:r>
        <w:rPr>
          <w:lang w:val="en-US"/>
        </w:rPr>
        <w:t xml:space="preserve">. </w:t>
      </w:r>
    </w:p>
    <w:p>
      <w:pPr>
        <w:ind w:left="-5" w:right="0"/>
        <w:rPr>
          <w:lang w:val="en-US"/>
        </w:rPr>
      </w:pP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2704"/>
        <w:gridCol w:w="1860"/>
        <w:gridCol w:w="4030"/>
      </w:tblGrid>
      <w:tr>
        <w:trPr>
          <w:trHeight w:val="297"/>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0" w:right="0" w:firstLine="0"/>
              <w:jc w:val="left"/>
            </w:pPr>
            <w:r>
              <w:t xml:space="preserve">   Duration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lastRenderedPageBreak/>
              <w:t xml:space="preserve">         </w:t>
            </w:r>
            <w:proofErr w:type="spellStart"/>
            <w:r>
              <w:t>Literature</w:t>
            </w:r>
            <w:proofErr w:type="spellEnd"/>
            <w:r>
              <w:t xml:space="preserve"> Review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Indicator Mapping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86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9"/>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4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2704"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860"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bookmarkStart w:id="2" w:name="_GoBack"/>
      <w:bookmarkEnd w:id="2"/>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lastRenderedPageBreak/>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i/>
          <w:lang w:val="en-US"/>
        </w:rPr>
        <w:t xml:space="preserve">Huang, Yan, and Jacob </w:t>
      </w:r>
      <w:proofErr w:type="spellStart"/>
      <w:r>
        <w:rPr>
          <w:rStyle w:val="Strong"/>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lang w:val="en-US"/>
        </w:rPr>
        <w:t>IEEE Access</w:t>
      </w:r>
      <w:r>
        <w:rPr>
          <w:lang w:val="en-US"/>
        </w:rPr>
        <w:t xml:space="preserve"> (2024).</w:t>
      </w:r>
    </w:p>
    <w:p>
      <w:pPr>
        <w:spacing w:after="8" w:line="269" w:lineRule="auto"/>
        <w:ind w:left="520" w:right="0" w:firstLine="0"/>
        <w:rPr>
          <w:i/>
          <w:lang w:val="en-US"/>
        </w:rPr>
      </w:pP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9F35A-4ACB-4E88-A996-8C468710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lang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lang w:eastAsia="de-D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 w:id="31525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E0859-0241-4F8B-9C21-44D693570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3116</Words>
  <Characters>19638</Characters>
  <Application>Microsoft Office Word</Application>
  <DocSecurity>0</DocSecurity>
  <Lines>163</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Robert Koch Institut</Company>
  <LinksUpToDate>false</LinksUpToDate>
  <CharactersWithSpaces>22709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1</cp:revision>
  <dcterms:created xsi:type="dcterms:W3CDTF">2025-02-28T17:54:00Z</dcterms:created>
  <dcterms:modified xsi:type="dcterms:W3CDTF">2025-03-17T14:36:00Z</dcterms:modified>
</cp:coreProperties>
</file>