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bbf775c14745da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Rating Summary</w:t>
      </w:r>
    </w:p>
    <w:p>
      <w:r>
        <w:t>• Inherent Risk: High — Logicworks provides Managed Cloud Operations with administrative access to customer environments and data; relies on subservice organizations (AWS, Azure, Equinix); business critical uptime and security are in scope.</w:t>
      </w:r>
    </w:p>
    <w:p>
      <w:r>
        <w:t>• Control Effectiveness: Mostly Effective (95%) — SOC 2 Type 2 (02/01/2022–01/31/2023) with an unqualified opinion and no exceptions. A few controls were not tested due to no triggering events (e.g., no media disposals, no incidents). Dependencies on subservice organizations introduce residual exposure despite strong internal controls.</w:t>
      </w:r>
    </w:p>
    <w:p>
      <w:r>
        <w:t>• Residual Risk: Medium — High inherent risk combined with Mostly Effective controls maps to Medium per Beaconer matrix.</w:t>
      </w:r>
    </w:p>
    <w:p>
      <w:r>
        <w:t>Control Testing Metrics</w:t>
      </w:r>
    </w:p>
    <w:p>
      <w:r>
        <w:t>• % Control Coverage: ~95% (broad SOC 2 coverage across CC, A1, C1 criteria; multiple supporting policies/procedures; continuous monitoring, vulnerability management, IR, BC/DR tested)</w:t>
      </w:r>
    </w:p>
    <w:p>
      <w:r>
        <w:t>• Total Gaps Identified: 4</w:t>
      </w:r>
    </w:p>
    <w:p>
      <w:r>
        <w:t>• Total Critical Gaps: 0</w:t>
      </w:r>
    </w:p>
    <w:p>
      <w:r>
        <w:t>• Residual Risk Calculation Explanation: High Inherent + Mostly Effective (95%) = Medium per Residual Risk Matrix. No high-severity findings in Logicworks SOC 2; however, reliance on subservice orgs (Azure/AWS) includes known exceptions (Azure SOC 2) that add dependency risk.</w:t>
      </w:r>
    </w:p>
    <w:p>
      <w:r>
        <w:t>Control Testing (Access Control)</w:t>
      </w:r>
    </w:p>
    <w:p>
      <w:r>
        <w:t>Control Question	Vendor Response	Evidence / Notes</w:t>
      </w:r>
    </w:p>
    <w:p>
      <w:r>
        <w:t>Program approved &amp; communicated	Yes	Information security policies documented, version-controlled, reviewed, approved, and communicated (SOC 2 CC5.3, CC2.2)</w:t>
      </w:r>
    </w:p>
    <w:p>
      <w:r>
        <w:t>Regular access review for all	Yes	Bi‑monthly access reviews performed; sampled reviews showed no changes required (SOC 2 CC6.2)</w:t>
      </w:r>
    </w:p>
    <w:p>
      <w:r>
        <w:t>IDs are auto terminated on last day	Yes	Termination checklist; access revoked within 24 hours (SOC 2 CC6.2)</w:t>
      </w:r>
    </w:p>
    <w:p>
      <w:r>
        <w:t>Segregation of duties	Yes	Prod migration restricted; developers require reviewed changes (SOC 2 CC6.3, CC8.1)</w:t>
      </w:r>
    </w:p>
    <w:p>
      <w:r>
        <w:t>Controls for Corporate Email on personal phones	No	Not evidenced in SOC 2 or provided policies</w:t>
      </w:r>
    </w:p>
    <w:p>
      <w:r>
        <w:t>MFA deployed	Yes	Remote production access requires MFA over encrypted VPN (SOC 2 CC6.1)</w:t>
      </w:r>
    </w:p>
    <w:p>
      <w:r>
        <w:t>Application supports customer SSO	No	N/A to a single “app”; Logicworks uses Okta internally; customer SSO support not evidenced</w:t>
      </w:r>
    </w:p>
    <w:p>
      <w:r>
        <w:t>Unique IDs required	Yes	Authentication requires unique usernames/passwords or authorized SSH keys (SOC 2 CC6.1)</w:t>
      </w:r>
    </w:p>
    <w:p>
      <w:r>
        <w:t>Principle of least privilege	Yes	Access based on job role; privileged access restricted (SOC 2 CC6.3)</w:t>
      </w:r>
    </w:p>
    <w:p>
      <w:r>
        <w:t>Password policy	Yes	12+ chars, complexity, lockout, 90-day change (SOC 2 CC6.1)</w:t>
      </w:r>
    </w:p>
    <w:p>
      <w:r>
        <w:t>Process to request approval for Access	Yes	Access request form + manager approval (SOC 2 CC6.2)</w:t>
      </w:r>
    </w:p>
    <w:p>
      <w:r>
        <w:t>Password sharing prohibited	No	Not explicitly evidenced in SOC 2/policies provided</w:t>
      </w:r>
    </w:p>
    <w:p>
      <w:r>
        <w:t>Passwords are salted &amp; hashed at storage	No	Not explicitly evidenced; SOC 2 validates password configuration/controls but not storage hashing details</w:t>
      </w:r>
    </w:p>
    <w:p>
      <w:r>
        <w:t>Gap Analysis</w:t>
      </w:r>
    </w:p>
    <w:p>
      <w:r>
        <w:t>Domain	Issues Identified	Severity (High/Medium/Low)	Risk	Counter Measure</w:t>
      </w:r>
    </w:p>
    <w:p>
      <w:r>
        <w:t>Access Control	Lack of stated control for corporate email on personal devices	Medium	Data leakage via unmanaged endpoints	Adopt and enforce MDM/MAM with conditional access; update policy and attestations</w:t>
      </w:r>
    </w:p>
    <w:p>
      <w:r>
        <w:t>Access Control	Customer SSO support not evidenced	Low	Potential friction, inconsistent auth posture for client integrations	Confirm and document SSO options/integrations for client-facing portals/tools; publish in client runbook</w:t>
      </w:r>
    </w:p>
    <w:p>
      <w:r>
        <w:t>Access Control	Password sharing prohibition not explicitly stated	Low	Risk of credential sharing in edge cases	Add explicit prohibition in AUP/InfoSec policy; reinforce via annual training</w:t>
      </w:r>
    </w:p>
    <w:p>
      <w:r>
        <w:t>Cryptographic Controls	Password storage hashing/salting not evidenced	Medium	Credential compromise blast radius	Attest to hashing (e.g., bcrypt/scrypt/Argon2) with salts for any internally stored secrets; include in policy/architecture docs</w:t>
      </w:r>
    </w:p>
    <w:p>
      <w:r>
        <w:t>Monitoring &amp; IR	Subservice: Azure break‑glass alerting had gaps (first half of period) per Azure SOC 2	Medium	Delayed detection of emergency access in CSP estate	Verify and document that Azure break‑glass alerting is enabled across all subscribed tenants; periodic control validation</w:t>
      </w:r>
    </w:p>
    <w:p>
      <w:r>
        <w:t>Key Management	Subservice: Azure secret rotation exceptions (2/26), network device password rotation exceptions (28/39)	Medium	Stale secrets increase exposure	Obtain evidence of remediation and include in vendor monitoring; increase oversight cadence on subservice org control health</w:t>
      </w:r>
    </w:p>
    <w:p>
      <w:r>
        <w:t>BCP/DR	No issues noted in SOC2; plans tested	Low	—	Continue annual tests; include subservice DR dependencies in tabletop exercises</w:t>
      </w:r>
    </w:p>
    <w:p>
      <w:r>
        <w:t>Privacy	No privacy program evidence in provided pack (privacy not in SOC 2 scope)	Low	Stakeholder expectations (DPIA, data rights flows)	Request privacy policy and data subject rights handling documentation; align with customer data processing needs</w:t>
      </w:r>
    </w:p>
    <w:p>
      <w:r>
        <w:t>Training	No explicit note on secure email/mobile use training	Low	User behavior risks	Augment security awareness with secure mobile/email modules; track completion</w:t>
      </w:r>
    </w:p>
    <w:p>
      <w:r>
        <w:t>Physical Security	Carved out to subservice orgs (Equinix/AWS/Azure)	Low	Dependency on colocation/cloud physical controls	Continue annual review of subservice SOC reports and track exceptions</w:t>
      </w:r>
    </w:p>
    <w:p>
      <w:r>
        <w:t>Notes and Evidence Cross‑References</w:t>
      </w:r>
    </w:p>
    <w:p>
      <w:r>
        <w:t>• Logicworks SOC 2 Type 2 (02/01/2022–01/31/2023): Unqualified; controls operating effectively; several controls “not tested” due to no triggering events (e.g., media destruction, incidents) — not exceptions.</w:t>
      </w:r>
    </w:p>
    <w:p>
      <w:r>
        <w:t>• Microsoft Azure SOC 2 Type 2 (04/01/2022–03/31/2023): Unqualified with noted exceptions:</w:t>
      </w:r>
    </w:p>
    <w:p>
      <w:r>
        <w:t>• OA‑15: 28/39 network devices not rotated per cadence.</w:t>
      </w:r>
    </w:p>
    <w:p>
      <w:r>
        <w:t>• OA‑20: Break‑glass alerting not enabled for 2 of 4 domains for part of the period; later remediated.</w:t>
      </w:r>
    </w:p>
    <w:p>
      <w:r>
        <w:t>• DS‑1: 2/26 secrets not rotated per cadence.</w:t>
      </w:r>
    </w:p>
    <w:p>
      <w:r>
        <w:t>• LA‑7: 2/19 offerings had mismatched quotas. Management indicated remediation.</w:t>
      </w:r>
    </w:p>
    <w:p>
      <w:r>
        <w:t>• D3 Information Security Policy (policy-level): NIST‑aligned; passwords 90 days; MFA; VPN controls; backups; encryption TLS 1.2; supports Azure-based hosting. Policy confirms expectations but is not audited evidence.</w:t>
      </w:r>
    </w:p>
    <w:p>
      <w:r>
        <w:t>• Organizational dependencies: Equinix colocation and AWS/Azure platforms (complementary subservice organization controls).</w:t>
      </w:r>
    </w:p>
    <w:p>
      <w:r>
        <w:t>Residual Risk Narrative</w:t>
      </w:r>
    </w:p>
    <w:p>
      <w:r>
        <w:t>Logicworks’ managed cloud controls are strong and operating effectively (SOC 2). The inherent risk is high due to the nature of services (privileged access, multi-tenant cloud dependencies). Subservice organizations (Azure/AWS/Equinix) are appropriately monitored; however, Azure SOC 2 noted several non-critical exceptions (secret rotation, break‑glass alerting for a portion of the period, network device password rotation), which slightly reduce overall control assurance across the full stack. With Mostly Effective controls (95%) and subservice monitoring, residual risk is Medium per Beaconer matrix.</w:t>
      </w:r>
    </w:p>
    <w:p>
      <w:r>
        <w:t>Recommended Follow‑Ups (Vendor Management)</w:t>
      </w:r>
    </w:p>
    <w:p>
      <w:r>
        <w:t>• Obtain and review Azure/AWS current SOC 2 reports each cycle; specifically verify remediation status of prior Azure exceptions and any new exceptions.</w:t>
      </w:r>
    </w:p>
    <w:p>
      <w:r>
        <w:t>• Request explicit attestations from Logicworks on password storage hashing/salting for any local identity stores (or confirm exclusive use of Okta/IdP).</w:t>
      </w:r>
    </w:p>
    <w:p>
      <w:r>
        <w:t>• Confirm and document corporate mobile/email security controls (MDM/MAM) and update training content and policy references.</w:t>
      </w:r>
    </w:p>
    <w:p>
      <w:r>
        <w:t>• Validate that break‑glass alerting is enabled and periodically tested across all managed Azure/AWS tenants.</w:t>
      </w:r>
    </w:p>
    <w:p>
      <w:r>
        <w:t>• Ensure privacy documentation (policy, DSR handling, DPIA approach) is provided if processing personal data under the engagement.</w:t>
      </w:r>
    </w:p>
  </w:body>
</w:document>
</file>