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b1d5182fc74bfe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ChatGPT Response</w:t>
      </w:r>
    </w:p>
    <w:p>
      <w:r>
        <w:t>Rating Summary</w:t>
      </w:r>
    </w:p>
    <w:p>
      <w:r>
        <w:t>• Inherent Risk: High</w:t>
      </w:r>
    </w:p>
    <w:p>
      <w:r>
        <w:t>• Justification: Vendor hosts and processes sensitive customer data (incl. PCI/HIPAA use cases) in cloud databases; has privileged DBA access to client environments; depends on multiple subservice providers (Microsoft Azure, Logicworks, Alert Logic). Business impact of compromise would be significant.</w:t>
      </w:r>
    </w:p>
    <w:p>
      <w:r>
        <w:t>• Control Effectiveness: Partially Effective (~72%)</w:t>
      </w:r>
    </w:p>
    <w:p>
      <w:r>
        <w:t>• Evidence:</w:t>
      </w:r>
    </w:p>
    <w:p>
      <w:r>
        <w:t>• Strong hosting controls evidenced by current unqualified SOC 2 Type 2 reports for Microsoft Azure (Security/Availability/PI/Confidentiality; minor, remediated exceptions) and Logicworks (Security/Availability/Confidentiality).</w:t>
      </w:r>
    </w:p>
    <w:p>
      <w:r>
        <w:t>• Internal policies cover many domains (NIST 800‑30/39/61/63; AES‑256 at rest, TLS 1.2 in transit; SSO/MFA; annual risk assessments).</w:t>
      </w:r>
    </w:p>
    <w:p>
      <w:r>
        <w:t>• But security questionnaire shows material gaps in governance (no designated CISO; no formal risk treatment program), network/device hardening/logging, mobile/MDM, application security (no OWASP/SCA/secure reviews), and privacy safeguards.</w:t>
      </w:r>
    </w:p>
    <w:p>
      <w:r>
        <w:t>• Residual Risk: High</w:t>
      </w:r>
    </w:p>
    <w:p>
      <w:r>
        <w:t>• Reasoning: High inherent risk combined with Partially Effective controls → High (per Beaconer Residual Risk Matrix).</w:t>
      </w:r>
    </w:p>
    <w:p>
      <w:r>
        <w:t>Control Testing Metrics</w:t>
      </w:r>
    </w:p>
    <w:p>
      <w:r>
        <w:t>• % Control Coverage: ~72% (SOC 2 hosting controls fully covered; internal program shows notable gaps across multiple domains)</w:t>
      </w:r>
    </w:p>
    <w:p>
      <w:r>
        <w:t>• Total Gaps Identified: 19</w:t>
      </w:r>
    </w:p>
    <w:p>
      <w:r>
        <w:t>• Total Critical Gaps: 5</w:t>
      </w:r>
    </w:p>
    <w:p>
      <w:r>
        <w:t>• Residual Risk Calculation Explanation: High inherent risk (sensitive data, privileged access, subservice reliance) + Partially Effective internal controls (governance/privacy/appsec/network gaps despite strong hosting SOC 2s) = High residual risk.</w:t>
      </w:r>
    </w:p>
    <w:p>
      <w:r>
        <w:t>Control Testing (Domain Example – Access Control)</w:t>
      </w:r>
    </w:p>
    <w:p>
      <w:r>
        <w:t>Control Question	Vendor Response	Evidence / Notes</w:t>
      </w:r>
    </w:p>
    <w:p>
      <w:r>
        <w:t>Program approved &amp; communicated	Yes	Bellaire/D3 Information Security Policy; Password Guideline (Sept 2022)</w:t>
      </w:r>
    </w:p>
    <w:p>
      <w:r>
        <w:t>Regular access review for all	Yes	Security Questionnaire Q41–42 Yes; DBA access reviewed semi‑annually; weekly log review (D3 policy)</w:t>
      </w:r>
    </w:p>
    <w:p>
      <w:r>
        <w:t>IDs are auto terminated on last day	Yes	Security Questionnaire Q53 Yes; Employee Handbook termination procedures</w:t>
      </w:r>
    </w:p>
    <w:p>
      <w:r>
        <w:t>Segregation of duties	Yes	Security Questionnaire Q52 Yes; D3 policy mandates SoD</w:t>
      </w:r>
    </w:p>
    <w:p>
      <w:r>
        <w:t>Controls for Corporate Email on personal phones	No	Q65 Yes but MDM Q284–285 No; lacking enforced MDM/PIN/encryption</w:t>
      </w:r>
    </w:p>
    <w:p>
      <w:r>
        <w:t>MFA deployed	Yes	D3: SSO with MFA tokens; Questionnaire Q44–45 Yes</w:t>
      </w:r>
    </w:p>
    <w:p>
      <w:r>
        <w:t>Application supports customer SSO	Yes	Questionnaire Q47 Yes (SAML/SSO)</w:t>
      </w:r>
    </w:p>
    <w:p>
      <w:r>
        <w:t>Unique IDs required	Yes	Questionnaire Q48 Yes</w:t>
      </w:r>
    </w:p>
    <w:p>
      <w:r>
        <w:t>Principle of least privilege	Yes	Questionnaire Q50 Yes</w:t>
      </w:r>
    </w:p>
    <w:p>
      <w:r>
        <w:t>Password policy	Yes	Password Guideline (14+ chars, complexity; 6‑month user/quarterly system change); D3 policy notes 90/30 day cadence (inconsistency)</w:t>
      </w:r>
    </w:p>
    <w:p>
      <w:r>
        <w:t>Process to request approval for Access	Yes	Questionnaire Q49 Yes</w:t>
      </w:r>
    </w:p>
    <w:p>
      <w:r>
        <w:t>Password sharing prohibited	Yes	Questionnaire Q56 Yes</w:t>
      </w:r>
    </w:p>
    <w:p>
      <w:r>
        <w:t>Passwords are salted &amp; hashed at storage	No	D3 policy: passwords “encrypted with AES‑256” (encryption ≠ salted hashing); Password Guideline silent on hashing</w:t>
      </w:r>
    </w:p>
    <w:p>
      <w:r>
        <w:t>Gap Analysis</w:t>
      </w:r>
    </w:p>
    <w:p>
      <w:r>
        <w:t>Domain	Issues Identified	Severity (High/Medium/Low)	Risk	Counter Measure</w:t>
      </w:r>
    </w:p>
    <w:p>
      <w:r>
        <w:t>Access Control	Conflicting password rotation (90 days vs 6 months); lack of enforced idle logoff; weak BYOD/MDM; password storage encrypted not salted+hashed	Medium to High	Account compromise; data exposure on lost devices; password database offline cracking	Align policy to 90‑day user / 30‑day admin rotation OR universal MFA; enforce session idle timeout; implement enterprise MDM (PIN, encryption, remote wipe, compliance); use salted, slow hash (bcrypt/Argon2) for stored passwords</w:t>
      </w:r>
    </w:p>
    <w:p>
      <w:r>
        <w:t>Cryptographic Controls	AES‑256/TLS 1.2 in place; Azure secrets rotation exceptions (remediated) but internal password storage uses encryption instead of hash	Medium	Offline credential attacks; key management drift	Adopt salted hashing for credentials; formalize key/secrets rotation SLAs and evidence</w:t>
      </w:r>
    </w:p>
    <w:p>
      <w:r>
        <w:t>Monitoring/Logging	Network device logs “insufficient detail” (Q169 No)	Medium	Incomplete incident reconstruction Implement syslog/NetFlow; define log content (auth, config, ACL hits); 1‑year retention; central SIEM alerts</w:t>
      </w:r>
    </w:p>
    <w:p>
      <w:r>
        <w:t>Incident Response	Program aligned to NIST 800‑61; evidence of tooling	Low	—	Conduct at least annual tabletop; measure MTTA/MTTR; integrate vendor breach notification playbooks</w:t>
      </w:r>
    </w:p>
    <w:p>
      <w:r>
        <w:t>BCP/DR	Strong subservice (Azure/Logicworks SOC 2s); internal program “Yes”	Low	—	Ensure third‑party dependency mapping and failover runbooks; test restore RTO/RPO annually</w:t>
      </w:r>
    </w:p>
    <w:p>
      <w:r>
        <w:t>Privacy	“Business compliant with safeguards to protect personal data”: No (Q125)	Critical	Non‑compliance; regulatory penalties	Stand up privacy program: data mapping, DPIA where applicable, access controls, DSAR workflow, deletion/retention standards, processor DPAs, training; align to GDPR/CCPA where in scope</w:t>
      </w:r>
    </w:p>
    <w:p>
      <w:r>
        <w:t>Training &amp; Governance	No designated CISO (Q13); no formal risk treatment program (Q6)	High	Lack of accountability; unmanaged risks	Appoint CISO (or vCISO); establish ISO‑aligned risk treatment plan with owners, timelines, acceptance criteria; report to leadership quarterly</w:t>
      </w:r>
    </w:p>
    <w:p>
      <w:r>
        <w:t>Network Security	No device hardening standards (Q166 No); network logs insufficient (Q169 No); no wireless controls (Q176 No)	High	Network compromise; lateral movement	Adopt CIS Benchmarks for routers/switches/firewalls; centralized logging; network ACL reviews; implement WPA2‑Enterprise/802.1X or disable corporate Wi‑Fi if unused</w:t>
      </w:r>
    </w:p>
    <w:p>
      <w:r>
        <w:t>Application Security	No OWASP/Secure coding program (Q192 No); no pre‑prod security reviews (Q207 No); no SCA (Q213 No); clients cannot manage API access (Q196 No)	Critical	Injection/XSS/SSRF/Supply‑chain risk; API abuse	Implement SDLC with OWASP ASVS; mandate SAST/DAST/SCA; threat modeling; pre‑prod security gate; API auth (OAuth2/OIDC), rate‑limits, customer role‑based access; logging</w:t>
      </w:r>
    </w:p>
    <w:p>
      <w:r>
        <w:t>Third‑Party Risk Mgmt	No remediation reporting for subcontractors (Q84 No); no third‑party inventory by risk (Q87 No)	Medium	Cascade risk from vendors	Create centralized vendor inventory, tiering; require SOC 2/ISO/pen tests; track issues to closure; right‑to‑audit clauses</w:t>
      </w:r>
    </w:p>
    <w:p>
      <w:r>
        <w:t>Physical Security	Many N/A (remote‑first)	Low	WFM risks	Harden work‑from‑home: encrypted disks, screens, locked rooms, shredding guidance; enforce via MDM</w:t>
      </w:r>
    </w:p>
    <w:p>
      <w:r>
        <w:t>Notes and Evidence Highlights</w:t>
      </w:r>
    </w:p>
    <w:p>
      <w:r>
        <w:t>• Hosting/Subservice assurance: Microsoft Azure SOC 2 Type 2 (Security/Availability/PI/Confidentiality; minor exceptions remediated) and Logicworks SOC 2 Type 2 (Security/Availability/Confidentiality; unqualified).</w:t>
      </w:r>
    </w:p>
    <w:p>
      <w:r>
        <w:t>• Policy baselines: Information Security Policy (NIST 800‑30/39 risk mgmt; NIST 800‑61 IR; encryption TLS 1.2/AES‑256), Password Guideline (14+ chars, complexity; rotation intervals), Security Questionnaire (many “Yes,” key “No” gaps listed above).</w:t>
      </w:r>
    </w:p>
    <w:p>
      <w:r>
        <w:t>• Azure exceptions (for awareness): network device password rotation cadence, break‑glass alerting (part‑period), two secrets not rotated per cadence, quota configs for two services — remediated per report; low residual impact.</w:t>
      </w:r>
    </w:p>
    <w:p>
      <w:r>
        <w:t>Residual Risk Statement</w:t>
      </w:r>
    </w:p>
    <w:p>
      <w:r>
        <w:t>Despite robust cloud hosting controls, current internal control gaps in governance (CISO/risk treatment), privacy safeguards, application security, and network hardening/logging increase the likelihood and impact of incidents. Until these are remediated and evidenced, residual risk remains High.</w:t>
      </w:r>
    </w:p>
    <w:p>
      <w:r>
        <w:t>Recommended Immediate Priorities (next 90 days)</w:t>
      </w:r>
    </w:p>
    <w:p>
      <w:r>
        <w:t>1) Appoint CISO / establish formal risk treatment plan (board‑endorsed).</w:t>
      </w:r>
    </w:p>
    <w:p>
      <w:r>
        <w:t>2) Implement MDM for all mobile/BYOD with enforced policies.</w:t>
      </w:r>
    </w:p>
    <w:p>
      <w:r>
        <w:t>3) Stand up AppSec program (OWASP ASVS, SAST/DAST/SCA, pre‑prod security gate).</w:t>
      </w:r>
    </w:p>
    <w:p>
      <w:r>
        <w:t>4) Convert password storage to salted hashing (bcrypt/Argon2); align rotation; enforce idle lock.</w:t>
      </w:r>
    </w:p>
    <w:p>
      <w:r>
        <w:t>5) Create network hardening/logging standards (CIS baselines; centralized logs).</w:t>
      </w:r>
    </w:p>
    <w:p>
      <w:r>
        <w:t>6) Launch privacy program with documented safeguards and DPIA/DSAR handling.</w:t>
      </w:r>
    </w:p>
    <w:p>
      <w:r>
        <w:t>Longer‑Term (next 6–12 months)</w:t>
      </w:r>
    </w:p>
    <w:p>
      <w:r>
        <w:t>• Mature vendor risk management (inventory, tiering, monitoring).</w:t>
      </w:r>
    </w:p>
    <w:p>
      <w:r>
        <w:t>• Annual IR/BCP exercises with metrics.</w:t>
      </w:r>
    </w:p>
    <w:p>
      <w:r>
        <w:t>• Continuous control monitoring and quarterly risk reporting to leadership.</w:t>
      </w:r>
    </w:p>
  </w:body>
</w:document>
</file>