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8e6c098fb846ba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ChatGPT Response</w:t>
      </w:r>
    </w:p>
    <w:p>
      <w:r>
        <w:t>Below is Beaconer’s third-party risk summary for the vendor based on the provided documents (Security Questionnaire responses, Information Security Policy, Password Guideline, Azure and Logicworks SOC 2 Type 2, Network Diagram, and Privacy materials).</w:t>
      </w:r>
    </w:p>
    <w:p>
      <w:r>
        <w:t>Rating Summary</w:t>
      </w:r>
    </w:p>
    <w:p>
      <w:r>
        <w:t>• Inherent Risk: High</w:t>
      </w:r>
    </w:p>
    <w:p>
      <w:r>
        <w:t>• Justification: Vendor processes/hosts PI/SPI and supports DSARs/GDPR (Questionnaire: Yes to PI/SPI processing, encryption at rest/in transit, DSARs, right to be forgotten). Cloud-hosted on Microsoft Azure and supported by Logicworks—both SOC 2 Type 2. Multiple integrations (e.g., Bullhorn, HubSpot, Gmail, LinkedIn) and use of subservice providers. Material business impact if compromised.</w:t>
      </w:r>
    </w:p>
    <w:p>
      <w:r>
        <w:t>• Control Effectiveness: Partially Effective (≈60%)</w:t>
      </w:r>
    </w:p>
    <w:p>
      <w:r>
        <w:t>• Justification: Strong infrastructure controls covered by Azure and Logicworks SOC 2s; however, significant control gaps exist in the vendor’s own program (no CISO; weak risk treatment governance; gaps in network hardening, wireless security, MDM, application security, vendor-risk inventory, and some crypto/key management practices).</w:t>
      </w:r>
    </w:p>
    <w:p>
      <w:r>
        <w:t>• Residual Risk: High</w:t>
      </w:r>
    </w:p>
    <w:p>
      <w:r>
        <w:t>• Reasoning (Matrix): High Inherent + Partially Effective → High</w:t>
      </w:r>
    </w:p>
    <w:p>
      <w:r>
        <w:t>Control Testing Metrics</w:t>
      </w:r>
    </w:p>
    <w:p>
      <w:r>
        <w:t>• % Control Coverage: ~60%</w:t>
      </w:r>
    </w:p>
    <w:p>
      <w:r>
        <w:t>• Basis: Extensive “Yes” answers across many domains; Azure/Logicworks controls are audited (SOC 2); however, many “No” responses in the vendor questionnaire materially reduce coverage across Access, Network Security, AppSec, Mobile/MDM, DR, and Vendor Mgmt.</w:t>
      </w:r>
    </w:p>
    <w:p>
      <w:r>
        <w:t>• Total Gaps Identified: 18</w:t>
      </w:r>
    </w:p>
    <w:p>
      <w:r>
        <w:t>• Total Critical Gaps (High Severity): 10</w:t>
      </w:r>
    </w:p>
    <w:p>
      <w:r>
        <w:t>• Residual Risk Calculation Explanation: Given the vendor handles PI/SPI with multi-cloud integrations and relies on subservice providers, inherent risk is high. While Azure/Logicworks SOC 2s evidence strong infra/security practices, the vendor’s control gaps (risk governance, CISO, network hardening/logging, wireless, MDM, key mgmt segregation, app security pipeline, DR testing) reduce overall effectiveness to “Partially Effective,” resulting in High residual risk per Beaconer matrix.</w:t>
      </w:r>
    </w:p>
    <w:p>
      <w:r>
        <w:t>Section 3: Control Testing (Access Control Domain)</w:t>
      </w:r>
    </w:p>
    <w:p>
      <w:r>
        <w:t>Control Question	Vendor Response	Evidence / Notes</w:t>
      </w:r>
    </w:p>
    <w:p>
      <w:r>
        <w:t>Program approved &amp; communicated	Yes	Questionnaire Q39; Information Security Policy in place</w:t>
      </w:r>
    </w:p>
    <w:p>
      <w:r>
        <w:t>Regular access review for all	Yes	Q41/Q42: periodic access reviews and privileged reviews</w:t>
      </w:r>
    </w:p>
    <w:p>
      <w:r>
        <w:t>IDs are auto terminated on last day	Yes	Q53: terminated IDs disabled on last day</w:t>
      </w:r>
    </w:p>
    <w:p>
      <w:r>
        <w:t>Segregation of duties	Yes	Q52: SOD for granting/approving access</w:t>
      </w:r>
    </w:p>
    <w:p>
      <w:r>
        <w:t>Controls for Corporate Email on personal phones	No	Q65 Yes but MDM controls are “No” (Q284-286) → control is insufficient; treat as No</w:t>
      </w:r>
    </w:p>
    <w:p>
      <w:r>
        <w:t>MFA deployed	Yes	Q44/Q45: MFA deployed incl. privileged access</w:t>
      </w:r>
    </w:p>
    <w:p>
      <w:r>
        <w:t>Application supports customer SSO	Yes	Q47: supports SAML/OpenID/SSO</w:t>
      </w:r>
    </w:p>
    <w:p>
      <w:r>
        <w:t>Unique IDs required	Yes	Q48</w:t>
      </w:r>
    </w:p>
    <w:p>
      <w:r>
        <w:t>Principle of least privilege	Yes	Q50</w:t>
      </w:r>
    </w:p>
    <w:p>
      <w:r>
        <w:t>Password policy	Yes	Password Guideline (≥14 chars, rotation: 6 months user, quarterly system)</w:t>
      </w:r>
    </w:p>
    <w:p>
      <w:r>
        <w:t>Process to request approval for Access	Yes	Q49</w:t>
      </w:r>
    </w:p>
    <w:p>
      <w:r>
        <w:t>Password sharing prohibited	Yes	Q56</w:t>
      </w:r>
    </w:p>
    <w:p>
      <w:r>
        <w:t>Passwords are salted &amp; hashed at storage	Yes	Q63</w:t>
      </w:r>
    </w:p>
    <w:p>
      <w:r>
        <w:t>Section 4: Gap Analysis</w:t>
      </w:r>
    </w:p>
    <w:p>
      <w:r>
        <w:t>Domain	Issues Identified	Severity (High/Medium/Low)	Risk	Counter Measure</w:t>
      </w:r>
    </w:p>
    <w:p>
      <w:r>
        <w:t>Risk Governance	No formal risk treatment program (Q6); No designated CISO (Q13)	High	Lack of accountable ownership; unmanaged risks	Establish ERM-aligned risk treatment program; appoint a CISO with charter and authority</w:t>
      </w:r>
    </w:p>
    <w:p>
      <w:r>
        <w:t>Access Control	No enforced session logoff policy (Q54); Acceptance of unencrypted password record not prohibited (Q61)	Medium	Credential persistence; local disclosure risk	Enforce idle session lockouts; explicitly prohibit any plaintext password storage</w:t>
      </w:r>
    </w:p>
    <w:p>
      <w:r>
        <w:t>Asset Mgmt	No process to verify return of assets on termination (Q71)	Medium	Data leakage via unreturned assets	Implement asset return checklist with HR/IT clearance gates</w:t>
      </w:r>
    </w:p>
    <w:p>
      <w:r>
        <w:t>Vendor Risk Mgmt	No remediation reporting for subcontractor issues (Q84); No third-party inventory (Q87)	High	Blind spots in supply-chain risks	Implement third-party inventory &amp; tiering; log/remediate supplier findings; require attestations (SOC2/ISO)</w:t>
      </w:r>
    </w:p>
    <w:p>
      <w:r>
        <w:t>Network Security	No hardening standards for network devices (Q166); Insufficient network device log detail (Q169); Wireless controls not implemented (Q176)	High	Unauthorized access, undetected lateral movement	Publish and enforce hardened baselines (CIS); enable detailed device logging; implement WPA2/3-Enterprise and NAC; periodic config reviews</w:t>
      </w:r>
    </w:p>
    <w:p>
      <w:r>
        <w:t>Mobile/MDM	No BYOD MDM (Q284), no technical enforcement for PIN/encryption/remote wipe (Q285)	High	Loss/theft → data compromise	Deploy MDM/UEM for all mobile endpoints; enforce device encryption, screen lock, remote wipe</w:t>
      </w:r>
    </w:p>
    <w:p>
      <w:r>
        <w:t>DR/BCP	Production data centers not included in DR tests (Q147)	Medium	Unproven resilience	Include production-like failover scenarios; document RTO/RPO results</w:t>
      </w:r>
    </w:p>
    <w:p>
      <w:r>
        <w:t>Cryptography/Key Mgmt	No SoD for key mgmt vs. ops (Q237)	High	Key misuse risk	Segregate HSM/KMS admin from ops; enforce dual control; log/audit key ops</w:t>
      </w:r>
    </w:p>
    <w:p>
      <w:r>
        <w:t>Data Lifecycle	No data retention/destruction process covering subcontractors (Q244)	Medium	Data over-retention with vendors	Add subcontractor obligations for retention/destruction; audit adherence</w:t>
      </w:r>
    </w:p>
    <w:p>
      <w:r>
        <w:t>Application Security	No pre-prod security review testing (Q207); No SCA (Q213); Clients cannot manage API access (Q196)	High	Injection/Supply-chain vulnerabilities; excessive API exposure	Institute SDL gates: SAST/DAST/SCA; threat modeling; API gateway with RBAC &amp; customer-managed keys/tokens; secure-by-default configs</w:t>
      </w:r>
    </w:p>
    <w:p>
      <w:r>
        <w:t>Containers	Clients cannot restrict container usage on sensitive systems (Q292)	Medium	Container sprawl risk	Define container policy; label sensitive workloads; enforce admission controls/OPA policies</w:t>
      </w:r>
    </w:p>
    <w:p>
      <w:r>
        <w:t>Wireless Security	Wireless network controls “No” (Q176)	High	Rogue/WEP/WPA risks	Enforce enterprise Wi-Fi (802.1X), segmentation, WIPS/WIDS</w:t>
      </w:r>
    </w:p>
    <w:p>
      <w:r>
        <w:t>Privacy	Gaps mostly addressed; ensure subcontractor DPIAs and cross-border notices align with practices	Medium	Data transfer and processor duties	Extend DPIA to subprocessors; ensure DPA/SSC terms with all vendors; map data flows</w:t>
      </w:r>
    </w:p>
    <w:p>
      <w:r>
        <w:t>Training	Security awareness present; ensure secure SDLC training for devs	Low	Developer mistakes	Provide annual secure coding/AppSec training with OWASP Top 10</w:t>
      </w:r>
    </w:p>
    <w:p>
      <w:r>
        <w:t>Physical Security	Delegated to subservice (Azure/Logicworks SOC 2)	Low	Facility risks covered	Continue annual SOC report reviews, track exceptions</w:t>
      </w:r>
    </w:p>
    <w:p>
      <w:r>
        <w:t>Notes and Evidence Highlights</w:t>
      </w:r>
    </w:p>
    <w:p>
      <w:r>
        <w:t>• Strong Infra Posture: Microsoft Azure (SOC 2 Type 2; multiple regions; encryption in transit TLS 1.2+, at-rest AES-256; key mgmt, SIEM/logging; DR/BCP) and Logicworks (SOC 2 Type 2; Security/Availability/Confidentiality; vulnerability mgmt; IDS; backup/replication; BCM/DR).</w:t>
      </w:r>
    </w:p>
    <w:p>
      <w:r>
        <w:t>• Vendor Policies: Information Security Policy exists; Password Guideline requires ≥14 characters; rotation: 6 months user / quarterly system; encourages passphrases and MFA.</w:t>
      </w:r>
    </w:p>
    <w:p>
      <w:r>
        <w:t>• Major Gaps from Questionnaire: Absent CISO; no formal risk treatment; several “No” answers in Network Security (hardening/wireless/logging), MDM/UEM, AppSec (SCA, pre-prod security testing), DR scope, vendor risk inventory and subcontractor remediation tracking, key mgmt SoD, data retention/destruction coverage for subcontractors.</w:t>
      </w:r>
    </w:p>
    <w:p>
      <w:r>
        <w:t>Recommended Remediation Plan (Priority)</w:t>
      </w:r>
    </w:p>
    <w:p>
      <w:r>
        <w:t>1) Governance: Appoint CISO; formalize risk treatment program and third-party risk inventory; quarterly risk committee.</w:t>
      </w:r>
    </w:p>
    <w:p>
      <w:r>
        <w:t>2) Endpoint/MDM: Roll out MDM/UEM across all mobile endpoints; enforce encryption, PIN, remote wipe; restrict corporate email to managed devices.</w:t>
      </w:r>
    </w:p>
    <w:p>
      <w:r>
        <w:t>3) Network/Wireless: Implement device hardening baselines (CIS), detailed device logging, and WPA2/3-Enterprise with NAC; periodic audits.</w:t>
      </w:r>
    </w:p>
    <w:p>
      <w:r>
        <w:t>4) AppSec Pipeline: Mandate SDL gates (SAST/DAST/SCA), pre-prod security reviews, API gateway RBAC/SSO, and customer-managed API controls.</w:t>
      </w:r>
    </w:p>
    <w:p>
      <w:r>
        <w:t>5) Crypto/Key Mgmt: Enforce SoD and dual-control for KMS/HSM with auditable logs.</w:t>
      </w:r>
    </w:p>
    <w:p>
      <w:r>
        <w:t>6) DR/BCP: Expand DR testing to include production-like failover; track RTO/RPO.</w:t>
      </w:r>
    </w:p>
    <w:p>
      <w:r>
        <w:t>7) Data Lifecycle &amp; Vendors: Extend retention/destruction obligations to subcontractors; track remediation reporting for supplier issues.</w:t>
      </w:r>
    </w:p>
    <w:p>
      <w:r>
        <w:t>This assessment reflects the current documentation and responses provided. Strengthening the identified gaps—especially governance, MDM, network hardening, and AppSec—should materially reduce residual risk from High to Medium.</w:t>
      </w:r>
    </w:p>
  </w:body>
</w:document>
</file>