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21f7d8f92148ad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Rating Summary</w:t>
      </w:r>
    </w:p>
    <w:p>
      <w:r>
        <w:t>• Inherent Risk: High — The vendor processes confidential and potentially PI/SPI data (questionnaire sections Privacy 107–134 and Data Security 230–255), operates production workloads in public cloud (Azure) and with a managed cloud provider (Logicworks), and relies on multiple subservice organizations (Azure, Equinix/Logicworks). Business impact appears material based on breadth of services (managed cloud ops, data handling), external integrations, and presence of AI and API exposure.</w:t>
      </w:r>
    </w:p>
    <w:p>
      <w:r>
        <w:t>• Control Effectiveness: Partially Effective (≈65%) — Policies exist (Information Security Policy, Password Guideline, Employee Handbook), and many questionnaire controls are marked “Yes.” However, multiple critical gaps remain across network security, mobile/BYOD, privacy safeguards, device return on termination, vulnerability management (SCA), and logging. Azure/Logicworks SOC 2 Type 2 reports are unqualified with minor exceptions, but they do not remediate the vendor’s own control gaps.</w:t>
      </w:r>
    </w:p>
    <w:p>
      <w:r>
        <w:t>• Residual Risk: High — Using Beaconer matrix: High Inherent + Partially Effective = High.</w:t>
      </w:r>
    </w:p>
    <w:p>
      <w:r>
        <w:t>Control Testing Metrics</w:t>
      </w:r>
    </w:p>
    <w:p>
      <w:r>
        <w:t>• % Control Coverage: ≈65% (based on SOC 2 attestations for subservice providers and the vendor’s questionnaire; substantial “Yes” responses but with notable “No/N/A” in key domains)</w:t>
      </w:r>
    </w:p>
    <w:p>
      <w:r>
        <w:t>• Total Gaps Identified: 14</w:t>
      </w:r>
    </w:p>
    <w:p>
      <w:r>
        <w:t>• Total Critical Gaps: 6</w:t>
      </w:r>
    </w:p>
    <w:p>
      <w:r>
        <w:t>• Residual Risk Calculation Explanation: Inherent risk is High due to processing PI/SPI and critical service reliance on cloud/subservices. Control posture is Partially Effective given multiple High/Medium findings in Access, Network, Mobile, Privacy, and Monitoring. Per Beaconer matrix, Residual Risk remains High.</w:t>
      </w:r>
    </w:p>
    <w:p>
      <w:r>
        <w:t>Subservice reports (strengths/limitations)</w:t>
      </w:r>
    </w:p>
    <w:p>
      <w:r>
        <w:t>• Microsoft Azure SOC 2 Type 2 (Apr 1, 2022–Mar 31, 2023): Unqualified opinion; exceptions included untimely rotation of certain network device passwords, missing break-glass alerting for part of the period, two secrets not rotated timely, quota configs missing for 2 offerings. Overall controls effective.</w:t>
      </w:r>
    </w:p>
    <w:p>
      <w:r>
        <w:t>• Logicworks SOC 2 Type 2 (Feb 1, 2022–Jan 31, 2023): Unqualified opinion; controls effective across Security, Availability, Confidentiality.</w:t>
      </w:r>
    </w:p>
    <w:p>
      <w:r>
        <w:t>Control Testing (Domain Example – Access Control)</w:t>
      </w:r>
    </w:p>
    <w:p>
      <w:r>
        <w:t>Control Question	Vendor Response	Evidence / Notes</w:t>
      </w:r>
    </w:p>
    <w:p>
      <w:r>
        <w:t>Program approved &amp; communicated	Yes	Information Security Policy; Employee Handbook; Questionnaire Q33–35</w:t>
      </w:r>
    </w:p>
    <w:p>
      <w:r>
        <w:t>Regular access review for all	Yes	Q41 “procedure to review access” = Yes; Q42 privileged access reviews = Yes</w:t>
      </w:r>
    </w:p>
    <w:p>
      <w:r>
        <w:t>IDs are auto terminated on last day	Yes	Q53 “IDs of terminated employees disabled on last day” = Yes (Note: asset return gap at Q71)</w:t>
      </w:r>
    </w:p>
    <w:p>
      <w:r>
        <w:t>Segregation of duties	Yes	Q52 segregation of duties = Yes</w:t>
      </w:r>
    </w:p>
    <w:p>
      <w:r>
        <w:t>Controls for Corporate Email on personal phones	Yes	Q65 “controls for users accessing corporate email on mobile devices” = Yes (but MDM/BYOD gaps below)</w:t>
      </w:r>
    </w:p>
    <w:p>
      <w:r>
        <w:t>MFA deployed	Yes	Q44 MFA deployed = Yes; Q45 MFA for privileged = Yes</w:t>
      </w:r>
    </w:p>
    <w:p>
      <w:r>
        <w:t>Application supports customer SSO	Yes	Q47 federated ID (SAML/OpenID/SSO) = Yes</w:t>
      </w:r>
    </w:p>
    <w:p>
      <w:r>
        <w:t>Unique IDs required	Yes	Q48 = Yes</w:t>
      </w:r>
    </w:p>
    <w:p>
      <w:r>
        <w:t>Principle of least privilege	Yes	Q50 = Yes</w:t>
      </w:r>
    </w:p>
    <w:p>
      <w:r>
        <w:t>Password policy	Yes	Password Guideline; Q57–60 “min length/complexity; prohibit PIN alone”</w:t>
      </w:r>
    </w:p>
    <w:p>
      <w:r>
        <w:t>Process to request approval for Access	Yes	Q49 approvals required = Yes</w:t>
      </w:r>
    </w:p>
    <w:p>
      <w:r>
        <w:t>Password sharing prohibited	Yes	Q56 = Yes</w:t>
      </w:r>
    </w:p>
    <w:p>
      <w:r>
        <w:t>Passwords are salted &amp; hashed at storage	No	Information Security Policy states AES-256 encrypted at rest for passwords; no evidence of salted hashing for credentials (security best practice is salted hashing, not reversible encryption)</w:t>
      </w:r>
    </w:p>
    <w:p>
      <w:r>
        <w:t>Gap Analysis</w:t>
      </w:r>
    </w:p>
    <w:p>
      <w:r>
        <w:t>Domain	Issues Identified	Severity (High/Medium/Low)	Risk	Counter Measure</w:t>
      </w:r>
    </w:p>
    <w:p>
      <w:r>
        <w:t>Access Control	No evidence of salted+hashed password storage for auth secrets (AES encryption noted)	High	Credential compromise could expose reversible passwords	Adopt modern password hashing (Argon2id/bcrypt/scrypt with salt), rotate all affected credentials, vault secrets</w:t>
      </w:r>
    </w:p>
    <w:p>
      <w:r>
        <w:t>Access Control	System auto-logoff policy not enforced (Q54 = No)	Medium	Session hijack risk	Implement idle timeout and session lock policies across endpoints and critical apps</w:t>
      </w:r>
    </w:p>
    <w:p>
      <w:r>
        <w:t>Asset Management	No process to verify return of assets on termination (Q71 = No)	Medium	Data leakage from unreturned devices	Formalize offboarding checklist; track device return; perform remote wipe where applicable</w:t>
      </w:r>
    </w:p>
    <w:p>
      <w:r>
        <w:t>Network Security	No published hardening standards for network devices (Q166 = No); insufficient detail in device logs (Q169 = No)	High	Increased likelihood of misconfig and undetected network attacks	Adopt CIS benchmarks; centralize device logging with sufficient detail; periodic config reviews</w:t>
      </w:r>
    </w:p>
    <w:p>
      <w:r>
        <w:t>Network Security	Wireless network controls not implemented (Q176 = No)	Medium	Unauthorized access via Wi‑Fi	Implement WPA3-Enterprise, NAC, segmentation, and rogue AP detection</w:t>
      </w:r>
    </w:p>
    <w:p>
      <w:r>
        <w:t>Network Security	Remote admin approvals/logging marked N/A (Q180)	Medium	Gaps in governance of remote admin	Define and enforce approved remote admin pathways; log and review sessions (e.g., bastion + session recording)</w:t>
      </w:r>
    </w:p>
    <w:p>
      <w:r>
        <w:t>Mobile/BYOD	BYOD not under MDM; no technical enforcement of PIN/encryption/remote wipe (Q284–285 = No)	High	Data exfiltration via unmanaged mobile endpoints	Deploy MDM (Intune/Workspace ONE); enforce MFA, device encryption, screen lock, remote wipe, jailbreak/root detection</w:t>
      </w:r>
    </w:p>
    <w:p>
      <w:r>
        <w:t>Application Security	Software composition analysis (SCA) not performed (Q213 = No)	High	Supply chain vulnerabilities persist	Integrate SCA (e.g., Snyk/Dependabot/GitLab SCA) in CI/CD; define remediation SLAs</w:t>
      </w:r>
    </w:p>
    <w:p>
      <w:r>
        <w:t>Application Security	Pre‑prod security reviews lack testing procedures (Q207 = No)	Medium	Undetected vulns reach prod	Define AppSec gates (SAST/DAST/SCA) with sign‑offs pre‑prod</w:t>
      </w:r>
    </w:p>
    <w:p>
      <w:r>
        <w:t>API Security	Client-managed API access not supported (Q196 = No)	Medium	Overbroad API exposure	Introduce API gateway with per‑client keys/OAuth scopes; rate limiting, logging</w:t>
      </w:r>
    </w:p>
    <w:p>
      <w:r>
        <w:t>Monitoring/Logging	Network device logs lack sufficient detail (Q169 = No)	Medium	Reduced detect/response capability	Increase log verbosity; centralize SIEM; define detection use-cases</w:t>
      </w:r>
    </w:p>
    <w:p>
      <w:r>
        <w:t>Privacy/Safeguards	Administrative/technical/physical safeguards to protect personal data marked “No” (Q125)	High	Regulatory non‑compliance (e.g., GDPR/CCPA)	Establish and document safeguards (encryption, access controls, DPIAs, DLP, privacy-by-design); perform gap assessment to applicable laws</w:t>
      </w:r>
    </w:p>
    <w:p>
      <w:r>
        <w:t>Third‑Party Risk	No remediation reporting for subcontractor issues (Q84 = No); no third‑party inventory based on risk (Q87 = No)	Medium	Supply chain blind spots	Create third‑party inventory with tiering; track subcontractor issues; integrate into vendor risk management</w:t>
      </w:r>
    </w:p>
    <w:p>
      <w:r>
        <w:t>BCP/DR	Prod data center tests not included (Q147 = No)	Medium	Incomplete DR assurance	Include prod DC failover tests/simulations; document RTO/RPO results</w:t>
      </w:r>
    </w:p>
    <w:p>
      <w:r>
        <w:t>Password Management	Retention of plaintext/unprotected passwords not prohibited (Q61 = No)	High	Password disclosure risk	Document and enforce prohibition; deploy enterprise password manager with audit; disable “remember password” in apps</w:t>
      </w:r>
    </w:p>
    <w:p>
      <w:r>
        <w:t>Additional Observations</w:t>
      </w:r>
    </w:p>
    <w:p>
      <w:r>
        <w:t>• Policies and governance: Information Security Policy (2021) and Password Guideline (2022) are present and reference strong practices (NIST 800-63 passphrases, 14-char min, AES-256/TLS 1.2, MFA). Ensure these policies are tailored to the current organization (some sections appear templated from D3 Security; validate ownership and scope).</w:t>
      </w:r>
    </w:p>
    <w:p>
      <w:r>
        <w:t>• Privacy Policy: Provided policy appears to be SailPoint’s (dated Oct 6, 2023) and not vendor-specific; this does not constitute the vendor’s privacy notice. Action: Publish an organization-specific privacy notice, data map, DSAR process, and data processing terms.</w:t>
      </w:r>
    </w:p>
    <w:p>
      <w:r>
        <w:t>• Network Diagram: Very high-level; lacks segmentation, trust zones, ingress/egress, identity flows, and controls. Action: Produce an updated detailed diagram to support reviews and audits.</w:t>
      </w:r>
    </w:p>
    <w:p>
      <w:r>
        <w:t>Recommended Remediation Roadmap (prioritized)</w:t>
      </w:r>
    </w:p>
    <w:p>
      <w:r>
        <w:t>1. Privacy and Safeguards: Establish documented administrative/technical/physical safeguards; finalize organization-specific privacy notice and DPIA process; map data flows and retention. (High)</w:t>
      </w:r>
    </w:p>
    <w:p>
      <w:r>
        <w:t>2. Identity &amp; Secret Management: Migrate password storage to salted+hashed; rotate credentials; ensure break-glass processes and alerting (learn from Azure SOC 2 exceptions). (High)</w:t>
      </w:r>
    </w:p>
    <w:p>
      <w:r>
        <w:t>3. BYOD/MDM: Enforce MDM with MFA, encryption, and remote wipe for any endpoint accessing corporate email or data. (High)</w:t>
      </w:r>
    </w:p>
    <w:p>
      <w:r>
        <w:t>4. Network Security Baselines: Adopt network device hardening, enable detailed logging, implement wireless controls, and document remote admin procedures. (High)</w:t>
      </w:r>
    </w:p>
    <w:p>
      <w:r>
        <w:t>5. Secure SDLC: Implement SCA in CI/CD; enforce pre‑prod security testing and approvals. (High)</w:t>
      </w:r>
    </w:p>
    <w:p>
      <w:r>
        <w:t>6. Asset Offboarding: Enforce device return and remote wipe at termination; reconcile in asset CMDB. (Medium)</w:t>
      </w:r>
    </w:p>
    <w:p>
      <w:r>
        <w:t>7. Third‑Party Risk: Build third‑party inventory with risk classification; track remediation for subcontractor issues. (Medium)</w:t>
      </w:r>
    </w:p>
    <w:p>
      <w:r>
        <w:t>8. BCP/DR: Include production failover exercises and report outcomes. (Medium)</w:t>
      </w:r>
    </w:p>
    <w:p>
      <w:r>
        <w:t>Notes on Evidence</w:t>
      </w:r>
    </w:p>
    <w:p>
      <w:r>
        <w:t>• SOC 2 Subservice Orgs: Microsoft Azure SOC 2 Type 2; Logicworks SOC 2 Type 2 (strong posture with minor exceptions). These cover cloud platform controls but do not address the vendor’s internal gaps.</w:t>
      </w:r>
    </w:p>
    <w:p>
      <w:r>
        <w:t>• Vendor Questionnaire: Multiple “Yes” responses support existence of controls; however, explicit “No/NA” responses signal material gaps summarized above.</w:t>
      </w:r>
    </w:p>
    <w:p>
      <w:r>
        <w:t>• Policies: Password Guideline (Sept 2022) requires 14 characters and 6‑month user rotation; InfoSec Policy requires 90 days user/30 days admin—harmonize policy requirements and implement technical enforcement.</w:t>
      </w:r>
    </w:p>
    <w:p>
      <w:r>
        <w:t>Final Beaconer Ratings</w:t>
      </w:r>
    </w:p>
    <w:p>
      <w:r>
        <w:t>• Inherent Risk: High — Processes sensitive data; SaaS/API exposure; dependency on Azure/Logicworks; potential high business impact.</w:t>
      </w:r>
    </w:p>
    <w:p>
      <w:r>
        <w:t>• Control Effectiveness: Partially Effective (≈65% coverage) — Policies exist and many controls are in place; however, several critical deficiencies persist across privacy, network security, mobile/endpoint security, and secrets management.</w:t>
      </w:r>
    </w:p>
    <w:p>
      <w:r>
        <w:t>• Residual Risk: High — Per matrix (High Inherent + Partially Effective = High).</w:t>
      </w:r>
    </w:p>
  </w:body>
</w:document>
</file>