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Password Guideline</w:t>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b w:val="1"/>
          <w:rtl w:val="0"/>
        </w:rPr>
        <w:t xml:space="preserve">Last Update Status:</w:t>
      </w:r>
      <w:r w:rsidDel="00000000" w:rsidR="00000000" w:rsidRPr="00000000">
        <w:rPr>
          <w:rFonts w:ascii="Arial" w:cs="Arial" w:eastAsia="Arial" w:hAnsi="Arial"/>
          <w:i w:val="1"/>
          <w:rtl w:val="0"/>
        </w:rPr>
        <w:t xml:space="preserve"> Updated September 2022</w:t>
      </w:r>
      <w:r w:rsidDel="00000000" w:rsidR="00000000" w:rsidRPr="00000000">
        <w:rPr>
          <w:rtl w:val="0"/>
        </w:rPr>
      </w:r>
    </w:p>
    <w:p w:rsidR="00000000" w:rsidDel="00000000" w:rsidP="00000000" w:rsidRDefault="00000000" w:rsidRPr="00000000" w14:paraId="00000003">
      <w:pPr>
        <w:pStyle w:val="Heading1"/>
        <w:pageBreakBefore w:val="0"/>
        <w:spacing w:before="0" w:lineRule="auto"/>
        <w:rPr/>
      </w:pPr>
      <w:r w:rsidDel="00000000" w:rsidR="00000000" w:rsidRPr="00000000">
        <w:rPr>
          <w:rtl w:val="0"/>
        </w:rPr>
        <w:t xml:space="preserve">1.0 Overview</w:t>
      </w:r>
    </w:p>
    <w:p w:rsidR="00000000" w:rsidDel="00000000" w:rsidP="00000000" w:rsidRDefault="00000000" w:rsidRPr="00000000" w14:paraId="00000004">
      <w:pPr>
        <w:pageBreakBefore w:val="0"/>
        <w:rPr/>
      </w:pPr>
      <w:r w:rsidDel="00000000" w:rsidR="00000000" w:rsidRPr="00000000">
        <w:rPr>
          <w:rtl w:val="0"/>
        </w:rPr>
        <w:t xml:space="preserve">Passwords are a critical component of information security. Passwords serve to protect user accounts and company resources.  However, a poorly constructed password may result in the compromise of individual/company systems, data, or network.  </w:t>
      </w:r>
    </w:p>
    <w:p w:rsidR="00000000" w:rsidDel="00000000" w:rsidP="00000000" w:rsidRDefault="00000000" w:rsidRPr="00000000" w14:paraId="00000005">
      <w:pPr>
        <w:pStyle w:val="Heading1"/>
        <w:pageBreakBefore w:val="0"/>
        <w:spacing w:before="0" w:lineRule="auto"/>
        <w:rPr/>
      </w:pPr>
      <w:r w:rsidDel="00000000" w:rsidR="00000000" w:rsidRPr="00000000">
        <w:rPr>
          <w:rtl w:val="0"/>
        </w:rPr>
        <w:t xml:space="preserve">2.0 Purpose</w:t>
      </w:r>
    </w:p>
    <w:p w:rsidR="00000000" w:rsidDel="00000000" w:rsidP="00000000" w:rsidRDefault="00000000" w:rsidRPr="00000000" w14:paraId="00000006">
      <w:pPr>
        <w:pageBreakBefore w:val="0"/>
        <w:rPr/>
      </w:pPr>
      <w:r w:rsidDel="00000000" w:rsidR="00000000" w:rsidRPr="00000000">
        <w:rPr>
          <w:rtl w:val="0"/>
        </w:rPr>
        <w:t xml:space="preserve">The purpose of this policy is to provide best practices for the creation of strong passwords, the protection of those passwords, and the frequency of change.</w:t>
      </w:r>
    </w:p>
    <w:p w:rsidR="00000000" w:rsidDel="00000000" w:rsidP="00000000" w:rsidRDefault="00000000" w:rsidRPr="00000000" w14:paraId="00000007">
      <w:pPr>
        <w:pStyle w:val="Heading1"/>
        <w:pageBreakBefore w:val="0"/>
        <w:spacing w:before="0" w:lineRule="auto"/>
        <w:rPr/>
      </w:pPr>
      <w:r w:rsidDel="00000000" w:rsidR="00000000" w:rsidRPr="00000000">
        <w:rPr>
          <w:rtl w:val="0"/>
        </w:rPr>
        <w:t xml:space="preserve">3.0 Scope</w:t>
      </w:r>
    </w:p>
    <w:p w:rsidR="00000000" w:rsidDel="00000000" w:rsidP="00000000" w:rsidRDefault="00000000" w:rsidRPr="00000000" w14:paraId="00000008">
      <w:pPr>
        <w:pageBreakBefore w:val="0"/>
        <w:rPr/>
      </w:pPr>
      <w:r w:rsidDel="00000000" w:rsidR="00000000" w:rsidRPr="00000000">
        <w:rPr>
          <w:rtl w:val="0"/>
        </w:rPr>
        <w:t xml:space="preserve">The scope of this policy applies to employees, contractors, consultants, temporary and other workers, including all personnel affiliated with third parties.  This policy applies to all passwords including but not limited to user-level accounts, system-level accounts, web accounts, email accounts, screen saver protection, voicemail, and local router logins.</w:t>
      </w:r>
    </w:p>
    <w:p w:rsidR="00000000" w:rsidDel="00000000" w:rsidP="00000000" w:rsidRDefault="00000000" w:rsidRPr="00000000" w14:paraId="00000009">
      <w:pPr>
        <w:pStyle w:val="Heading1"/>
        <w:pageBreakBefore w:val="0"/>
        <w:spacing w:before="0" w:lineRule="auto"/>
        <w:rPr/>
      </w:pPr>
      <w:r w:rsidDel="00000000" w:rsidR="00000000" w:rsidRPr="00000000">
        <w:rPr>
          <w:rtl w:val="0"/>
        </w:rPr>
        <w:t xml:space="preserve">4.0 Policy</w:t>
      </w:r>
    </w:p>
    <w:p w:rsidR="00000000" w:rsidDel="00000000" w:rsidP="00000000" w:rsidRDefault="00000000" w:rsidRPr="00000000" w14:paraId="0000000A">
      <w:pPr>
        <w:pStyle w:val="Heading1"/>
        <w:pageBreakBefore w:val="0"/>
        <w:spacing w:before="0" w:lineRule="auto"/>
        <w:rPr/>
      </w:pPr>
      <w:r w:rsidDel="00000000" w:rsidR="00000000" w:rsidRPr="00000000">
        <w:rPr>
          <w:rtl w:val="0"/>
        </w:rPr>
        <w:t xml:space="preserve">4.1 General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system level passwords (e.g., root, enable, Windows Administrator, application administration accounts, etc.) must be changed on at least a quarterly basis.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user-level passwords (e.g., email, web, desktop computer, etc.) must be changed at least every six months.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user-level and system-level passwords must conform to the guidelines described below.</w:t>
      </w:r>
    </w:p>
    <w:p w:rsidR="00000000" w:rsidDel="00000000" w:rsidP="00000000" w:rsidRDefault="00000000" w:rsidRPr="00000000" w14:paraId="0000000E">
      <w:pPr>
        <w:pStyle w:val="Heading1"/>
        <w:pageBreakBefore w:val="0"/>
        <w:spacing w:before="0" w:lineRule="auto"/>
        <w:rPr/>
      </w:pPr>
      <w:r w:rsidDel="00000000" w:rsidR="00000000" w:rsidRPr="00000000">
        <w:rPr>
          <w:rtl w:val="0"/>
        </w:rPr>
        <w:t xml:space="preserve">4.2 Guidelines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A. General Password Construction Guidelines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users at CIBR Ready should be aware of how to select strong passwords.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0" w:line="240" w:lineRule="auto"/>
        <w:rPr>
          <w:rFonts w:ascii="Times" w:cs="Times" w:eastAsia="Times" w:hAnsi="Times"/>
          <w:color w:val="000000"/>
        </w:rPr>
      </w:pPr>
      <w:r w:rsidDel="00000000" w:rsidR="00000000" w:rsidRPr="00000000">
        <w:rPr>
          <w:color w:val="000000"/>
          <w:rtl w:val="0"/>
        </w:rPr>
        <w:t xml:space="preserve">Strong passwords are long. The more characters you have the stronger the password.  We recommend a minimum of 14 characters in your password.  In addition, we highly encourage the use of passphrases and passwords made up of multiple words.  Examples include but are not limited to “</w:t>
      </w:r>
      <w:r w:rsidDel="00000000" w:rsidR="00000000" w:rsidRPr="00000000">
        <w:rPr>
          <w:i w:val="1"/>
          <w:color w:val="000000"/>
          <w:rtl w:val="0"/>
        </w:rPr>
        <w:t xml:space="preserve">It’s time for a much-needed vacation</w:t>
      </w:r>
      <w:r w:rsidDel="00000000" w:rsidR="00000000" w:rsidRPr="00000000">
        <w:rPr>
          <w:color w:val="000000"/>
          <w:rtl w:val="0"/>
        </w:rPr>
        <w:t xml:space="preserve">” and the password could be “It4@MnVa” or “!T4aMnV@” or some other variation.  This password does not meet the minimum characters and is only used as an example.  Passphrases are both easy to remember and type.  They will also meet the strength requirements</w:t>
      </w:r>
      <w:r w:rsidDel="00000000" w:rsidR="00000000" w:rsidRPr="00000000">
        <w:rPr>
          <w:rFonts w:ascii="Times" w:cs="Times" w:eastAsia="Times" w:hAnsi="Times"/>
          <w:color w:val="000000"/>
          <w:rtl w:val="0"/>
        </w:rPr>
        <w:t xml:space="preserve">.  Strong passwords have the following characteristics: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0" w:line="240" w:lineRule="auto"/>
        <w:rPr>
          <w:rFonts w:ascii="Times" w:cs="Times" w:eastAsia="Times" w:hAnsi="Times"/>
          <w:color w:val="0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 fourteen characters or more.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41"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 at least three of the five following character classes: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Lower case characters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Upper case characters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Punctuation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Special Characters (e.g., @#$%^&amp;*()_+ etc)</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0" w:line="240" w:lineRule="auto"/>
        <w:rPr>
          <w:rFonts w:ascii="Times" w:cs="Times" w:eastAsia="Times" w:hAnsi="Times"/>
          <w:color w:val="00000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0"/>
          <w:szCs w:val="20"/>
        </w:rPr>
      </w:pPr>
      <w:r w:rsidDel="00000000" w:rsidR="00000000" w:rsidRPr="00000000">
        <w:rPr>
          <w:rFonts w:ascii="Times" w:cs="Times" w:eastAsia="Times" w:hAnsi="Times"/>
          <w:color w:val="000000"/>
          <w:rtl w:val="0"/>
        </w:rPr>
        <w:t xml:space="preserve">Poor, or weak, passwords have the following characteristics:</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color w:val="000000"/>
          <w:rtl w:val="0"/>
        </w:rPr>
        <w:t xml:space="preserve">Contain eight characters or less.</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color w:val="000000"/>
          <w:rtl w:val="0"/>
        </w:rPr>
        <w:t xml:space="preserve">Contain personal information such as birthdates, addresses, phone numbers, or names of family members, pets, friends, and fantasy characters.</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color w:val="000000"/>
          <w:rtl w:val="0"/>
        </w:rPr>
        <w:t xml:space="preserve">Contain number and letter patterns such as aaabbb, qwerty, zyxwvuts, or 123321, etc.</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pacing w:after="0" w:line="240" w:lineRule="auto"/>
        <w:ind w:left="1080" w:hanging="360"/>
        <w:rPr>
          <w:color w:val="000000"/>
        </w:rPr>
      </w:pPr>
      <w:r w:rsidDel="00000000" w:rsidR="00000000" w:rsidRPr="00000000">
        <w:rPr>
          <w:color w:val="000000"/>
          <w:rtl w:val="0"/>
        </w:rPr>
        <w:t xml:space="preserve">Any of the above spelled backwards.</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pacing w:after="280" w:line="240" w:lineRule="auto"/>
        <w:ind w:left="1080" w:hanging="360"/>
        <w:rPr>
          <w:color w:val="000000"/>
        </w:rPr>
      </w:pPr>
      <w:r w:rsidDel="00000000" w:rsidR="00000000" w:rsidRPr="00000000">
        <w:rPr>
          <w:color w:val="000000"/>
          <w:rtl w:val="0"/>
        </w:rPr>
        <w:t xml:space="preserve">Are some versions of “Welcome123” “Password123” “Changeme123”</w:t>
      </w:r>
    </w:p>
    <w:p w:rsidR="00000000" w:rsidDel="00000000" w:rsidP="00000000" w:rsidRDefault="00000000" w:rsidRPr="00000000" w14:paraId="00000024">
      <w:pPr>
        <w:pageBreakBefore w:val="0"/>
        <w:spacing w:after="280" w:before="280" w:line="240" w:lineRule="auto"/>
        <w:rPr/>
      </w:pPr>
      <w:r w:rsidDel="00000000" w:rsidR="00000000" w:rsidRPr="00000000">
        <w:rPr>
          <w:rtl w:val="0"/>
        </w:rPr>
        <w:t xml:space="preserve">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rsidR="00000000" w:rsidDel="00000000" w:rsidP="00000000" w:rsidRDefault="00000000" w:rsidRPr="00000000" w14:paraId="00000025">
      <w:pPr>
        <w:pageBreakBefore w:val="0"/>
        <w:spacing w:after="280" w:before="280" w:line="240" w:lineRule="auto"/>
        <w:rPr>
          <w:b w:val="1"/>
        </w:rPr>
      </w:pPr>
      <w:r w:rsidDel="00000000" w:rsidR="00000000" w:rsidRPr="00000000">
        <w:rPr>
          <w:b w:val="1"/>
          <w:rtl w:val="0"/>
        </w:rPr>
        <w:t xml:space="preserve">B. Password Protection Standards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different passwords for CIBR Ready accounts from other non CIBR Ready access (e.g., personal ISP account, option trading, benefits, etc.).</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use different passwords for various CIBR Ready access needs whenever possible.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share CIBR Ready passwords with anyone, including administrative assistants.  All passwords are to be treated as sensitive, confidential CIBR Ready information.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reveal passwords in email, chat, or other electronic communication.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speak about a password in front of others.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hint at the format of a password (e.g., “my military affiliation”)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reveal a password on questionnaires or security forms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decline the use of the “Remember Password” features of applications (e.g., Outlook, Google, Messenger).</w:t>
      </w:r>
    </w:p>
    <w:p w:rsidR="00000000" w:rsidDel="00000000" w:rsidP="00000000" w:rsidRDefault="00000000" w:rsidRPr="00000000" w14:paraId="0000002E">
      <w:pPr>
        <w:pageBreakBefore w:val="0"/>
        <w:spacing w:after="280" w:before="280" w:line="240" w:lineRule="auto"/>
        <w:rPr/>
      </w:pPr>
      <w:r w:rsidDel="00000000" w:rsidR="00000000" w:rsidRPr="00000000">
        <w:rPr>
          <w:rtl w:val="0"/>
        </w:rPr>
        <w:t xml:space="preserve">If an account or password compromise is suspected, report the incident to the Information Security team.</w:t>
      </w:r>
    </w:p>
    <w:p w:rsidR="00000000" w:rsidDel="00000000" w:rsidP="00000000" w:rsidRDefault="00000000" w:rsidRPr="00000000" w14:paraId="0000002F">
      <w:pPr>
        <w:pStyle w:val="Heading1"/>
        <w:pageBreakBefore w:val="0"/>
        <w:spacing w:before="0" w:lineRule="auto"/>
        <w:rPr/>
      </w:pPr>
      <w:r w:rsidDel="00000000" w:rsidR="00000000" w:rsidRPr="00000000">
        <w:rPr>
          <w:rtl w:val="0"/>
        </w:rPr>
        <w:t xml:space="preserve">5.0 Compliance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Fonts w:ascii="Cambria" w:cs="Cambria" w:eastAsia="Cambria" w:hAnsi="Cambria"/>
          <w:b w:val="1"/>
          <w:color w:val="366091"/>
          <w:sz w:val="28"/>
          <w:szCs w:val="28"/>
          <w:rtl w:val="0"/>
        </w:rPr>
        <w:t xml:space="preserve">5.1</w:t>
      </w:r>
      <w:r w:rsidDel="00000000" w:rsidR="00000000" w:rsidRPr="00000000">
        <w:rPr>
          <w:color w:val="000000"/>
          <w:rtl w:val="0"/>
        </w:rPr>
        <w:t xml:space="preserve"> </w:t>
      </w:r>
      <w:r w:rsidDel="00000000" w:rsidR="00000000" w:rsidRPr="00000000">
        <w:rPr>
          <w:rFonts w:ascii="Cambria" w:cs="Cambria" w:eastAsia="Cambria" w:hAnsi="Cambria"/>
          <w:b w:val="1"/>
          <w:color w:val="366091"/>
          <w:sz w:val="28"/>
          <w:szCs w:val="28"/>
          <w:rtl w:val="0"/>
        </w:rPr>
        <w:t xml:space="preserve">Compliance Measurement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Information Security team will verify compliance to this policy through various methods, including but not limited to, periodic walk-throughs, video monitoring, business tool reports, internal and external audits, and feedback to the policy owner. </w:t>
      </w:r>
    </w:p>
    <w:p w:rsidR="00000000" w:rsidDel="00000000" w:rsidP="00000000" w:rsidRDefault="00000000" w:rsidRPr="00000000" w14:paraId="00000032">
      <w:pPr>
        <w:pStyle w:val="Heading1"/>
        <w:pageBreakBefore w:val="0"/>
        <w:rPr/>
      </w:pPr>
      <w:r w:rsidDel="00000000" w:rsidR="00000000" w:rsidRPr="00000000">
        <w:rPr>
          <w:rtl w:val="0"/>
        </w:rPr>
        <w:t xml:space="preserve">5.2 Exceptions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Any exception to the policy must be approved by the Information Security team in advance. </w:t>
      </w:r>
    </w:p>
    <w:p w:rsidR="00000000" w:rsidDel="00000000" w:rsidP="00000000" w:rsidRDefault="00000000" w:rsidRPr="00000000" w14:paraId="00000034">
      <w:pPr>
        <w:pStyle w:val="Heading1"/>
        <w:pageBreakBefore w:val="0"/>
        <w:rPr/>
      </w:pPr>
      <w:r w:rsidDel="00000000" w:rsidR="00000000" w:rsidRPr="00000000">
        <w:rPr>
          <w:rtl w:val="0"/>
        </w:rPr>
        <w:t xml:space="preserve">5.3 Non-Compliance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Any employee found to have violated this policy may be subject to disciplinary action, up to and including termination of employment.  </w:t>
      </w:r>
    </w:p>
    <w:p w:rsidR="00000000" w:rsidDel="00000000" w:rsidP="00000000" w:rsidRDefault="00000000" w:rsidRPr="00000000" w14:paraId="00000036">
      <w:pPr>
        <w:pStyle w:val="Heading1"/>
        <w:pageBreakBefore w:val="0"/>
        <w:rPr/>
      </w:pPr>
      <w:r w:rsidDel="00000000" w:rsidR="00000000" w:rsidRPr="00000000">
        <w:rPr>
          <w:rtl w:val="0"/>
        </w:rPr>
        <w:t xml:space="preserve">6.0 Related Standards, Policies and Processes</w:t>
      </w:r>
    </w:p>
    <w:p w:rsidR="00000000" w:rsidDel="00000000" w:rsidP="00000000" w:rsidRDefault="00000000" w:rsidRPr="00000000" w14:paraId="00000037">
      <w:pPr>
        <w:pageBreakBefore w:val="0"/>
        <w:rPr/>
      </w:pPr>
      <w:r w:rsidDel="00000000" w:rsidR="00000000" w:rsidRPr="00000000">
        <w:rPr>
          <w:rtl w:val="0"/>
        </w:rPr>
        <w:t xml:space="preserve">None.</w:t>
      </w:r>
    </w:p>
    <w:p w:rsidR="00000000" w:rsidDel="00000000" w:rsidP="00000000" w:rsidRDefault="00000000" w:rsidRPr="00000000" w14:paraId="00000038">
      <w:pPr>
        <w:pStyle w:val="Heading1"/>
        <w:pageBreakBefore w:val="0"/>
        <w:spacing w:before="0" w:lineRule="auto"/>
        <w:rPr/>
      </w:pPr>
      <w:r w:rsidDel="00000000" w:rsidR="00000000" w:rsidRPr="00000000">
        <w:rPr>
          <w:rtl w:val="0"/>
        </w:rPr>
        <w:t xml:space="preserve">7.0 Definitions and Terms</w:t>
      </w:r>
    </w:p>
    <w:p w:rsidR="00000000" w:rsidDel="00000000" w:rsidP="00000000" w:rsidRDefault="00000000" w:rsidRPr="00000000" w14:paraId="00000039">
      <w:pPr>
        <w:pageBreakBefore w:val="0"/>
        <w:rPr/>
      </w:pPr>
      <w:r w:rsidDel="00000000" w:rsidR="00000000" w:rsidRPr="00000000">
        <w:rPr>
          <w:rtl w:val="0"/>
        </w:rPr>
        <w:t xml:space="preserve">None.</w:t>
      </w:r>
    </w:p>
    <w:p w:rsidR="00000000" w:rsidDel="00000000" w:rsidP="00000000" w:rsidRDefault="00000000" w:rsidRPr="00000000" w14:paraId="0000003A">
      <w:pPr>
        <w:pStyle w:val="Heading1"/>
        <w:pageBreakBefore w:val="0"/>
        <w:spacing w:before="0" w:lineRule="auto"/>
        <w:rPr/>
      </w:pPr>
      <w:r w:rsidDel="00000000" w:rsidR="00000000" w:rsidRPr="00000000">
        <w:rPr>
          <w:rtl w:val="0"/>
        </w:rPr>
        <w:t xml:space="preserve">8.0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08"/>
        <w:gridCol w:w="2340"/>
        <w:gridCol w:w="5328"/>
        <w:tblGridChange w:id="0">
          <w:tblGrid>
            <w:gridCol w:w="1908"/>
            <w:gridCol w:w="2340"/>
            <w:gridCol w:w="5328"/>
          </w:tblGrid>
        </w:tblGridChange>
      </w:tblGrid>
      <w:tr>
        <w:trPr>
          <w:cantSplit w:val="0"/>
          <w:trHeight w:val="448" w:hRule="atLeast"/>
          <w:tblHeader w:val="0"/>
        </w:trPr>
        <w:tc>
          <w:tcPr>
            <w:tcBorders>
              <w:top w:color="000000" w:space="0" w:sz="0" w:val="nil"/>
              <w:left w:color="000000" w:space="0" w:sz="0" w:val="nil"/>
              <w:bottom w:color="000000" w:space="0" w:sz="0" w:val="nil"/>
            </w:tcBorders>
            <w:shd w:fill="auto" w:val="clear"/>
          </w:tcPr>
          <w:p w:rsidR="00000000" w:rsidDel="00000000" w:rsidP="00000000" w:rsidRDefault="00000000" w:rsidRPr="00000000" w14:paraId="0000003B">
            <w:pPr>
              <w:pStyle w:val="Heading1"/>
              <w:pageBreakBefore w:val="0"/>
              <w:rPr>
                <w:color w:val="000000"/>
                <w:sz w:val="24"/>
                <w:szCs w:val="24"/>
              </w:rPr>
            </w:pPr>
            <w:r w:rsidDel="00000000" w:rsidR="00000000" w:rsidRPr="00000000">
              <w:rPr>
                <w:b w:val="1"/>
                <w:color w:val="000000"/>
                <w:sz w:val="24"/>
                <w:szCs w:val="24"/>
                <w:rtl w:val="0"/>
              </w:rPr>
              <w:t xml:space="preserve">Date of Change</w:t>
            </w: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03C">
            <w:pPr>
              <w:pStyle w:val="Heading1"/>
              <w:pageBreakBefore w:val="0"/>
              <w:rPr>
                <w:color w:val="000000"/>
                <w:sz w:val="24"/>
                <w:szCs w:val="24"/>
              </w:rPr>
            </w:pPr>
            <w:r w:rsidDel="00000000" w:rsidR="00000000" w:rsidRPr="00000000">
              <w:rPr>
                <w:b w:val="1"/>
                <w:color w:val="000000"/>
                <w:sz w:val="24"/>
                <w:szCs w:val="24"/>
                <w:rtl w:val="0"/>
              </w:rPr>
              <w:t xml:space="preserve">Responsible</w:t>
            </w:r>
            <w:r w:rsidDel="00000000" w:rsidR="00000000" w:rsidRPr="00000000">
              <w:rPr>
                <w:rtl w:val="0"/>
              </w:rPr>
            </w:r>
          </w:p>
        </w:tc>
        <w:tc>
          <w:tcPr>
            <w:tcBorders>
              <w:top w:color="000000" w:space="0" w:sz="0" w:val="nil"/>
              <w:bottom w:color="000000" w:space="0" w:sz="0" w:val="nil"/>
              <w:right w:color="000000" w:space="0" w:sz="0" w:val="nil"/>
            </w:tcBorders>
            <w:shd w:fill="auto" w:val="clear"/>
          </w:tcPr>
          <w:p w:rsidR="00000000" w:rsidDel="00000000" w:rsidP="00000000" w:rsidRDefault="00000000" w:rsidRPr="00000000" w14:paraId="0000003D">
            <w:pPr>
              <w:pStyle w:val="Heading1"/>
              <w:pageBreakBefore w:val="0"/>
              <w:rPr>
                <w:color w:val="000000"/>
                <w:sz w:val="24"/>
                <w:szCs w:val="24"/>
              </w:rPr>
            </w:pPr>
            <w:r w:rsidDel="00000000" w:rsidR="00000000" w:rsidRPr="00000000">
              <w:rPr>
                <w:b w:val="1"/>
                <w:color w:val="000000"/>
                <w:sz w:val="24"/>
                <w:szCs w:val="24"/>
                <w:rtl w:val="0"/>
              </w:rPr>
              <w:t xml:space="preserve">Summary of Change</w:t>
            </w:r>
            <w:r w:rsidDel="00000000" w:rsidR="00000000" w:rsidRPr="00000000">
              <w:rPr>
                <w:rtl w:val="0"/>
              </w:rPr>
            </w:r>
          </w:p>
        </w:tc>
      </w:tr>
      <w:tr>
        <w:trPr>
          <w:cantSplit w:val="0"/>
          <w:trHeight w:val="665" w:hRule="atLeast"/>
          <w:tblHeader w:val="0"/>
        </w:trPr>
        <w:tc>
          <w:tcPr>
            <w:tcBorders>
              <w:bottom w:color="000000" w:space="0" w:sz="4" w:val="single"/>
            </w:tcBorders>
            <w:shd w:fill="auto" w:val="clear"/>
          </w:tcPr>
          <w:p w:rsidR="00000000" w:rsidDel="00000000" w:rsidP="00000000" w:rsidRDefault="00000000" w:rsidRPr="00000000" w14:paraId="0000003E">
            <w:pPr>
              <w:pStyle w:val="Heading1"/>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December  2020</w:t>
            </w:r>
          </w:p>
        </w:tc>
        <w:tc>
          <w:tcPr>
            <w:tcBorders>
              <w:bottom w:color="000000" w:space="0" w:sz="4" w:val="single"/>
            </w:tcBorders>
            <w:shd w:fill="auto" w:val="clear"/>
          </w:tcPr>
          <w:p w:rsidR="00000000" w:rsidDel="00000000" w:rsidP="00000000" w:rsidRDefault="00000000" w:rsidRPr="00000000" w14:paraId="0000003F">
            <w:pPr>
              <w:pStyle w:val="Heading1"/>
              <w:pageBreakBefore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 Cox</w:t>
            </w:r>
          </w:p>
        </w:tc>
        <w:tc>
          <w:tcPr>
            <w:tcBorders>
              <w:bottom w:color="000000" w:space="0" w:sz="4" w:val="single"/>
            </w:tcBorders>
            <w:shd w:fill="auto" w:val="clear"/>
          </w:tcPr>
          <w:p w:rsidR="00000000" w:rsidDel="00000000" w:rsidP="00000000" w:rsidRDefault="00000000" w:rsidRPr="00000000" w14:paraId="00000040">
            <w:pPr>
              <w:pStyle w:val="Heading1"/>
              <w:pageBreakBefore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1st </w:t>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Draft</w:t>
            </w:r>
          </w:p>
        </w:tc>
      </w:tr>
      <w:tr>
        <w:trPr>
          <w:cantSplit w:val="0"/>
          <w:trHeight w:val="485" w:hRule="atLeast"/>
          <w:tblHeader w:val="0"/>
        </w:trPr>
        <w:tc>
          <w:tcPr>
            <w:tcBorders>
              <w:right w:color="000000" w:space="0" w:sz="4" w:val="single"/>
            </w:tcBorders>
            <w:shd w:fill="auto" w:val="clear"/>
          </w:tcPr>
          <w:p w:rsidR="00000000" w:rsidDel="00000000" w:rsidP="00000000" w:rsidRDefault="00000000" w:rsidRPr="00000000" w14:paraId="00000041">
            <w:pPr>
              <w:pStyle w:val="Heading1"/>
              <w:pageBreakBefore w:val="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March 2021</w:t>
            </w:r>
          </w:p>
        </w:tc>
        <w:tc>
          <w:tcPr>
            <w:tcBorders>
              <w:left w:color="000000" w:space="0" w:sz="4" w:val="single"/>
              <w:right w:color="000000" w:space="0" w:sz="4" w:val="single"/>
            </w:tcBorders>
            <w:shd w:fill="auto" w:val="clear"/>
          </w:tcPr>
          <w:p w:rsidR="00000000" w:rsidDel="00000000" w:rsidP="00000000" w:rsidRDefault="00000000" w:rsidRPr="00000000" w14:paraId="00000042">
            <w:pPr>
              <w:pStyle w:val="Heading1"/>
              <w:pageBreakBefore w:val="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P. Clark</w:t>
            </w:r>
          </w:p>
        </w:tc>
        <w:tc>
          <w:tcPr>
            <w:tcBorders>
              <w:left w:color="000000" w:space="0" w:sz="4" w:val="single"/>
            </w:tcBorders>
            <w:shd w:fill="auto" w:val="clear"/>
          </w:tcPr>
          <w:p w:rsidR="00000000" w:rsidDel="00000000" w:rsidP="00000000" w:rsidRDefault="00000000" w:rsidRPr="00000000" w14:paraId="00000043">
            <w:pPr>
              <w:pStyle w:val="Heading1"/>
              <w:pageBreakBefore w:val="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2nd Draft </w:t>
            </w:r>
          </w:p>
        </w:tc>
      </w:tr>
      <w:tr>
        <w:trPr>
          <w:cantSplit w:val="0"/>
          <w:trHeight w:val="485" w:hRule="atLeast"/>
          <w:tblHeader w:val="0"/>
        </w:trPr>
        <w:tc>
          <w:tcPr>
            <w:tcBorders>
              <w:right w:color="000000" w:space="0" w:sz="4" w:val="single"/>
            </w:tcBorders>
            <w:shd w:fill="auto" w:val="clear"/>
          </w:tcPr>
          <w:p w:rsidR="00000000" w:rsidDel="00000000" w:rsidP="00000000" w:rsidRDefault="00000000" w:rsidRPr="00000000" w14:paraId="00000044">
            <w:pPr>
              <w:pStyle w:val="Heading1"/>
              <w:pageBreakBefore w:val="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September 2022</w:t>
            </w:r>
          </w:p>
        </w:tc>
        <w:tc>
          <w:tcPr>
            <w:tcBorders>
              <w:left w:color="000000" w:space="0" w:sz="4" w:val="single"/>
              <w:right w:color="000000" w:space="0" w:sz="4" w:val="single"/>
            </w:tcBorders>
            <w:shd w:fill="auto" w:val="clear"/>
          </w:tcPr>
          <w:p w:rsidR="00000000" w:rsidDel="00000000" w:rsidP="00000000" w:rsidRDefault="00000000" w:rsidRPr="00000000" w14:paraId="00000045">
            <w:pPr>
              <w:pStyle w:val="Heading1"/>
              <w:pageBreakBefore w:val="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S. Galati</w:t>
            </w:r>
          </w:p>
        </w:tc>
        <w:tc>
          <w:tcPr>
            <w:tcBorders>
              <w:left w:color="000000" w:space="0" w:sz="4" w:val="single"/>
            </w:tcBorders>
            <w:shd w:fill="auto" w:val="clear"/>
          </w:tcPr>
          <w:p w:rsidR="00000000" w:rsidDel="00000000" w:rsidP="00000000" w:rsidRDefault="00000000" w:rsidRPr="00000000" w14:paraId="00000046">
            <w:pPr>
              <w:pStyle w:val="Heading1"/>
              <w:pageBreakBefore w:val="0"/>
              <w:rPr>
                <w:rFonts w:ascii="Times" w:cs="Times" w:eastAsia="Times" w:hAnsi="Times"/>
                <w:b w:val="0"/>
                <w:color w:val="000000"/>
                <w:sz w:val="24"/>
                <w:szCs w:val="24"/>
              </w:rPr>
            </w:pPr>
            <w:r w:rsidDel="00000000" w:rsidR="00000000" w:rsidRPr="00000000">
              <w:rPr>
                <w:rFonts w:ascii="Times" w:cs="Times" w:eastAsia="Times" w:hAnsi="Times"/>
                <w:b w:val="0"/>
                <w:color w:val="000000"/>
                <w:sz w:val="24"/>
                <w:szCs w:val="24"/>
                <w:rtl w:val="0"/>
              </w:rPr>
              <w:t xml:space="preserve">3rd Draft</w:t>
            </w:r>
          </w:p>
        </w:tc>
      </w:tr>
    </w:tbl>
    <w:p w:rsidR="00000000" w:rsidDel="00000000" w:rsidP="00000000" w:rsidRDefault="00000000" w:rsidRPr="00000000" w14:paraId="00000047">
      <w:pPr>
        <w:pageBreakBefore w:val="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Verdana"/>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color="622423" w:space="1" w:sz="24" w:val="single"/>
        <w:left w:space="0" w:sz="0" w:val="nil"/>
        <w:bottom w:space="0" w:sz="0" w:val="nil"/>
        <w:right w:space="0" w:sz="0" w:val="nil"/>
        <w:between w:space="0" w:sz="0" w:val="nil"/>
      </w:pBdr>
      <w:tabs>
        <w:tab w:val="center" w:pos="4680"/>
        <w:tab w:val="right" w:pos="9360"/>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CIBR </w:t>
    </w:r>
    <w:r w:rsidDel="00000000" w:rsidR="00000000" w:rsidRPr="00000000">
      <w:rPr>
        <w:rFonts w:ascii="Cambria" w:cs="Cambria" w:eastAsia="Cambria" w:hAnsi="Cambria"/>
        <w:rtl w:val="0"/>
      </w:rPr>
      <w:t xml:space="preserve">INC</w:t>
    </w:r>
    <w:r w:rsidDel="00000000" w:rsidR="00000000" w:rsidRPr="00000000">
      <w:rPr>
        <w:rFonts w:ascii="Cambria" w:cs="Cambria" w:eastAsia="Cambria" w:hAnsi="Cambria"/>
        <w:color w:val="000000"/>
        <w:rtl w:val="0"/>
      </w:rPr>
      <w:t xml:space="preserve"> 2021 – All Rights ReservedPage </w:t>
    </w: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rFonts w:ascii="Verdana" w:cs="Verdana" w:eastAsia="Verdana" w:hAnsi="Verdana"/>
        <w:color w:val="000000"/>
      </w:rPr>
    </w:pPr>
    <w:r w:rsidDel="00000000" w:rsidR="00000000" w:rsidRPr="00000000">
      <w:rPr/>
      <w:drawing>
        <wp:inline distB="114300" distT="114300" distL="114300" distR="114300">
          <wp:extent cx="1033463" cy="10334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3463"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41" w:hanging="360.00000000000006"/>
      </w:pPr>
      <w:rPr>
        <w:rFonts w:ascii="Noto Sans Symbols" w:cs="Noto Sans Symbols" w:eastAsia="Noto Sans Symbols" w:hAnsi="Noto Sans Symbols"/>
      </w:rPr>
    </w:lvl>
    <w:lvl w:ilvl="1">
      <w:start w:val="1"/>
      <w:numFmt w:val="bullet"/>
      <w:lvlText w:val="o"/>
      <w:lvlJc w:val="left"/>
      <w:pPr>
        <w:ind w:left="1561" w:hanging="360"/>
      </w:pPr>
      <w:rPr>
        <w:rFonts w:ascii="Courier New" w:cs="Courier New" w:eastAsia="Courier New" w:hAnsi="Courier New"/>
      </w:rPr>
    </w:lvl>
    <w:lvl w:ilvl="2">
      <w:start w:val="1"/>
      <w:numFmt w:val="bullet"/>
      <w:lvlText w:val="▪"/>
      <w:lvlJc w:val="left"/>
      <w:pPr>
        <w:ind w:left="2281" w:hanging="360"/>
      </w:pPr>
      <w:rPr>
        <w:rFonts w:ascii="Noto Sans Symbols" w:cs="Noto Sans Symbols" w:eastAsia="Noto Sans Symbols" w:hAnsi="Noto Sans Symbols"/>
      </w:rPr>
    </w:lvl>
    <w:lvl w:ilvl="3">
      <w:start w:val="1"/>
      <w:numFmt w:val="bullet"/>
      <w:lvlText w:val="●"/>
      <w:lvlJc w:val="left"/>
      <w:pPr>
        <w:ind w:left="3001" w:hanging="360"/>
      </w:pPr>
      <w:rPr>
        <w:rFonts w:ascii="Noto Sans Symbols" w:cs="Noto Sans Symbols" w:eastAsia="Noto Sans Symbols" w:hAnsi="Noto Sans Symbols"/>
      </w:rPr>
    </w:lvl>
    <w:lvl w:ilvl="4">
      <w:start w:val="1"/>
      <w:numFmt w:val="bullet"/>
      <w:lvlText w:val="o"/>
      <w:lvlJc w:val="left"/>
      <w:pPr>
        <w:ind w:left="3721" w:hanging="360"/>
      </w:pPr>
      <w:rPr>
        <w:rFonts w:ascii="Courier New" w:cs="Courier New" w:eastAsia="Courier New" w:hAnsi="Courier New"/>
      </w:rPr>
    </w:lvl>
    <w:lvl w:ilvl="5">
      <w:start w:val="1"/>
      <w:numFmt w:val="bullet"/>
      <w:lvlText w:val="▪"/>
      <w:lvlJc w:val="left"/>
      <w:pPr>
        <w:ind w:left="4441" w:hanging="360"/>
      </w:pPr>
      <w:rPr>
        <w:rFonts w:ascii="Noto Sans Symbols" w:cs="Noto Sans Symbols" w:eastAsia="Noto Sans Symbols" w:hAnsi="Noto Sans Symbols"/>
      </w:rPr>
    </w:lvl>
    <w:lvl w:ilvl="6">
      <w:start w:val="1"/>
      <w:numFmt w:val="bullet"/>
      <w:lvlText w:val="●"/>
      <w:lvlJc w:val="left"/>
      <w:pPr>
        <w:ind w:left="5161" w:hanging="360"/>
      </w:pPr>
      <w:rPr>
        <w:rFonts w:ascii="Noto Sans Symbols" w:cs="Noto Sans Symbols" w:eastAsia="Noto Sans Symbols" w:hAnsi="Noto Sans Symbols"/>
      </w:rPr>
    </w:lvl>
    <w:lvl w:ilvl="7">
      <w:start w:val="1"/>
      <w:numFmt w:val="bullet"/>
      <w:lvlText w:val="o"/>
      <w:lvlJc w:val="left"/>
      <w:pPr>
        <w:ind w:left="5881" w:hanging="360"/>
      </w:pPr>
      <w:rPr>
        <w:rFonts w:ascii="Courier New" w:cs="Courier New" w:eastAsia="Courier New" w:hAnsi="Courier New"/>
      </w:rPr>
    </w:lvl>
    <w:lvl w:ilvl="8">
      <w:start w:val="1"/>
      <w:numFmt w:val="bullet"/>
      <w:lvlText w:val="▪"/>
      <w:lvlJc w:val="left"/>
      <w:pPr>
        <w:ind w:left="6601" w:hanging="360"/>
      </w:pPr>
      <w:rPr>
        <w:rFonts w:ascii="Noto Sans Symbols" w:cs="Noto Sans Symbols" w:eastAsia="Noto Sans Symbols" w:hAnsi="Noto Sans Symbols"/>
      </w:rPr>
    </w:lvl>
  </w:abstractNum>
  <w:abstractNum w:abstractNumId="4">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96A66"/>
  </w:style>
  <w:style w:type="paragraph" w:styleId="Heading1">
    <w:name w:val="heading 1"/>
    <w:basedOn w:val="Normal"/>
    <w:next w:val="Normal"/>
    <w:link w:val="Heading1Char"/>
    <w:uiPriority w:val="9"/>
    <w:qFormat w:val="1"/>
    <w:rsid w:val="00C72E22"/>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2E4BBC"/>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66487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487F"/>
    <w:rPr>
      <w:rFonts w:ascii="Tahoma" w:cs="Tahoma" w:hAnsi="Tahoma"/>
      <w:sz w:val="16"/>
      <w:szCs w:val="16"/>
    </w:rPr>
  </w:style>
  <w:style w:type="paragraph" w:styleId="Header">
    <w:name w:val="header"/>
    <w:basedOn w:val="Normal"/>
    <w:link w:val="HeaderChar"/>
    <w:uiPriority w:val="99"/>
    <w:unhideWhenUsed w:val="1"/>
    <w:rsid w:val="0066487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87F"/>
  </w:style>
  <w:style w:type="paragraph" w:styleId="Footer">
    <w:name w:val="footer"/>
    <w:basedOn w:val="Normal"/>
    <w:link w:val="FooterChar"/>
    <w:uiPriority w:val="99"/>
    <w:unhideWhenUsed w:val="1"/>
    <w:rsid w:val="0066487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87F"/>
  </w:style>
  <w:style w:type="character" w:styleId="Hyperlink">
    <w:name w:val="Hyperlink"/>
    <w:basedOn w:val="DefaultParagraphFont"/>
    <w:uiPriority w:val="99"/>
    <w:unhideWhenUsed w:val="1"/>
    <w:rsid w:val="00104D6B"/>
    <w:rPr>
      <w:color w:val="0000ff" w:themeColor="hyperlink"/>
      <w:u w:val="single"/>
    </w:rPr>
  </w:style>
  <w:style w:type="character" w:styleId="Heading1Char" w:customStyle="1">
    <w:name w:val="Heading 1 Char"/>
    <w:basedOn w:val="DefaultParagraphFont"/>
    <w:link w:val="Heading1"/>
    <w:uiPriority w:val="9"/>
    <w:rsid w:val="00C72E22"/>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C72E22"/>
    <w:pPr>
      <w:ind w:left="720"/>
      <w:contextualSpacing w:val="1"/>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paragraph" w:styleId="PlainText">
    <w:name w:val="Plain Text"/>
    <w:basedOn w:val="Normal"/>
    <w:link w:val="PlainTextChar"/>
    <w:rsid w:val="002E4BBC"/>
    <w:pPr>
      <w:spacing w:after="0" w:line="240" w:lineRule="auto"/>
    </w:pPr>
    <w:rPr>
      <w:rFonts w:ascii="Courier New" w:cs="Courier New" w:hAnsi="Courier New"/>
      <w:sz w:val="20"/>
      <w:szCs w:val="20"/>
    </w:rPr>
  </w:style>
  <w:style w:type="character" w:styleId="PlainTextChar" w:customStyle="1">
    <w:name w:val="Plain Text Char"/>
    <w:basedOn w:val="DefaultParagraphFont"/>
    <w:link w:val="PlainText"/>
    <w:rsid w:val="002E4BBC"/>
    <w:rPr>
      <w:rFonts w:ascii="Courier New" w:cs="Courier New" w:eastAsia="Times New Roman" w:hAnsi="Courier New"/>
      <w:sz w:val="20"/>
      <w:szCs w:val="20"/>
    </w:rPr>
  </w:style>
  <w:style w:type="paragraph" w:styleId="NormalWeb">
    <w:name w:val="Normal (Web)"/>
    <w:basedOn w:val="Normal"/>
    <w:uiPriority w:val="99"/>
    <w:unhideWhenUsed w:val="1"/>
    <w:rsid w:val="002E4BBC"/>
    <w:pPr>
      <w:spacing w:after="100" w:afterAutospacing="1" w:before="100" w:beforeAutospacing="1" w:line="240" w:lineRule="auto"/>
    </w:pPr>
  </w:style>
  <w:style w:type="character" w:styleId="Heading3Char" w:customStyle="1">
    <w:name w:val="Heading 3 Char"/>
    <w:basedOn w:val="DefaultParagraphFont"/>
    <w:link w:val="Heading3"/>
    <w:uiPriority w:val="9"/>
    <w:rsid w:val="002E4BBC"/>
    <w:rPr>
      <w:rFonts w:asciiTheme="majorHAnsi" w:cstheme="majorBidi" w:eastAsiaTheme="majorEastAsia" w:hAnsiTheme="majorHAnsi"/>
      <w:b w:val="1"/>
      <w:bCs w:val="1"/>
      <w:color w:val="4f81bd" w:themeColor="accent1"/>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rPr>
      <w:tblPr/>
      <w:tcPr>
        <w:tcBorders>
          <w:top w:color="7ba0cd" w:space="0" w:sz="6" w:val="single"/>
          <w:left w:color="7ba0cd" w:space="0" w:sz="8" w:val="single"/>
          <w:bottom w:color="7ba0cd" w:space="0" w:sz="8" w:val="single"/>
          <w:right w:color="7ba0cd"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T/anPx2bVx+IoMPKuHjfwk/yw==">AMUW2mWmmRMhEOpkhxwcI/trr8IZfHydFId1Vh1Wd6kelwhZvCoMeAmmGDmPMSoSxyi/6os6m0rmsTRmXpNSpxnQLVA30vSfYBaiNHzPGPqT3zMIUFEzfA0=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2021-03-19T17:35:00Z</dcterms:created>
  <dc:creator>Michele D. Guel</dc:creator>
</cp:coreProperties>
</file>