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Performance Review Framework. This document describes the general performance review framework used across the organisation. The framework is intended to be transparent and is shared with all staff. Performance reviews follow a structured cycle that repeats each year and consists of several clearly defined stages. In the first stage, employees and their managers agree on a set of objectives that align with departmental and organisational goals. These objectives are expected to be specific, measurable, and achievable within the review period. During the second stage, ongoing feedback is encouraged so that progress can be discussed regularly rather than only at the end of the cycle. Managers are asked to document key observations and to provide constructive guidance throughout the period. The third stage is the formal assessment, in which overall performance is evaluated against the agreed objectives and against the competencies expected for the role. Ratings are calibrated across teams to ensure fairness and consistency, and a moderation step reviews outcomes to reduce bias. The final stage focuses on development planning, where strengths are recognised and areas for growth are identified, along with recommended learning opportunities. The framework also explains how appeals may be raised, outlines the responsibilities of reviewers and the support available from the people team, and sets out the principles of confidentiality and respect that govern the entire process. No personal data appears here.</w:t>
      </w:r>
    </w:p>
    <w:p>
      <w:r>
        <w:t>Team and Reviewer Notes. This section is intended for internal circulation among managers and the people team. The engineering review panel was chaired by Rajesh Menon, with support from Anita Desai and Karthik Iyer, who coordinated calibration across the Bangalore and Chennai offices. The product team review was led by Sandra Pereira, working alongside Vikram Nair at the Pune office, while the design team feedback was consolidated by Meera Krishnan in the Hyderabad office. Reviewers noted that collaboration between the Bangalore and Mumbai teams had improved considerably over the period, and that mentoring efforts led by Arjun Reddy had a positive effect on newer team members. The people partners, including Deepa Raman and Suresh Pillai, reminded managers to keep notes factual and to focus on observed behaviour rather than personal impressions. Several managers raised that workloads in the Chennai office had been uneven, and the panel agreed to revisit staffing in the next cycle. Discussion notes from these meetings should remain within the management group and the people team, and should not be shared with the wider organisation. The names and locations referenced here identify individuals and sites but do not include any contact details or identification numbers.</w:t>
      </w:r>
    </w:p>
    <w:p>
      <w:r>
        <w:t>Employee Contact and Identity Records. This section contains restricted personal data and must only be accessed by authorised personnel. Priya Sharma can be reached at priya.sharma@acme.com and on +1-415-555-0182; her social security number on file is 123-45-6789. Rohan Gupta is contactable at rohan.gupta@acme.com and +1-415-555-0147, with social security number 987-65-4321. The payroll record for Anita Desai lists the email anita.desai@acme.com, the phone number +1-628-555-0193, and the identification number 456-78-9012. For escalations, contact the confidential HR mailbox at hr-confidential@acme.com or call +1-650-555-0110. Please note that the corporate card number 4111 1111 1111 1111 is assigned to the travel desk and must not be shared. Any disclosure of the emails, phone numbers, social security numbers, or card details in this section outside the authorised group is a serious breach of policy. Access to this material is limited to senior managers and the human resources leadership team, and all access is logged for audit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