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name                    Project Goal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Club Events                      Hosting monthly events to foster community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Club Feedback                 Improving member experience and satisfaction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Membership                     Increasing club membership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Promotions                       Increasing club visibility and attracting new members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Facilities                           Improving member experience and satisfaction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Social Media                     Increasing online presence and engagement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Survey                              Addressing areas for improvement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Newsletter                        Keeping members informed and engaged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Calendar                          Organising club activities and events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Partnerships                    Enhancing member benefits through partnerships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Renovation                      Enhancing member experience and satisfaction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Volunteering                    Fostering community engagement and camaraderie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Retention                         Improving member retention rates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Rewards Program           Encouraging repeat visits and loyalty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Sponsorships                  Increasing brand visibility and community involvement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CSR Initiatives                Giving back to the community and promoting goodwill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Challenges                      Encouraging healthy behaviours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Online Community          Fostering engagement and community building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