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name                    Project Goal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Product X                          Launching a new product line targeting youth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Blog                                   Increasing website traffic and engagement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Product Sales                    Increasing revenue and market share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Brochure                           Attracting new customers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Research                          Identifying market trends and preferences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Videos                               Engaging audience through visual content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Packaging                         Creating visually appealing packaging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Events                               Attracting new customers and building community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Product Launch                 Maximising product visibility and sales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Recipes                             Promoting healthy lifestyle choices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Podcasts                           Reaching audience through audio format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Webinars                           Educating audience and building brand authority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Samples                            Introducing products to potential customers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Testimonials                      Building trust and credibility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E-books                             Providing in-depth information to audience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Influencers                        Increasing brand visibility and credibility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Presentations                   Sharing expertise and promoting brand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Research Studies             Contributing to industry knowledge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Podium Videos                 Sharing knowledge and expertise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Podium Articles                Extending reach and providing valuable content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