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Master Services Agreement — Catalyst Creative Agency</w:t>
      </w:r>
    </w:p>
    <w:p>
      <w:r>
        <w:t xml:space="preserve">[[DOCTYPE: contract]]</w:t>
      </w:r>
    </w:p>
    <w:p>
      <w:r>
        <w:t xml:space="preserve">[[VENDOR: Catalyst Creative Agency]]</w:t>
      </w:r>
    </w:p>
    <w:p>
      <w:r>
        <w:t xml:space="preserve">Contract ID: MSA-CATALYST-CREATIVE-AGENCY</w:t>
      </w:r>
    </w:p>
    <w:p>
      <w:r>
        <w:t xml:space="preserve">Vendor: Catalyst Creative Agency</w:t>
      </w:r>
    </w:p>
    <w:p>
      <w:r>
        <w:t xml:space="preserve">Vendor Aliases: Catalyst Creative Agency, LLC</w:t>
      </w:r>
    </w:p>
    <w:p>
      <w:r>
        <w:t xml:space="preserve">Customer: Northwind Logistics Group, Inc.</w:t>
      </w:r>
    </w:p>
    <w:p>
      <w:r>
        <w:t xml:space="preserve">Category: Marketing/agency</w:t>
      </w:r>
    </w:p>
    <w:p>
      <w:r>
        <w:t xml:space="preserve">Effective Date: 2025-01-01</w:t>
      </w:r>
    </w:p>
    <w:p>
      <w:r>
        <w:t xml:space="preserve">End Date: 2027-06-30</w:t>
      </w:r>
    </w:p>
    <w:p>
      <w:r>
        <w:t xml:space="preserve">Initial Term (Months): 30</w:t>
      </w:r>
    </w:p>
    <w:p>
      <w:r>
        <w:t xml:space="preserve">Auto-Renew: Yes</w:t>
      </w:r>
    </w:p>
    <w:p>
      <w:r>
        <w:t xml:space="preserve">Notice Window (Days): 30</w:t>
      </w:r>
    </w:p>
    <w:p>
      <w:r>
        <w:t xml:space="preserve">Renewal Term (Months): 12</w:t>
      </w:r>
    </w:p>
    <w:p>
      <w:r>
        <w:t xml:space="preserve">Governing Law: Ohio</w:t>
      </w:r>
    </w:p>
    <w:p>
      <w:r>
        <w:t xml:space="preserve">Annual Contract Value: $96,000.00</w:t>
      </w:r>
    </w:p>
    <w:p>
      <w:r>
        <w:t xml:space="preserve">Payment Terms: Net 30</w:t>
      </w:r>
    </w:p>
    <w:p>
      <w:r>
        <w:t xml:space="preserve">Measurement Period: monthly</w:t>
      </w:r>
    </w:p>
    <w:p>
      <w:r>
        <w:t xml:space="preserve">Included Allowance: 40</w:t>
      </w:r>
    </w:p>
    <w:p>
      <w:r>
        <w:t xml:space="preserve">Overage Unit Price: $185.00</w:t>
      </w:r>
    </w:p>
    <w:p>
      <w:r>
        <w:t xml:space="preserve">Capability Tags: Creative | Brand | Content</w:t>
      </w:r>
    </w:p>
    <w:p>
      <w:r>
        <w:t xml:space="preserve">Signed By: Theo Brandt</w:t>
      </w:r>
    </w:p>
    <w:p>
      <w:r>
        <w:t xml:space="preserve">Signatory Title: VP Marketing</w:t>
      </w:r>
    </w:p>
    <w:p>
      <w:r>
        <w:t xml:space="preserve">Signature Date: 2024-12-20</w:t>
      </w:r>
    </w:p>
    <w:p>
      <w:pPr>
        <w:pStyle w:val="Heading2"/>
      </w:pPr>
      <w:r>
        <w:t xml:space="preserve">1. Term and Renewal</w:t>
      </w:r>
    </w:p>
    <w:p>
      <w:r>
        <w:t xml:space="preserve">The initial term of this Agreement is 30 months, commencing on 2025-01-01 and continuing through 2027-06-30 (the "Initial Term"). This Agreement automatically renews for successive 12-month terms unless either party provides written notice of non-renewal at least 30 days prior to the end of the then-current term.</w:t>
      </w:r>
    </w:p>
    <w:p>
      <w:pPr>
        <w:pStyle w:val="Heading2"/>
      </w:pPr>
      <w:r>
        <w:t xml:space="preserve">2. Fees and Payment</w:t>
      </w:r>
    </w:p>
    <w:p>
      <w:r>
        <w:t xml:space="preserve">Customer shall pay the fees set out in the Rate Card and Order Form, with a current annual contract value as stated above. Invoices are payable per the stated payment terms. All fees are exclusive of applicable taxes.</w:t>
      </w:r>
    </w:p>
    <w:p>
      <w:pPr>
        <w:pStyle w:val="Heading2"/>
      </w:pPr>
      <w:r>
        <w:t xml:space="preserve">5. Audit Rights</w:t>
      </w:r>
    </w:p>
    <w:p>
      <w:r>
        <w:t xml:space="preserve">Customer may, on reasonable notice, audit invoices and supporting records against the rate card and order form for a period of twenty-four (24) months following each invoice date, and any confirmed overcharge shall be credited or refunded.</w:t>
      </w:r>
    </w:p>
    <w:p>
      <w:pPr>
        <w:pStyle w:val="Heading2"/>
      </w:pPr>
      <w:r>
        <w:t xml:space="preserve">6. Governing Law</w:t>
      </w:r>
    </w:p>
    <w:p>
      <w:r>
        <w:t xml:space="preserve">This Agreement is governed by the laws of Ohio, without regard to its conflict-of-laws principles.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2026-06-27T16:35:51.247Z</dcterms:created>
  <dcterms:modified xsi:type="dcterms:W3CDTF">2026-06-27T16:35:51.247Z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