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Multimodal emergency detection; edge computing; acoustic event classification; emergency-vehicle siren detection; sensor fusion; uncertainty-aware risk assessment; sensor-failure handling; operator-authorized response; traffic signal priority; offline incident recording; model assurance; tamper-evident evidence; counterfactual incident replay.</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p>
            <w:pPr>
              <w:keepNext/>
            </w:pPr>
            <w:r>
              <w:rPr>
                <w:b/>
                <w:sz w:val="22"/>
              </w:rPr>
              <w:t>Comparison with identified prior art</w:t>
            </w:r>
          </w:p>
          <w:tbl>
            <w:tblPr>
              <w:tblStyle w:val="TableGrid"/>
              <w:tblW w:type="dxa" w:w="9763"/>
              <w:tblLook w:firstColumn="1" w:firstRow="1" w:lastColumn="0" w:lastRow="0" w:noHBand="0" w:noVBand="1" w:val="04A0"/>
            </w:tblPr>
            <w:tblGrid>
              <w:gridCol w:w="2440"/>
              <w:gridCol w:w="2440"/>
              <w:gridCol w:w="2440"/>
              <w:gridCol w:w="2440"/>
            </w:tblGrid>
            <w:tr>
              <w:tc>
                <w:tcPr>
                  <w:tcW w:type="dxa" w:w="2440"/>
                </w:tcPr>
                <w:p>
                  <w:r>
                    <w:t>Reference</w:t>
                  </w:r>
                </w:p>
              </w:tc>
              <w:tc>
                <w:tcPr>
                  <w:tcW w:type="dxa" w:w="2440"/>
                </w:tcPr>
                <w:p>
                  <w:r>
                    <w:t>Detection / control focus</w:t>
                  </w:r>
                </w:p>
              </w:tc>
              <w:tc>
                <w:tcPr>
                  <w:tcW w:type="dxa" w:w="2440"/>
                </w:tcPr>
                <w:p>
                  <w:r>
                    <w:t>Reliability-gated permission</w:t>
                  </w:r>
                </w:p>
              </w:tc>
              <w:tc>
                <w:tcPr>
                  <w:tcW w:type="dxa" w:w="2440"/>
                </w:tcPr>
                <w:p>
                  <w:r>
                    <w:t>Evidence / replay</w:t>
                  </w:r>
                </w:p>
              </w:tc>
            </w:tr>
            <w:tr>
              <w:tc>
                <w:tcPr>
                  <w:tcW w:type="dxa" w:w="2440"/>
                </w:tcPr>
                <w:p>
                  <w:r>
                    <w:t>P1 US20250166434A1</w:t>
                  </w:r>
                </w:p>
              </w:tc>
              <w:tc>
                <w:tcPr>
                  <w:tcW w:type="dxa" w:w="2440"/>
                </w:tcPr>
                <w:p>
                  <w:r>
                    <w:t>Multi-modal model for traffic accident analysis</w:t>
                  </w:r>
                </w:p>
              </w:tc>
              <w:tc>
                <w:tcPr>
                  <w:tcW w:type="dxa" w:w="2440"/>
                </w:tcPr>
                <w:p>
                  <w:r>
                    <w:t>Not identified in reviewed disclosure</w:t>
                  </w:r>
                </w:p>
              </w:tc>
              <w:tc>
                <w:tcPr>
                  <w:tcW w:type="dxa" w:w="2440"/>
                </w:tcPr>
                <w:p>
                  <w:r>
                    <w:t>Not identified in reviewed disclosure</w:t>
                  </w:r>
                </w:p>
              </w:tc>
            </w:tr>
            <w:tr>
              <w:tc>
                <w:tcPr>
                  <w:tcW w:type="dxa" w:w="2440"/>
                </w:tcPr>
                <w:p>
                  <w:r>
                    <w:t>P2 US7864071B2</w:t>
                  </w:r>
                </w:p>
              </w:tc>
              <w:tc>
                <w:tcPr>
                  <w:tcW w:type="dxa" w:w="2440"/>
                </w:tcPr>
                <w:p>
                  <w:r>
                    <w:t>Emergency vehicle traffic signal preemption system</w:t>
                  </w:r>
                </w:p>
              </w:tc>
              <w:tc>
                <w:tcPr>
                  <w:tcW w:type="dxa" w:w="2440"/>
                </w:tcPr>
                <w:p>
                  <w:r>
                    <w:t>Not identified in reviewed disclosure</w:t>
                  </w:r>
                </w:p>
              </w:tc>
              <w:tc>
                <w:tcPr>
                  <w:tcW w:type="dxa" w:w="2440"/>
                </w:tcPr>
                <w:p>
                  <w:r>
                    <w:t>Not identified in reviewed disclosure</w:t>
                  </w:r>
                </w:p>
              </w:tc>
            </w:tr>
            <w:tr>
              <w:tc>
                <w:tcPr>
                  <w:tcW w:type="dxa" w:w="2440"/>
                </w:tcPr>
                <w:p>
                  <w:r>
                    <w:t>P3 US9685080B2</w:t>
                  </w:r>
                </w:p>
              </w:tc>
              <w:tc>
                <w:tcPr>
                  <w:tcW w:type="dxa" w:w="2440"/>
                </w:tcPr>
                <w:p>
                  <w:r>
                    <w:t>Traffic light preemption management system</w:t>
                  </w:r>
                </w:p>
              </w:tc>
              <w:tc>
                <w:tcPr>
                  <w:tcW w:type="dxa" w:w="2440"/>
                </w:tcPr>
                <w:p>
                  <w:r>
                    <w:t>Not identified in reviewed disclosure</w:t>
                  </w:r>
                </w:p>
              </w:tc>
              <w:tc>
                <w:tcPr>
                  <w:tcW w:type="dxa" w:w="2440"/>
                </w:tcPr>
                <w:p>
                  <w:r>
                    <w:t>Not identified in reviewed disclosure</w:t>
                  </w:r>
                </w:p>
              </w:tc>
            </w:tr>
            <w:tr>
              <w:tc>
                <w:tcPr>
                  <w:tcW w:type="dxa" w:w="2440"/>
                </w:tcPr>
                <w:p>
                  <w:r>
                    <w:t>EDGE-AI</w:t>
                  </w:r>
                </w:p>
              </w:tc>
              <w:tc>
                <w:tcPr>
                  <w:tcW w:type="dxa" w:w="2440"/>
                </w:tcPr>
                <w:p>
                  <w:r>
                    <w:t>Multimodal incident assessment</w:t>
                  </w:r>
                </w:p>
              </w:tc>
              <w:tc>
                <w:tcPr>
                  <w:tcW w:type="dxa" w:w="2440"/>
                </w:tcPr>
                <w:p>
                  <w:r>
                    <w:t>IMPLEMENTED / PARTIAL; see Section 9</w:t>
                  </w:r>
                </w:p>
              </w:tc>
              <w:tc>
                <w:tcPr>
                  <w:tcW w:type="dxa" w:w="2440"/>
                </w:tcPr>
                <w:p>
                  <w:r>
                    <w:t>Digest package implemented; chain/replay status partial</w:t>
                  </w:r>
                </w:p>
              </w:tc>
            </w:tr>
          </w:tbl>
          <w:p/>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p>
            <w:pPr>
              <w:keepNext/>
            </w:pPr>
            <w:r>
              <w:rPr>
                <w:b/>
                <w:sz w:val="22"/>
              </w:rPr>
              <w:t>Preferred hardware and software embodiment</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specific technical combination described in Section 2. The implementation status, problem, mechanism and technical effect of each feature are provided below. A PARTIAL status identifies an implementation or validation limitation; it does not establish field readiness.</w:t>
            </w:r>
          </w:p>
          <w:p>
            <w:pPr>
              <w:keepNext/>
            </w:pPr>
            <w:r>
              <w:rPr>
                <w:b/>
                <w:sz w:val="22"/>
              </w:rPr>
              <w:t>Feature status and technical effects</w:t>
            </w:r>
          </w:p>
          <w:tbl>
            <w:tblPr>
              <w:tblStyle w:val="TableGrid"/>
              <w:tblW w:type="dxa" w:w="9763"/>
              <w:tblLook w:firstColumn="1" w:firstRow="1" w:lastColumn="0" w:lastRow="0" w:noHBand="0" w:noVBand="1" w:val="04A0"/>
            </w:tblPr>
            <w:tblGrid>
              <w:gridCol w:w="2440"/>
              <w:gridCol w:w="2440"/>
              <w:gridCol w:w="2440"/>
              <w:gridCol w:w="2440"/>
            </w:tblGrid>
            <w:tr>
              <w:tc>
                <w:tcPr>
                  <w:tcW w:type="dxa" w:w="2440"/>
                </w:tcPr>
                <w:p>
                  <w:r>
                    <w:t>Feature and status</w:t>
                  </w:r>
                </w:p>
              </w:tc>
              <w:tc>
                <w:tcPr>
                  <w:tcW w:type="dxa" w:w="2440"/>
                </w:tcPr>
                <w:p>
                  <w:r>
                    <w:t>Problem</w:t>
                  </w:r>
                </w:p>
              </w:tc>
              <w:tc>
                <w:tcPr>
                  <w:tcW w:type="dxa" w:w="2440"/>
                </w:tcPr>
                <w:p>
                  <w:r>
                    <w:t>Mechanism</w:t>
                  </w:r>
                </w:p>
              </w:tc>
              <w:tc>
                <w:tcPr>
                  <w:tcW w:type="dxa" w:w="2440"/>
                </w:tcPr>
                <w:p>
                  <w:r>
                    <w:t>Technical effect / code</w:t>
                  </w:r>
                </w:p>
              </w:tc>
            </w:tr>
            <w:tr>
              <w:tc>
                <w:tcPr>
                  <w:tcW w:type="dxa" w:w="2440"/>
                </w:tcPr>
                <w:p>
                  <w:r>
                    <w:t>Uncertainty-aware fusion</w:t>
                    <w:br/>
                    <w:t>IMPLEMENTED</w:t>
                  </w:r>
                </w:p>
              </w:tc>
              <w:tc>
                <w:tcPr>
                  <w:tcW w:type="dxa" w:w="2440"/>
                </w:tcPr>
                <w:p>
                  <w:r>
                    <w:t>A failing sensor can inflate an apparent emergency score.</w:t>
                  </w:r>
                </w:p>
              </w:tc>
              <w:tc>
                <w:tcPr>
                  <w:tcW w:type="dxa" w:w="2440"/>
                </w:tcPr>
                <w:p>
                  <w:r>
                    <w:t>Engine (130) multiplies bounded event, temporal, agreement, health and calibration factors; penalty and failure caps downgrade output.</w:t>
                  </w:r>
                </w:p>
              </w:tc>
              <w:tc>
                <w:tcPr>
                  <w:tcW w:type="dxa" w:w="2440"/>
                </w:tcPr>
                <w:p>
                  <w:r>
                    <w:t>Risk falls or routes to review when evidence degrades.</w:t>
                    <w:br/>
                    <w:t>src/modules/decision/uncertainty_fusion.py</w:t>
                  </w:r>
                </w:p>
              </w:tc>
            </w:tr>
            <w:tr>
              <w:tc>
                <w:tcPr>
                  <w:tcW w:type="dxa" w:w="2440"/>
                </w:tcPr>
                <w:p>
                  <w:r>
                    <w:t>Role-gated response contract</w:t>
                    <w:br/>
                    <w:t>IMPLEMENTED</w:t>
                  </w:r>
                </w:p>
              </w:tc>
              <w:tc>
                <w:tcPr>
                  <w:tcW w:type="dxa" w:w="2440"/>
                </w:tcPr>
                <w:p>
                  <w:r>
                    <w:t>A model output must not directly cause external dispatch.</w:t>
                  </w:r>
                </w:p>
              </w:tc>
              <w:tc>
                <w:tcPr>
                  <w:tcW w:type="dxa" w:w="2440"/>
                </w:tcPr>
                <w:p>
                  <w:r>
                    <w:t>Contract (150) records proposed actions and required roles; interface (160) requires authorized approval before execution.</w:t>
                  </w:r>
                </w:p>
              </w:tc>
              <w:tc>
                <w:tcPr>
                  <w:tcW w:type="dxa" w:w="2440"/>
                </w:tcPr>
                <w:p>
                  <w:r>
                    <w:t>Provides a traceable human authorization boundary.</w:t>
                    <w:br/>
                    <w:t>src/modules/autonomous_response/safety_contract.py</w:t>
                  </w:r>
                </w:p>
              </w:tc>
            </w:tr>
            <w:tr>
              <w:tc>
                <w:tcPr>
                  <w:tcW w:type="dxa" w:w="2440"/>
                </w:tcPr>
                <w:p>
                  <w:r>
                    <w:t>Sensor availability and conflict matrix</w:t>
                    <w:br/>
                    <w:t>IMPLEMENTED</w:t>
                  </w:r>
                </w:p>
              </w:tc>
              <w:tc>
                <w:tcPr>
                  <w:tcW w:type="dxa" w:w="2440"/>
                </w:tcPr>
                <w:p>
                  <w:r>
                    <w:t>Contradictory modalities can create false certainty.</w:t>
                  </w:r>
                </w:p>
              </w:tc>
              <w:tc>
                <w:tcPr>
                  <w:tcW w:type="dxa" w:w="2440"/>
                </w:tcPr>
                <w:p>
                  <w:r>
                    <w:t>Engine (140) evaluates missing/faulted modalities and maps conflict to HUMAN_REVIEW.</w:t>
                  </w:r>
                </w:p>
              </w:tc>
              <w:tc>
                <w:tcPr>
                  <w:tcW w:type="dxa" w:w="2440"/>
                </w:tcPr>
                <w:p>
                  <w:r>
                    <w:t>Makes degraded and conflicting outcomes visible.</w:t>
                    <w:br/>
                    <w:t>src/modules/decision/sensor_availability_matrix.py</w:t>
                  </w:r>
                </w:p>
              </w:tc>
            </w:tr>
            <w:tr>
              <w:tc>
                <w:tcPr>
                  <w:tcW w:type="dxa" w:w="2440"/>
                </w:tcPr>
                <w:p>
                  <w:r>
                    <w:t>Deterministic sandbox replay</w:t>
                    <w:br/>
                    <w:t>PARTIAL</w:t>
                  </w:r>
                </w:p>
              </w:tc>
              <w:tc>
                <w:tcPr>
                  <w:tcW w:type="dxa" w:w="2440"/>
                </w:tcPr>
                <w:p>
                  <w:r>
                    <w:t>An incident decision must be independently inspectable.</w:t>
                  </w:r>
                </w:p>
              </w:tc>
              <w:tc>
                <w:tcPr>
                  <w:tcW w:type="dxa" w:w="2440"/>
                </w:tcPr>
                <w:p>
                  <w:r>
                    <w:t>Replay engine (200) re-evaluates stored step inputs under faults without live actuation.</w:t>
                  </w:r>
                </w:p>
              </w:tc>
              <w:tc>
                <w:tcPr>
                  <w:tcW w:type="dxa" w:w="2440"/>
                </w:tcPr>
                <w:p>
                  <w:r>
                    <w:t>Allows counterfactual checking; equivalence to physical sensor timing remains unverified.</w:t>
                    <w:br/>
                    <w:t>src/modules/incident_management/replay_engine.py</w:t>
                  </w:r>
                </w:p>
              </w:tc>
            </w:tr>
            <w:tr>
              <w:tc>
                <w:tcPr>
                  <w:tcW w:type="dxa" w:w="2440"/>
                </w:tcPr>
                <w:p>
                  <w:r>
                    <w:t>Drift and governed feedback</w:t>
                    <w:br/>
                    <w:t>PARTIAL</w:t>
                  </w:r>
                </w:p>
              </w:tc>
              <w:tc>
                <w:tcPr>
                  <w:tcW w:type="dxa" w:w="2440"/>
                </w:tcPr>
                <w:p>
                  <w:r>
                    <w:t>Model behavior can change after deployment.</w:t>
                  </w:r>
                </w:p>
              </w:tc>
              <w:tc>
                <w:tcPr>
                  <w:tcW w:type="dxa" w:w="2440"/>
                </w:tcPr>
                <w:p>
                  <w:r>
                    <w:t>Drift monitor (210), feedback records and review queue (220) support human model assessment.</w:t>
                  </w:r>
                </w:p>
              </w:tc>
              <w:tc>
                <w:tcPr>
                  <w:tcW w:type="dxa" w:w="2440"/>
                </w:tcPr>
                <w:p>
                  <w:r>
                    <w:t>Provides a review path; continuous production retraining is not established.</w:t>
                    <w:br/>
                    <w:t>src/modules/assurance/drift_monitor.py</w:t>
                  </w:r>
                </w:p>
              </w:tc>
            </w:tr>
            <w:tr>
              <w:tc>
                <w:tcPr>
                  <w:tcW w:type="dxa" w:w="2440"/>
                </w:tcPr>
                <w:p>
                  <w:r>
                    <w:t>Tamper-evident evidence package</w:t>
                    <w:br/>
                    <w:t>PARTIAL</w:t>
                  </w:r>
                </w:p>
              </w:tc>
              <w:tc>
                <w:tcPr>
                  <w:tcW w:type="dxa" w:w="2440"/>
                </w:tcPr>
                <w:p>
                  <w:r>
                    <w:t>Incident evidence can be altered after capture.</w:t>
                  </w:r>
                </w:p>
              </w:tc>
              <w:tc>
                <w:tcPr>
                  <w:tcW w:type="dxa" w:w="2440"/>
                </w:tcPr>
                <w:p>
                  <w:r>
                    <w:t>Store (180) and verifier (190) export SHA-256 manifests; chain or replay-verified status requires separate confirmation.</w:t>
                  </w:r>
                </w:p>
              </w:tc>
              <w:tc>
                <w:tcPr>
                  <w:tcW w:type="dxa" w:w="2440"/>
                </w:tcPr>
                <w:p>
                  <w:r>
                    <w:t>Detects modified package files; full signed chain of custody is proposed.</w:t>
                    <w:br/>
                    <w:t>src/modules/database/governed_store.py; src/modules/reporting/evidence_verifier.py</w:t>
                  </w:r>
                </w:p>
              </w:tc>
            </w:tr>
          </w:tbl>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exhaust, noise, glare or environmental conditions affect an individual detector. Model Assurance makes the limitations of the active model visible alongside the prediction confidence.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p>
            <w:pPr>
              <w:keepNext/>
            </w:pPr>
            <w:r>
              <w:rPr>
                <w:b/>
                <w:sz w:val="22"/>
              </w:rPr>
              <w:t>Proposed alternatives and implementation boundaries</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t>The following figures present the labelled EDGE-AI prototype (Figure 1), its system architecture (Figure 2), and the functional line diagram explaining its working principle (Figure 3).</w:t>
            </w:r>
          </w:p>
          <w:p>
            <w:pPr>
              <w:keepNext/>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codex-clipboard-0cbb0dd4-ad7a-4375-8aab-9cb0a122af80.jpg"/>
                          <pic:cNvPicPr/>
                        </pic:nvPicPr>
                        <pic:blipFill>
                          <a:blip r:embed="rId19"/>
                          <a:stretch>
                            <a:fillRect/>
                          </a:stretch>
                        </pic:blipFill>
                        <pic:spPr>
                          <a:xfrm>
                            <a:off x="0" y="0"/>
                            <a:ext cx="5669280" cy="4251960"/>
                          </a:xfrm>
                          <a:prstGeom prst="rect"/>
                        </pic:spPr>
                      </pic:pic>
                    </a:graphicData>
                  </a:graphic>
                </wp:inline>
              </w:drawing>
            </w:r>
          </w:p>
          <w:p>
            <w:pPr>
              <w:spacing w:after="200"/>
              <w:jc w:val="center"/>
            </w:pPr>
            <w:r>
              <w:rPr>
                <w:rFonts w:ascii="Times New Roman" w:hAnsi="Times New Roman"/>
                <w:sz w:val="22"/>
              </w:rPr>
              <w:t>Fig. 1: Edge-AI Multi-Sensor Urban Emergency Detection, Localization &amp; Autonomous Response — Prototype</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2: System architecture and governed emergency response flow</w:t>
            </w:r>
          </w:p>
          <w:p>
            <w:pPr>
              <w:keepNext/>
              <w:jc w:val="center"/>
            </w:pPr>
            <w:r>
              <w:drawing>
                <wp:inline xmlns:a="http://schemas.openxmlformats.org/drawingml/2006/main" xmlns:pic="http://schemas.openxmlformats.org/drawingml/2006/picture">
                  <wp:extent cx="5852160" cy="3771392"/>
                  <wp:docPr id="11" name="Picture 11"/>
                  <wp:cNvGraphicFramePr>
                    <a:graphicFrameLocks noChangeAspect="1"/>
                  </wp:cNvGraphicFramePr>
                  <a:graphic>
                    <a:graphicData uri="http://schemas.openxmlformats.org/drawingml/2006/picture">
                      <pic:pic>
                        <pic:nvPicPr>
                          <pic:cNvPr id="0" name="sentinel_working_principle_fig3.png"/>
                          <pic:cNvPicPr/>
                        </pic:nvPicPr>
                        <pic:blipFill>
                          <a:blip r:embed="rId11"/>
                          <a:stretch>
                            <a:fillRect/>
                          </a:stretch>
                        </pic:blipFill>
                        <pic:spPr>
                          <a:xfrm>
                            <a:off x="0" y="0"/>
                            <a:ext cx="5852160" cy="3771392"/>
                          </a:xfrm>
                          <a:prstGeom prst="rect"/>
                        </pic:spPr>
                      </pic:pic>
                    </a:graphicData>
                  </a:graphic>
                </wp:inline>
              </w:drawing>
            </w:r>
          </w:p>
          <w:p>
            <w:pPr>
              <w:spacing w:after="200"/>
              <w:jc w:val="center"/>
            </w:pPr>
            <w:r>
              <w:rPr>
                <w:rFonts w:ascii="Times New Roman" w:hAnsi="Times New Roman"/>
                <w:sz w:val="22"/>
              </w:rPr>
              <w:t>Fig. 3: Line diagram illustrating the EDGE-AI working principle</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p>
            <w:r>
              <w:t>The architecture separates sensing, edge inference, reliability assessment and operator authorization. Sensor availability, calibration state, model assurance and out-of-distribution indicators are carried with each decision. A proposed response is recorded before an authorized role confirms it; emergency-service contact remains operator-approved. The local audit record preserves predictions, evidence hashes and operator actions while an outbox retains events during network loss.</w:t>
            </w:r>
          </w:p>
          <w:p>
            <w:pPr>
              <w:keepNext/>
            </w:pPr>
            <w:r>
              <w:rPr>
                <w:b/>
                <w:sz w:val="22"/>
              </w:rPr>
              <w:t>Reference numerals and supporting diagrams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The reference numerals are used in the supporting figures, the claims in Section 20 and the feature descriptions in Section 9.</w:t>
            </w:r>
          </w:p>
          <w:p>
            <w:pPr>
              <w:jc w:val="center"/>
            </w:pPr>
            <w:r>
              <w:drawing>
                <wp:inline xmlns:a="http://schemas.openxmlformats.org/drawingml/2006/main" xmlns:pic="http://schemas.openxmlformats.org/drawingml/2006/picture">
                  <wp:extent cx="6121105" cy="2601469"/>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1105" cy="2601469"/>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1105" cy="2601469"/>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1105" cy="2601469"/>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1105" cy="2601469"/>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1105" cy="2601469"/>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1105" cy="2601469"/>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1105" cy="2601469"/>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1105" cy="2601469"/>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1105" cy="2601469"/>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1105" cy="2601469"/>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1105" cy="2601469"/>
                          </a:xfrm>
                          <a:prstGeom prst="rect"/>
                        </pic:spPr>
                      </pic:pic>
                    </a:graphicData>
                  </a:graphic>
                </wp:inline>
              </w:drawing>
            </w:r>
          </w:p>
          <w:p>
            <w:pPr>
              <w:jc w:val="center"/>
            </w:pPr>
            <w:r>
              <w:t>Drift and governed model review</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EDGE-AI brings sensing, emergency assessment, operator review and incident recording into one local system. The sensors provide observations, the inference and decision layers assess the available evidence, and the operator reviews the proposed response. The architecture diagram shows these functional relationships. The working-principle diagram shows how permitted responses and their outcomes are recorded. The prototype photograph documents the assembled hardware; it does not, by itself, establish electrical safety, detection accuracy or successful end-to-end operation.</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disclosed software includes a dashboard and API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The proposed scope is set out below as three independent claims and dependent fallback claims. These are drafting candidates, not an opinion on novelty, inventive step, enablement or freedom to operate.</w:t>
            </w:r>
          </w:p>
          <w:p>
            <w:pPr>
              <w:keepNext/>
            </w:pPr>
            <w:r>
              <w:rPr>
                <w:b/>
                <w:sz w:val="22"/>
              </w:rPr>
              <w:t>Draft claims for review</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suitable for the intended use. This information supports a system integrator’s assessment of whether a model is suitable for a particular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Potential applications include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80"/>
            </w:pPr>
            <w:r>
              <w:rPr>
                <w:rFonts w:ascii="Times New Roman" w:hAnsi="Times New Roman"/>
                <w:sz w:val="22"/>
              </w:rPr>
              <w:t>Inventors involved in the invention:</w:t>
              <w:br/>
              <w:br/>
              <w:t>1. Gokul R — Reg. No.: 24BCE1188</w:t>
              <w:br/>
              <w:t>2. Krishna Prakash Magesh — Reg. No.: 24BCE5378</w:t>
              <w:br/>
              <w:t>3. Vishvanth — Reg. No.: 24BCE1038</w:t>
              <w:br/>
              <w:t>4. Dhanishkanth SB — Reg. No.: 24BCE1348</w:t>
              <w:br/>
              <w:br/>
              <w:t>Department: To be completed by the applicants.</w:t>
              <w:br/>
              <w:t>Specific inventive contribution: To be confirmed by the applicants for each inventor before filing.</w:t>
              <w:br/>
              <w:t>Signature: To be completed by each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Intended benefits include timely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Intended benefits, subject to validation, include timely local detection and assessment of emergencies; reduced dependence on cloud connectivity; reduced susceptibility to false alarms from an individual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Research</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Pr>
                <w:b/>
                <w:bCs/>
                <w:sz w:val="23"/>
                <w:szCs w:val="23"/>
              </w:rPr>
              <w:t>✓ 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environment</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Selected level: TRL 4 — laboratory-stage prototype (provisional assessment). The inventor reports that both hardware and software are available as a demonstration model. This supports a laboratory-stage assessment when the integrated functions have been exercised in a controlled setting; it does not establish validation in representative traffic conditions. Live microphone classification remains under investigation, and no field-accuracy claim is made. Retain dated demonstration records and test logs identifying the model, sensor configuration, inputs and observed outputs. TRL 5 requires validation under relevant conditions, including representative acoustic noise, playback distances, sensor faults and permitted actuator responses. Availability of hardware and software alone does not establish TRL 5.</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The proposed invention, EDGE-AI, is a multimodal edge-computing system for urban emergency detection, localization and governed response. It combines acoustic, visual and available physical-sensor observations to assess a possible emergency, present a response plan and retain a record of the decision. Its technical focus is the interaction between evidence quality, model assurance, response permissions and incident traceability.</w:t>
            </w:r>
          </w:p>
          <w:p>
            <w:pPr/>
            <w:r>
              <w:rPr>
                <w:rFonts w:ascii="Arial" w:hAnsi="Arial"/>
                <w:sz w:val="18"/>
              </w:rPr>
              <w:t>The present work is a research prototype intended for laboratory evaluation. The disclosed architecture supports local processing and incident recording during a loss of connectivity, with later synchronization where configured. Response plans remain subject to the safety contract and the permissions assigned to the operator. Contact with emergency services requires operator approval. Models trained on synthetic data retain the RESEARCH_ONLY restriction, and unavailable evaluation metrics remain UNVERIFIED.</w:t>
            </w:r>
          </w:p>
          <w:p>
            <w:pPr/>
            <w:r>
              <w:rPr>
                <w:rFonts w:ascii="Arial" w:hAnsi="Arial"/>
                <w:sz w:val="18"/>
              </w:rPr>
              <w:t>The prototype photograph and configuration-consistent pin assignments describe the intended hardware arrangement; they do not establish complete hardware validation. Detection performance, sensor calibration, power integrity, safe actuator operation and behaviour under sensor or network failure require documented testing. The implementation status of individual features is recorded in Section 9; outstanding technical questions are listed below.</w:t>
            </w:r>
          </w:p>
          <w:p>
            <w:pPr/>
            <w:r>
              <w:rPr>
                <w:rFonts w:ascii="Arial" w:hAnsi="Arial"/>
                <w:sz w:val="18"/>
              </w:rPr>
              <w:t>Proposed further development includes evaluation with representative field recordings, controlled hardware trials, improved calibration, environmental protection, and verification of traffic-control interfaces. A linked or signed evidence chain and response-permission changes triggered solely by connectivity loss remain proposed or subject to confirmation, as stated in the implementation audit. These developments must not be presented as completed capabilities until supported by retained evidence.</w:t>
            </w:r>
          </w:p>
          <w:p>
            <w:pPr/>
            <w:r>
              <w:rPr>
                <w:rFonts w:ascii="Arial" w:hAnsi="Arial"/>
                <w:sz w:val="18"/>
              </w:rPr>
              <w:t>The intended application is to assist trained personnel in traffic control rooms, campuses and industrial sites by providing a structured assessment and a reviewable incident history. Operational deployment will require site-specific validation and the relevant authorizations. This disclosure distinguishes the current prototype from proposed embodiments and makes no unsupported claim of field accuracy, commercial readiness or guaranteed emergency response.</w:t>
            </w:r>
          </w:p>
          <w:p>
            <w:pPr>
              <w:keepNext/>
            </w:pPr>
            <w:r>
              <w:rPr>
                <w:b/>
                <w:sz w:val="22"/>
              </w:rPr>
              <w:t>Consistency checks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tc>
      </w:tr>
    </w:tbl>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0" Type="http://schemas.openxmlformats.org/officeDocument/2006/relationships/image" Target="media/image1.jpg"/><Relationship Id="rId11" Type="http://schemas.openxmlformats.org/officeDocument/2006/relationships/image" Target="media/image2.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EDGE-AI Invention Disclosure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