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The invention is an offline-first edge-computing safety system for urban intersections. It addresses delayed and unreliable emergency detection caused by single-camera systems, isolated alarms, cloud dependence and unverified automatic actuation. A Raspberry Pi 4 combines acoustic, visual, thermal/humidity, gas/smoke, inertial and GPS evidence; produces a localized risk assessment; presents a governed response plan; and records an auditable incident package. Emergency-service contact remains operator-approved and the system never silently claims that a synthetic model is field validated.</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one combination stated in section 2. Feature-by-feature implementation status, problem, mechanism and effect are in Annex A. Features marked PARTIAL must not be characterized as fully field validated.</w:t>
            </w:r>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one detector is fooled by exhaust, noise, glare or environmental conditions. Model Assurance makes the limitations of the active model visible instead of hiding them behind a confidence percentage.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SENTINEL-AI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0"/>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SENTINEL-AI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I designed SENTINEL-AI so that an emergency is treated as a sequence of evidence and decisions rather than as one alarm. The device senses locally, checks whether different sensors agree, explains why it raised a risk, lets an authorized human approve the response, and preserves what happened for later review. This makes the prototype useful even when the network is unavailable and makes its limitations visible.</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dashboard/API is running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Potential claim scope is expressed in Annex C as three independent claims and dependent fallbacks. These are drafting candidates, not an opinion on novelty, inventive step, enablement or freedom to operate.</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dependable enough to trust. That gives a system integrator a clearer path from research AI to controlled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The commercial opportunity sits across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Benefits include faster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Faster local detection and assessment of emergencies; reduced dependence on cloud connectivity; fewer false alarms caused by a single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Provisional TRL 4: components and integrated software have laboratory and synthetic scenario testing. The repository does not supply a verified physical Pi 4 end-to-end test record for the assembled sensors, actuator circuit and municipal workflow. TRL 5 should be considered only after a representative physical junction-model demonstration with retained test logs.</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sidRPr="005B098F">
              <w:rPr>
                <w:b/>
                <w:bCs/>
                <w:sz w:val="23"/>
                <w:szCs w:val="23"/>
              </w:rPr>
              <w:t>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Recommended present level: TRL 4-5, depending on the institution's interpretation. The integrated software prototype, trained models, APIs, Model Assurance and regression tests demonstrate laboratory validation, and the system is structured for Raspberry Pi/edge deployment. However, the new synthetic model profile remains RESEARCH_ONLY and a full real-junction trial has not yet been completed.</w:t>
            </w:r>
          </w:p>
          <w:p>
            <w:pPr>
              <w:spacing w:after="20" w:before="0"/>
              <w:jc w:val="both"/>
            </w:pPr>
          </w:p>
          <w:p>
            <w:pPr>
              <w:spacing w:after="20"/>
              <w:jc w:val="both"/>
            </w:pPr>
            <w:r>
              <w:rPr>
                <w:rFonts w:ascii="Calibri" w:hAnsi="Calibri"/>
                <w:sz w:val="18"/>
              </w:rPr>
              <w:t>Tick TRL 4 if the institution requires validation to remain strictly within a laboratory environment. Tick TRL 5 only if the assembled prototype has been demonstrated in a representative traffic-junction model or comparable relevant environment. TRL 6 should be used only after the integrated prototype is demonstrated in a relevant physical environment, and TRL 7 only after an operational-environment prototype demonstration.</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See Annexes A-F for technical status, figures, claims, audit, open items and attorney review. The hardware pinout is configuration-consistent, not physically validated. External emergency-service contact is operator approved. Synthetic models carry RESEARCH_ONLY restrictions.</w:t>
            </w:r>
          </w:p>
        </w:tc>
      </w:tr>
    </w:tbl>
    <w:p w14:paraId="7EDE8D55" w14:textId="77777777" w:rsidR="004E13BF" w:rsidRDefault="004E13BF" w:rsidP="00015840">
      <w:pPr>
        <w:rPr>
          <w:i/>
        </w:rPr>
      </w:pPr>
    </w:p>
    <w:p>
      <w:r>
        <w:br w:type="page"/>
      </w:r>
    </w:p>
    <w:p>
      <w:r>
        <w:rPr>
          <w:rFonts w:ascii="Arial" w:hAnsi="Arial"/>
          <w:b/>
          <w:sz w:val="28"/>
        </w:rPr>
        <w:t>Annex A  Feature status and technical effect</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Feature and status</w:t>
            </w:r>
          </w:p>
        </w:tc>
        <w:tc>
          <w:tcPr>
            <w:tcW w:type="dxa" w:w="2552"/>
          </w:tcPr>
          <w:p>
            <w:r>
              <w:t>Problem</w:t>
            </w:r>
          </w:p>
        </w:tc>
        <w:tc>
          <w:tcPr>
            <w:tcW w:type="dxa" w:w="2552"/>
          </w:tcPr>
          <w:p>
            <w:r>
              <w:t>Mechanism</w:t>
            </w:r>
          </w:p>
        </w:tc>
        <w:tc>
          <w:tcPr>
            <w:tcW w:type="dxa" w:w="2552"/>
          </w:tcPr>
          <w:p>
            <w:r>
              <w:t>Technical effect / code</w:t>
            </w:r>
          </w:p>
        </w:tc>
      </w:tr>
      <w:tr>
        <w:tc>
          <w:tcPr>
            <w:tcW w:type="dxa" w:w="2552"/>
          </w:tcPr>
          <w:p>
            <w:r>
              <w:t>Uncertainty-aware fusion</w:t>
              <w:br/>
              <w:t>IMPLEMENTED</w:t>
            </w:r>
          </w:p>
        </w:tc>
        <w:tc>
          <w:tcPr>
            <w:tcW w:type="dxa" w:w="2552"/>
          </w:tcPr>
          <w:p>
            <w:r>
              <w:t>A failing sensor can inflate an apparent emergency score.</w:t>
            </w:r>
          </w:p>
        </w:tc>
        <w:tc>
          <w:tcPr>
            <w:tcW w:type="dxa" w:w="2552"/>
          </w:tcPr>
          <w:p>
            <w:r>
              <w:t>Engine (130) multiplies bounded event, temporal, agreement, health and calibration factors; penalty and failure caps downgrade output.</w:t>
            </w:r>
          </w:p>
        </w:tc>
        <w:tc>
          <w:tcPr>
            <w:tcW w:type="dxa" w:w="2552"/>
          </w:tcPr>
          <w:p>
            <w:r>
              <w:t>Risk falls or routes to review when evidence degrades.</w:t>
              <w:br/>
              <w:t>src/modules/decision/uncertainty_fusion.py</w:t>
            </w:r>
          </w:p>
        </w:tc>
      </w:tr>
      <w:tr>
        <w:tc>
          <w:tcPr>
            <w:tcW w:type="dxa" w:w="2552"/>
          </w:tcPr>
          <w:p>
            <w:r>
              <w:t>Role-gated response contract</w:t>
              <w:br/>
              <w:t>IMPLEMENTED</w:t>
            </w:r>
          </w:p>
        </w:tc>
        <w:tc>
          <w:tcPr>
            <w:tcW w:type="dxa" w:w="2552"/>
          </w:tcPr>
          <w:p>
            <w:r>
              <w:t>A model output must not directly cause external dispatch.</w:t>
            </w:r>
          </w:p>
        </w:tc>
        <w:tc>
          <w:tcPr>
            <w:tcW w:type="dxa" w:w="2552"/>
          </w:tcPr>
          <w:p>
            <w:r>
              <w:t>Contract (150) records proposed actions and required roles; interface (160) requires authorized approval before execution.</w:t>
            </w:r>
          </w:p>
        </w:tc>
        <w:tc>
          <w:tcPr>
            <w:tcW w:type="dxa" w:w="2552"/>
          </w:tcPr>
          <w:p>
            <w:r>
              <w:t>Provides a traceable human authorization boundary.</w:t>
              <w:br/>
              <w:t>src/modules/autonomous_response/safety_contract.py</w:t>
            </w:r>
          </w:p>
        </w:tc>
      </w:tr>
      <w:tr>
        <w:tc>
          <w:tcPr>
            <w:tcW w:type="dxa" w:w="2552"/>
          </w:tcPr>
          <w:p>
            <w:r>
              <w:t>Sensor availability and conflict matrix</w:t>
              <w:br/>
              <w:t>IMPLEMENTED</w:t>
            </w:r>
          </w:p>
        </w:tc>
        <w:tc>
          <w:tcPr>
            <w:tcW w:type="dxa" w:w="2552"/>
          </w:tcPr>
          <w:p>
            <w:r>
              <w:t>Contradictory modalities can create false certainty.</w:t>
            </w:r>
          </w:p>
        </w:tc>
        <w:tc>
          <w:tcPr>
            <w:tcW w:type="dxa" w:w="2552"/>
          </w:tcPr>
          <w:p>
            <w:r>
              <w:t>Engine (140) evaluates missing/faulted modalities and maps conflict to HUMAN_REVIEW.</w:t>
            </w:r>
          </w:p>
        </w:tc>
        <w:tc>
          <w:tcPr>
            <w:tcW w:type="dxa" w:w="2552"/>
          </w:tcPr>
          <w:p>
            <w:r>
              <w:t>Makes degraded and conflicting outcomes visible.</w:t>
              <w:br/>
              <w:t>src/modules/decision/sensor_availability_matrix.py</w:t>
            </w:r>
          </w:p>
        </w:tc>
      </w:tr>
      <w:tr>
        <w:tc>
          <w:tcPr>
            <w:tcW w:type="dxa" w:w="2552"/>
          </w:tcPr>
          <w:p>
            <w:r>
              <w:t>Deterministic sandbox replay</w:t>
              <w:br/>
              <w:t>PARTIAL</w:t>
            </w:r>
          </w:p>
        </w:tc>
        <w:tc>
          <w:tcPr>
            <w:tcW w:type="dxa" w:w="2552"/>
          </w:tcPr>
          <w:p>
            <w:r>
              <w:t>An incident decision must be independently inspectable.</w:t>
            </w:r>
          </w:p>
        </w:tc>
        <w:tc>
          <w:tcPr>
            <w:tcW w:type="dxa" w:w="2552"/>
          </w:tcPr>
          <w:p>
            <w:r>
              <w:t>Replay engine (200) re-evaluates stored step inputs under faults without live actuation.</w:t>
            </w:r>
          </w:p>
        </w:tc>
        <w:tc>
          <w:tcPr>
            <w:tcW w:type="dxa" w:w="2552"/>
          </w:tcPr>
          <w:p>
            <w:r>
              <w:t>Allows counterfactual checking; equivalence to physical sensor timing remains unverified.</w:t>
              <w:br/>
              <w:t>src/modules/incident_management/replay_engine.py</w:t>
            </w:r>
          </w:p>
        </w:tc>
      </w:tr>
      <w:tr>
        <w:tc>
          <w:tcPr>
            <w:tcW w:type="dxa" w:w="2552"/>
          </w:tcPr>
          <w:p>
            <w:r>
              <w:t>Drift and governed feedback</w:t>
              <w:br/>
              <w:t>PARTIAL</w:t>
            </w:r>
          </w:p>
        </w:tc>
        <w:tc>
          <w:tcPr>
            <w:tcW w:type="dxa" w:w="2552"/>
          </w:tcPr>
          <w:p>
            <w:r>
              <w:t>Model behavior can change after deployment.</w:t>
            </w:r>
          </w:p>
        </w:tc>
        <w:tc>
          <w:tcPr>
            <w:tcW w:type="dxa" w:w="2552"/>
          </w:tcPr>
          <w:p>
            <w:r>
              <w:t>Drift monitor (210), feedback records and review queue (220) support human model assessment.</w:t>
            </w:r>
          </w:p>
        </w:tc>
        <w:tc>
          <w:tcPr>
            <w:tcW w:type="dxa" w:w="2552"/>
          </w:tcPr>
          <w:p>
            <w:r>
              <w:t>Provides a review path; continuous production retraining is not established.</w:t>
              <w:br/>
              <w:t>src/modules/assurance/drift_monitor.py</w:t>
            </w:r>
          </w:p>
        </w:tc>
      </w:tr>
      <w:tr>
        <w:tc>
          <w:tcPr>
            <w:tcW w:type="dxa" w:w="2552"/>
          </w:tcPr>
          <w:p>
            <w:r>
              <w:t>Tamper-evident evidence package</w:t>
              <w:br/>
              <w:t>PARTIAL</w:t>
            </w:r>
          </w:p>
        </w:tc>
        <w:tc>
          <w:tcPr>
            <w:tcW w:type="dxa" w:w="2552"/>
          </w:tcPr>
          <w:p>
            <w:r>
              <w:t>Incident evidence can be altered after capture.</w:t>
            </w:r>
          </w:p>
        </w:tc>
        <w:tc>
          <w:tcPr>
            <w:tcW w:type="dxa" w:w="2552"/>
          </w:tcPr>
          <w:p>
            <w:r>
              <w:t>Store (180) and verifier (190) export SHA-256 manifests; chain or replay-verified status requires separate confirmation.</w:t>
            </w:r>
          </w:p>
        </w:tc>
        <w:tc>
          <w:tcPr>
            <w:tcW w:type="dxa" w:w="2552"/>
          </w:tcPr>
          <w:p>
            <w:r>
              <w:t>Detects modified package files; full signed chain of custody is proposed.</w:t>
              <w:br/>
              <w:t>src/modules/database/governed_store.py; src/modules/reporting/evidence_verifier.py</w:t>
            </w:r>
          </w:p>
        </w:tc>
      </w:tr>
    </w:tbl>
    <w:p>
      <w:r>
        <w:rPr>
          <w:rFonts w:ascii="Arial" w:hAnsi="Arial"/>
          <w:b/>
          <w:sz w:val="28"/>
        </w:rPr>
        <w:t>Annex B  Prior art comparison</w:t>
      </w:r>
    </w:p>
    <w:tbl>
      <w:tblPr>
        <w:tblStyle w:val="TableGrid"/>
        <w:tblW w:type="auto" w:w="0"/>
        <w:tblLook w:firstColumn="1" w:firstRow="1" w:lastColumn="0" w:lastRow="0" w:noHBand="0" w:noVBand="1" w:val="04A0"/>
      </w:tblPr>
      <w:tblGrid>
        <w:gridCol w:w="2552"/>
        <w:gridCol w:w="2552"/>
        <w:gridCol w:w="2552"/>
        <w:gridCol w:w="2552"/>
      </w:tblGrid>
      <w:tr>
        <w:tc>
          <w:tcPr>
            <w:tcW w:type="dxa" w:w="2552"/>
          </w:tcPr>
          <w:p>
            <w:r>
              <w:t>Reference</w:t>
            </w:r>
          </w:p>
        </w:tc>
        <w:tc>
          <w:tcPr>
            <w:tcW w:type="dxa" w:w="2552"/>
          </w:tcPr>
          <w:p>
            <w:r>
              <w:t>Detection / control focus</w:t>
            </w:r>
          </w:p>
        </w:tc>
        <w:tc>
          <w:tcPr>
            <w:tcW w:type="dxa" w:w="2552"/>
          </w:tcPr>
          <w:p>
            <w:r>
              <w:t>Reliability-gated permission</w:t>
            </w:r>
          </w:p>
        </w:tc>
        <w:tc>
          <w:tcPr>
            <w:tcW w:type="dxa" w:w="2552"/>
          </w:tcPr>
          <w:p>
            <w:r>
              <w:t>Evidence / replay</w:t>
            </w:r>
          </w:p>
        </w:tc>
      </w:tr>
      <w:tr>
        <w:tc>
          <w:tcPr>
            <w:tcW w:type="dxa" w:w="2552"/>
          </w:tcPr>
          <w:p>
            <w:r>
              <w:t>P1 US20250166434A1</w:t>
            </w:r>
          </w:p>
        </w:tc>
        <w:tc>
          <w:tcPr>
            <w:tcW w:type="dxa" w:w="2552"/>
          </w:tcPr>
          <w:p>
            <w:r>
              <w:t>Multi-modal model for traffic accident analysis</w:t>
            </w:r>
          </w:p>
        </w:tc>
        <w:tc>
          <w:tcPr>
            <w:tcW w:type="dxa" w:w="2552"/>
          </w:tcPr>
          <w:p>
            <w:r>
              <w:t>Not identified in reviewed disclosure</w:t>
            </w:r>
          </w:p>
        </w:tc>
        <w:tc>
          <w:tcPr>
            <w:tcW w:type="dxa" w:w="2552"/>
          </w:tcPr>
          <w:p>
            <w:r>
              <w:t>Not identified in reviewed disclosure</w:t>
            </w:r>
          </w:p>
        </w:tc>
      </w:tr>
      <w:tr>
        <w:tc>
          <w:tcPr>
            <w:tcW w:type="dxa" w:w="2552"/>
          </w:tcPr>
          <w:p>
            <w:r>
              <w:t>P2 US7864071B2</w:t>
            </w:r>
          </w:p>
        </w:tc>
        <w:tc>
          <w:tcPr>
            <w:tcW w:type="dxa" w:w="2552"/>
          </w:tcPr>
          <w:p>
            <w:r>
              <w:t>Emergency vehicle traffic signal preemption system</w:t>
            </w:r>
          </w:p>
        </w:tc>
        <w:tc>
          <w:tcPr>
            <w:tcW w:type="dxa" w:w="2552"/>
          </w:tcPr>
          <w:p>
            <w:r>
              <w:t>Not identified in reviewed disclosure</w:t>
            </w:r>
          </w:p>
        </w:tc>
        <w:tc>
          <w:tcPr>
            <w:tcW w:type="dxa" w:w="2552"/>
          </w:tcPr>
          <w:p>
            <w:r>
              <w:t>Not identified in reviewed disclosure</w:t>
            </w:r>
          </w:p>
        </w:tc>
      </w:tr>
      <w:tr>
        <w:tc>
          <w:tcPr>
            <w:tcW w:type="dxa" w:w="2552"/>
          </w:tcPr>
          <w:p>
            <w:r>
              <w:t>P3 US9685080B2</w:t>
            </w:r>
          </w:p>
        </w:tc>
        <w:tc>
          <w:tcPr>
            <w:tcW w:type="dxa" w:w="2552"/>
          </w:tcPr>
          <w:p>
            <w:r>
              <w:t>Traffic light preemption management system</w:t>
            </w:r>
          </w:p>
        </w:tc>
        <w:tc>
          <w:tcPr>
            <w:tcW w:type="dxa" w:w="2552"/>
          </w:tcPr>
          <w:p>
            <w:r>
              <w:t>Not identified in reviewed disclosure</w:t>
            </w:r>
          </w:p>
        </w:tc>
        <w:tc>
          <w:tcPr>
            <w:tcW w:type="dxa" w:w="2552"/>
          </w:tcPr>
          <w:p>
            <w:r>
              <w:t>Not identified in reviewed disclosure</w:t>
            </w:r>
          </w:p>
        </w:tc>
      </w:tr>
      <w:tr>
        <w:tc>
          <w:tcPr>
            <w:tcW w:type="dxa" w:w="2552"/>
          </w:tcPr>
          <w:p>
            <w:r>
              <w:t>SENTINEL-AI</w:t>
            </w:r>
          </w:p>
        </w:tc>
        <w:tc>
          <w:tcPr>
            <w:tcW w:type="dxa" w:w="2552"/>
          </w:tcPr>
          <w:p>
            <w:r>
              <w:t>Multimodal incident assessment</w:t>
            </w:r>
          </w:p>
        </w:tc>
        <w:tc>
          <w:tcPr>
            <w:tcW w:type="dxa" w:w="2552"/>
          </w:tcPr>
          <w:p>
            <w:r>
              <w:t>Implemented/partial as Annex A</w:t>
            </w:r>
          </w:p>
        </w:tc>
        <w:tc>
          <w:tcPr>
            <w:tcW w:type="dxa" w:w="2552"/>
          </w:tcPr>
          <w:p>
            <w:r>
              <w:t>Digest package implemented; chain/replay status partial</w:t>
            </w:r>
          </w:p>
        </w:tc>
      </w:tr>
    </w:tbl>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p>
      <w:r>
        <w:rPr>
          <w:rFonts w:ascii="Arial" w:hAnsi="Arial"/>
          <w:b/>
          <w:sz w:val="28"/>
        </w:rPr>
        <w:t>Annex C  Draft claims</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p>
      <w:r>
        <w:rPr>
          <w:rFonts w:ascii="Arial" w:hAnsi="Arial"/>
          <w:b/>
          <w:sz w:val="28"/>
        </w:rPr>
        <w:t>Annex D  Reference numerals and figures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Every numeral used in the following figures is defined here and appears in the claim text or Annex A.</w:t>
      </w:r>
    </w:p>
    <w:p>
      <w:pPr>
        <w:jc w:val="center"/>
      </w:pPr>
      <w:r>
        <w:drawing>
          <wp:inline xmlns:a="http://schemas.openxmlformats.org/drawingml/2006/main" xmlns:pic="http://schemas.openxmlformats.org/drawingml/2006/picture">
            <wp:extent cx="6126480" cy="2603754"/>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6480" cy="2603754"/>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6480" cy="2603754"/>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6480" cy="2603754"/>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6480" cy="2603754"/>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6480" cy="2603754"/>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6480" cy="2603754"/>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6480" cy="2603754"/>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6480" cy="2603754"/>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6480" cy="2603754"/>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6480" cy="2603754"/>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6480" cy="2603754"/>
                    </a:xfrm>
                    <a:prstGeom prst="rect"/>
                  </pic:spPr>
                </pic:pic>
              </a:graphicData>
            </a:graphic>
          </wp:inline>
        </w:drawing>
      </w:r>
    </w:p>
    <w:p>
      <w:pPr>
        <w:jc w:val="center"/>
      </w:pPr>
      <w:r>
        <w:t>Drift and governed model review</w:t>
      </w:r>
    </w:p>
    <w:p>
      <w:r>
        <w:rPr>
          <w:rFonts w:ascii="Arial" w:hAnsi="Arial"/>
          <w:b/>
          <w:sz w:val="28"/>
        </w:rPr>
        <w:t>Annex E  Embodiments and implementation boundaries</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p>
      <w:r>
        <w:rPr>
          <w:rFonts w:ascii="Arial" w:hAnsi="Arial"/>
          <w:b/>
          <w:sz w:val="28"/>
        </w:rPr>
        <w:t>Annex F  Consistency audit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Reliability-Gated Multimodal Edge Emergency Detection and Governed Response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