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Edge-AI Multi-Sensor Urban Emergency Detection, Localization and Governed Response System</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This invention is an edge-computing safety system for traffic intersections. Its purpose is to understand an emergency locally, using more than one type of evidence, instead of depending on a single camera, a single sensor, or a remote cloud service. In ordinary CCTV-based monitoring, an operator may have to notice the problem first, while cloud analytics can add communication delay and may stop working properly when the network is poor. A single detector can also be misleading; for example, exhaust smoke, dust, glare or a loud horn can look or sound like an emergency when considered on their own.</w:t>
            </w:r>
          </w:p>
          <w:p>
            <w:pPr>
              <w:spacing w:after="20" w:before="0"/>
              <w:jc w:val="both"/>
            </w:pPr>
          </w:p>
          <w:p>
            <w:pPr>
              <w:spacing w:after="20"/>
              <w:jc w:val="both"/>
            </w:pPr>
            <w:r>
              <w:rPr>
                <w:rFonts w:ascii="Calibri" w:hAnsi="Calibri"/>
                <w:sz w:val="18"/>
              </w:rPr>
              <w:t>The present prototype brings together three AI functions: an audio classifier for ambient sound, crash, horn and siren; a fire/smoke vision detector; and a vehicle detector for car, truck, bus and motorcycle. Their outputs are passed into the project sensor pipeline and deep-rule logic rather than being treated as final decisions by themselves. The project also supports separate model profiles, so experimental models can be tested without replacing the original legacy models.</w:t>
            </w:r>
          </w:p>
          <w:p>
            <w:pPr>
              <w:spacing w:after="20" w:before="0"/>
              <w:jc w:val="both"/>
            </w:pPr>
          </w:p>
          <w:p>
            <w:pPr>
              <w:spacing w:after="20"/>
              <w:jc w:val="both"/>
            </w:pPr>
            <w:r>
              <w:rPr>
                <w:rFonts w:ascii="Calibri" w:hAnsi="Calibri"/>
                <w:sz w:val="18"/>
              </w:rPr>
              <w:t>A Model Assurance layer has been added to show the active profile, live confidence, held-out F1 reliability, source of the training data, readiness level and classes that are not reliable enough for normal use. Because the current newly trained profile is based on synthetic/generated data, it is intentionally labelled RESEARCH_ONLY. A high confidence score therefore does not automatically mean that the model is ready for real-world traffic control. Human confirmation remains part of the operating concept.</w:t>
            </w:r>
          </w:p>
          <w:p>
            <w:pPr>
              <w:spacing w:after="20" w:before="0"/>
              <w:jc w:val="both"/>
            </w:pPr>
          </w:p>
          <w:p>
            <w:pPr>
              <w:spacing w:after="20"/>
              <w:jc w:val="both"/>
            </w:pPr>
            <w:r>
              <w:rPr>
                <w:rFonts w:ascii="Calibri" w:hAnsi="Calibri"/>
                <w:sz w:val="18"/>
              </w:rPr>
              <w:t>The wider invention is intended to evolve into a multimodal, explainable incident-management platform. Future embodiments can add temporal validation, dynamic risk scoring, unknown/out-of-distribution detection, confidence calibration, event correlation, device health, model drift, operator feedback, real-time camera and microphone streams, incident evidence packages, site maps and other traffic-intelligence functions. These extensions follow the same principle: the system should expose uncertainty, combine independent evidence and continue to operate locally even when external connectivity is unavailable.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The invention is an offline-first edge-computing safety system for urban intersections. It addresses delayed and unreliable emergency detection caused by single-camera systems, isolated alarms, cloud dependence and unverified automatic actuation. A Raspberry Pi 4 combines acoustic, visual, thermal/humidity, gas/smoke, inertial and GPS evidence; produces a localized risk assessment; presents a governed response plan; and records an auditable incident package. Emergency-service contact remains operator-approved and the system never silently claims that a synthetic model is field validated.</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Edge AI; Raspberry Pi 4; multimodal sensor fusion; urban emergency detection; crash detection; fire and smoke detection; acoustic event classification; INMP441; GY-87 MPU6050; MQ-2 gas sensor; ADS1115 ADC; DHT22; NEO-6M GPS; localization; traffic-corridor response; operator-in-the-loop; assurance; out-of-distribution detection; offline-first incident evidence; tamper-evident audit log; black-box recorder.</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Yes. The project addresses the practical gap between isolated detectors and an integrated, explainable edge safety platform. Instead of treating one AI output as the truth, the architecture is designed to combine visual, acoustic and physical-sensor evidence, consider how reliable the active model is, and show the operator why an event has been raised. It can also continue local processing during loss of external connectivity.</w:t>
            </w:r>
          </w:p>
          <w:p>
            <w:pPr>
              <w:spacing w:after="20" w:before="0"/>
              <w:jc w:val="both"/>
            </w:pPr>
          </w:p>
          <w:p>
            <w:pPr>
              <w:spacing w:after="20"/>
              <w:jc w:val="both"/>
            </w:pPr>
            <w:r>
              <w:rPr>
                <w:rFonts w:ascii="Calibri" w:hAnsi="Calibri"/>
                <w:sz w:val="18"/>
              </w:rPr>
              <w:t>A second gap is AI deployment discipline. The project deliberately keeps the newly trained synthetic profile separate from the legacy profile and labels it RESEARCH_ONLY. That means the system can demonstrate a new model without silently treating synthetic-data performance as field performance. This separation of detection confidence, model reliability and deployment readiness is an important part of the invention concept.</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inventive contribution is the governed combination of: (i) heterogeneous low-cost sensors on a Raspberry Pi edge node; (ii) temporal, cross-modal corroboration with sensor-availability awareness; (iii) assurance states, model identity, usage restrictions and OOD reasons attached to every prediction; (iv) an operator-in-the-loop response contract that separates recommendation from authorization; (v) offline-first, tamper-evident incident evidence containing timeline, model versions, actions and file hashes; and (vi) safe actuator control with explicit power-domain and GPIO constraints. The novelty lies in this auditable arrangement and decision procedure rather than in claiming any individual sensor or neural network in isolation.</w:t>
            </w: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one detector is fooled by exhaust, noise, glare or environmental conditions. Model Assurance makes the limitations of the active model visible instead of hiding them behind a confidence percentage.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rPr>
                <w:rFonts w:ascii="Arial" w:hAnsi="Arial"/>
                <w:sz w:val="18"/>
              </w:rPr>
              <w:t>The following supplementary drawings are provided in two sets as requested: a fully labeled set for technical specification and a clean set without descriptive labels for formal drawing use. The original project diagram remains preserved in the source disclosure.</w:t>
            </w:r>
          </w:p>
          <w:p>
            <w:pPr>
              <w:jc w:val="center"/>
            </w:pPr>
            <w:r>
              <w:drawing>
                <wp:inline xmlns:a="http://schemas.openxmlformats.org/drawingml/2006/main" xmlns:pic="http://schemas.openxmlformats.org/drawingml/2006/picture">
                  <wp:extent cx="5852160" cy="3836416"/>
                  <wp:docPr id="1" name="Picture 1"/>
                  <wp:cNvGraphicFramePr>
                    <a:graphicFrameLocks noChangeAspect="1"/>
                  </wp:cNvGraphicFramePr>
                  <a:graphic>
                    <a:graphicData uri="http://schemas.openxmlformats.org/drawingml/2006/picture">
                      <pic:pic>
                        <pic:nvPicPr>
                          <pic:cNvPr id="0" name="hardware_wiring_labeled.png"/>
                          <pic:cNvPicPr/>
                        </pic:nvPicPr>
                        <pic:blipFill>
                          <a:blip r:embed="rId10"/>
                          <a:stretch>
                            <a:fillRect/>
                          </a:stretch>
                        </pic:blipFill>
                        <pic:spPr>
                          <a:xfrm>
                            <a:off x="0" y="0"/>
                            <a:ext cx="5852160" cy="3836416"/>
                          </a:xfrm>
                          <a:prstGeom prst="rect"/>
                        </pic:spPr>
                      </pic:pic>
                    </a:graphicData>
                  </a:graphic>
                </wp:inline>
              </w:drawing>
            </w:r>
          </w:p>
          <w:p>
            <w:pPr>
              <w:jc w:val="center"/>
            </w:pPr>
            <w:r>
              <w:t>Fig. 2: Fully labeled Raspberry Pi 4 hardware wiring diagram</w:t>
            </w:r>
          </w:p>
          <w:p>
            <w:pPr>
              <w:jc w:val="center"/>
            </w:pPr>
            <w:r>
              <w:drawing>
                <wp:inline xmlns:a="http://schemas.openxmlformats.org/drawingml/2006/main" xmlns:pic="http://schemas.openxmlformats.org/drawingml/2006/picture">
                  <wp:extent cx="5852160" cy="3836416"/>
                  <wp:docPr id="2" name="Picture 2"/>
                  <wp:cNvGraphicFramePr>
                    <a:graphicFrameLocks noChangeAspect="1"/>
                  </wp:cNvGraphicFramePr>
                  <a:graphic>
                    <a:graphicData uri="http://schemas.openxmlformats.org/drawingml/2006/picture">
                      <pic:pic>
                        <pic:nvPicPr>
                          <pic:cNvPr id="0" name="hardware_wiring_clean.png"/>
                          <pic:cNvPicPr/>
                        </pic:nvPicPr>
                        <pic:blipFill>
                          <a:blip r:embed="rId11"/>
                          <a:stretch>
                            <a:fillRect/>
                          </a:stretch>
                        </pic:blipFill>
                        <pic:spPr>
                          <a:xfrm>
                            <a:off x="0" y="0"/>
                            <a:ext cx="5852160" cy="3836416"/>
                          </a:xfrm>
                          <a:prstGeom prst="rect"/>
                        </pic:spPr>
                      </pic:pic>
                    </a:graphicData>
                  </a:graphic>
                </wp:inline>
              </w:drawing>
            </w:r>
          </w:p>
          <w:p>
            <w:pPr>
              <w:jc w:val="center"/>
            </w:pPr>
            <w:r>
              <w:t>Fig. 3: Clean wiring drawing without descriptive labels</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4: System architecture and emergency response flow</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I designed SENTINEL-AI so that an emergency is treated as a sequence of evidence and decisions rather than as one alarm. The device senses locally, checks whether different sensors agree, explains why it raised a risk, lets an authorized human approve the response, and preserves what happened for later review. This makes the prototype useful even when the network is unavailable and makes its limitations visible.</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Prototype validation includes unit and integration tests for the database migrations, incident IDs and merge windows, duplicate suppression, writer-queue resilience, evidence export and tamper detection, model checksum mismatch, role permissions and regression behavior. Simulation live-streams produce incident records and evidence manifests. Results are laboratory/prototype evidence; field performance, emergency dispatch integration and safety certification remain future validation steps.</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dashboard/API is running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Advantages include low-latency local operation; resilience during network loss; multi-modal corroboration that can reduce single-sensor false alarms; explicit uncertainty and OOD handling; operator-controlled escalation; physical pin and power safety; synchronized incident timelines; hash-verified evidence; role-based permissions; and a hardware/software architecture that can be reproduced on low-cost edge hardware.</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dependable enough to trust. That gives a system integrator a clearer path from research AI to controlled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The commercial opportunity sits across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Benefits include faster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Faster local detection and assessment of emergencies; reduced dependence on cloud connectivity; fewer false alarms caused by a single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14:paraId="3CF7D670" w14:textId="18664B4C" w:rsidR="00424F72" w:rsidRPr="005B098F" w:rsidRDefault="00424F72" w:rsidP="00424F72">
            <w:pPr>
              <w:pStyle w:val="NormalWeb"/>
              <w:spacing w:before="0" w:beforeAutospacing="0" w:after="0" w:afterAutospacing="0"/>
              <w:ind w:left="720"/>
              <w:rPr>
                <w:sz w:val="23"/>
                <w:szCs w:val="23"/>
              </w:rPr>
            </w:pPr>
            <w:r w:rsidRPr="005B098F">
              <w:rPr>
                <w:sz w:val="23"/>
                <w:szCs w:val="23"/>
              </w:rPr>
              <w:t>Research</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sidRPr="005B098F">
              <w:rPr>
                <w:b/>
                <w:bCs/>
                <w:sz w:val="23"/>
                <w:szCs w:val="23"/>
              </w:rP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Recommended present level: TRL 4-5, depending on the institution's interpretation. The integrated software prototype, trained models, APIs, Model Assurance and regression tests demonstrate laboratory validation, and the system is structured for Raspberry Pi/edge deployment. However, the new synthetic model profile remains RESEARCH_ONLY and a full real-junction trial has not yet been completed.</w:t>
            </w:r>
          </w:p>
          <w:p>
            <w:pPr>
              <w:spacing w:after="20" w:before="0"/>
              <w:jc w:val="both"/>
            </w:pPr>
          </w:p>
          <w:p>
            <w:pPr>
              <w:spacing w:after="20"/>
              <w:jc w:val="both"/>
            </w:pPr>
            <w:r>
              <w:rPr>
                <w:rFonts w:ascii="Calibri" w:hAnsi="Calibri"/>
                <w:sz w:val="18"/>
              </w:rPr>
              <w:t>Tick TRL 4 if the institution requires validation to remain strictly within a laboratory environment. Tick TRL 5 only if the assembled prototype has been demonstrated in a representative traffic-junction model or comparable relevant environment. TRL 6 should be used only after the integrated prototype is demonstrated in a relevant physical environment, and TRL 7 only after an operational-environment prototype demonstration.</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Additional notes: the supplied first/project circuit diagram is intentionally preserved. This completed disclosure adds the faculty-style supplementary labeled schematic, clean drawing set, system architecture flow, connection table and technical notes. The MQ-2 is not connected directly to a Raspberry Pi GPIO; the SG90 has a suitable 5 V source and common ground; USB camera uses a USB port; and GY-87 auxiliary pins VCC_IN, FSYNC, INTA and DRDY remain unconnected unless the selected module requires them. Patentability, inventorship and legal claim scope should be reviewed by the institution's IP office.</w:t>
            </w:r>
          </w:p>
        </w:tc>
      </w:tr>
    </w:tbl>
    <w:p w14:paraId="7EDE8D55" w14:textId="77777777" w:rsidR="004E13BF" w:rsidRDefault="004E13BF" w:rsidP="00015840">
      <w:pPr>
        <w:rPr>
          <w:i/>
        </w:rPr>
      </w:pP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SENTINEL-AI Invention Disclosure – Complete Technical Version</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