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Ind w:type="dxa" w:w="0"/>
        <w:tblBorders>
          <w:top w:val="none" w:color="auto" w:sz="0"/>
          <w:left w:val="none" w:color="auto" w:sz="0"/>
          <w:bottom w:val="none" w:color="auto" w:sz="0"/>
          <w:right w:val="none" w:color="auto" w:sz="0"/>
          <w:insideH w:val="none" w:color="auto" w:sz="0"/>
          <w:insideV w:val="none" w:color="auto" w:sz="0"/>
        </w:tblBorders>
        <w:tblLayout w:type="fixed"/>
        <w:tblCellMar>
          <w:top w:type="dxa" w:w="0"/>
          <w:left w:type="dxa" w:w="0"/>
          <w:bottom w:type="dxa" w:w="0"/>
          <w:right w:type="dxa" w:w="0"/>
        </w:tblCellMar>
      </w:tblPr>
      <w:tblGrid>
        <w:gridCol w:w="100"/>
      </w:tblGrid>
      <w:tr>
        <w:trPr>
          <w:trHeight w:val="396" w:hRule="exact"/>
        </w:trPr>
        <w:tc>
          <w:tcPr>
            <w:shd w:fill="1B49AE"/>
            <w:tcMar>
              <w:top w:type="dxa" w:w="0"/>
              <w:left w:type="dxa" w:w="0"/>
              <w:bottom w:type="dxa" w:w="0"/>
              <w:right w:type="dxa" w:w="0"/>
            </w:tcMar>
          </w:tcPr>
          <w:p>
            <w:pPr>
              <w:spacing w:after="0" w:before="0" w:line="20" w:lineRule="exact"/>
            </w:pPr>
          </w:p>
        </w:tc>
      </w:tr>
      <w:tr>
        <w:trPr>
          <w:trHeight w:val="16327" w:hRule="exact"/>
        </w:trPr>
        <w:tc>
          <w:tcPr>
            <w:tcMar>
              <w:top w:type="dxa" w:w="0"/>
              <w:left w:type="dxa" w:w="0"/>
              <w:bottom w:type="dxa" w:w="0"/>
              <w:right w:type="dxa" w:w="0"/>
            </w:tcMar>
            <w:vAlign w:val="top"/>
          </w:tcPr>
          <w:p>
            <w:pPr>
              <w:spacing w:after="200" w:before="1474"/>
              <w:ind w:left="1360" w:right="1360"/>
              <w:jc w:val="left"/>
            </w:pPr>
          </w:p>
          <w:p>
            <w:pPr>
              <w:spacing w:after="260"/>
              <w:ind w:left="1360" w:right="1360"/>
              <w:jc w:val="left"/>
            </w:pPr>
            <w:r>
              <w:rPr>
                <w:rFonts w:ascii="DocForge Sans" w:cs="DocForge Sans" w:eastAsia="DocForge Sans" w:hAnsi="DocForge Sans"/>
                <w:b/>
                <w:bCs/>
                <w:color w:val="10141A"/>
                <w:sz w:val="62"/>
                <w:szCs w:val="62"/>
              </w:rPr>
              <w:t xml:space="preserve">gawk</w:t>
            </w:r>
          </w:p>
          <w:p>
            <w:pPr>
              <w:spacing w:after="0" w:before="5385"/>
              <w:ind w:left="1360" w:right="1360"/>
              <w:jc w:val="left"/>
            </w:pPr>
          </w:p>
          <w:tbl>
            <w:tblPr>
              <w:tblW w:type="dxa" w:w="1247"/>
              <w:jc w:val="left"/>
              <w:tblInd w:type="dxa" w:w="136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100"/>
            </w:tblGrid>
            <w:tr>
              <w:trPr>
                <w:trHeight w:val="68" w:hRule="exact"/>
              </w:trPr>
              <w:tc>
                <w:tcPr>
                  <w:shd w:fill="2157CF"/>
                  <w:tcMar>
                    <w:top w:type="dxa" w:w="0"/>
                    <w:left w:type="dxa" w:w="0"/>
                    <w:bottom w:type="dxa" w:w="0"/>
                    <w:right w:type="dxa" w:w="0"/>
                  </w:tcMar>
                </w:tcPr>
                <w:p>
                  <w:pPr>
                    <w:spacing w:after="0" w:before="0" w:line="20" w:lineRule="exact"/>
                  </w:pPr>
                </w:p>
              </w:tc>
            </w:tr>
          </w:tbl>
          <w:p>
            <w:pPr>
              <w:spacing w:after="0" w:before="200"/>
              <w:ind w:left="1360" w:right="1360"/>
              <w:jc w:val="left"/>
            </w:pPr>
            <w:r>
              <w:rPr>
                <w:color w:val="6A7180"/>
                <w:sz w:val="21"/>
                <w:szCs w:val="21"/>
              </w:rPr>
              <w:t xml:space="preserve">15 August 2026</w:t>
            </w:r>
          </w:p>
        </w:tc>
      </w:tr>
      <w:tr>
        <w:trPr>
          <w:trHeight w:val="113" w:hRule="exact"/>
        </w:trPr>
        <w:tc>
          <w:tcPr>
            <w:shd w:fill="C6D6FA"/>
            <w:tcMar>
              <w:top w:type="dxa" w:w="0"/>
              <w:left w:type="dxa" w:w="0"/>
              <w:bottom w:type="dxa" w:w="0"/>
              <w:right w:type="dxa" w:w="0"/>
            </w:tcMar>
          </w:tcPr>
          <w:p>
            <w:pPr>
              <w:spacing w:after="0" w:before="0" w:line="20" w:lineRule="exact"/>
            </w:pPr>
          </w:p>
        </w:tc>
      </w:tr>
    </w:tbl>
    <w:p>
      <w:pPr>
        <w:sectPr>
          <w:type w:val="nextPage"/>
          <w:pgSz w:w="11905" w:h="16837" w:orient="portrait"/>
          <w:pgMar w:top="0" w:right="0" w:bottom="0" w:left="0" w:header="0" w:footer="0" w:gutter="0"/>
          <w:pgNumType/>
          <w:docGrid w:linePitch="360"/>
        </w:sectPr>
      </w:pPr>
    </w:p>
    <w:p>
      <w:pPr>
        <w:pStyle w:val="Heading1"/>
        <w:keepNext/>
        <w:keepLines/>
        <w:pBdr>
          <w:bottom w:val="single" w:color="2157CF" w:sz="8" w:space="3"/>
        </w:pBdr>
      </w:pPr>
      <w:r>
        <w:t xml:space="preserve">STATE-WISE BUSINESS RULES &amp; REGULATIONS IN INDIA</w:t>
      </w:r>
    </w:p>
    <w:p>
      <w:pPr>
        <w:pStyle w:val="Heading3"/>
        <w:keepNext/>
        <w:keepLines/>
      </w:pPr>
      <w:r>
        <w:t xml:space="preserve">A Comprehensive Comparative Study of Regulatory Compliance Across All States and Union Territories</w:t>
      </w:r>
    </w:p>
    <w:p>
      <w:r>
        <w:rPr>
          <w:i/>
          <w:iCs/>
        </w:rPr>
        <w:t xml:space="preserve">Covering Business Registration, Taxation, Labour &amp; Employment, Land, Environment, Industrial Licensing and Sector-Specific Approvals</w:t>
      </w:r>
    </w:p>
    <w:p>
      <w:r>
        <w:rPr>
          <w:b/>
          <w:bCs/>
        </w:rPr>
        <w:t xml:space="preserve">Prepared for academic study purposes | August 2026</w:t>
      </w:r>
    </w:p>
    <w:p>
      <w:pPr>
        <w:pStyle w:val="Heading2"/>
        <w:keepNext/>
        <w:keepLines/>
      </w:pPr>
      <w:r>
        <w:t xml:space="preserve">How to Read This Document</w:t>
      </w:r>
    </w:p>
    <w:p>
      <w:r>
        <w:t xml:space="preserve">This document is organised in three parts.</w:t>
      </w:r>
    </w:p>
    <w:p>
      <w:r>
        <w:rPr>
          <w:b/>
          <w:bCs/>
        </w:rPr>
        <w:t xml:space="preserve">Part A (Sections 1–9)</w:t>
      </w:r>
      <w:r>
        <w:t xml:space="preserve"> is the </w:t>
      </w:r>
      <w:r>
        <w:rPr>
          <w:i/>
          <w:iCs/>
        </w:rPr>
        <w:t xml:space="preserve">thematic</w:t>
      </w:r>
      <w:r>
        <w:t xml:space="preserve"> view. It walks department by department and shows, for each, what is decided centrally and where state variation enters. Use this when you want to understand a subject — say, professional tax — across the whole country.</w:t>
      </w:r>
    </w:p>
    <w:p>
      <w:r>
        <w:rPr>
          <w:b/>
          <w:bCs/>
        </w:rPr>
        <w:t xml:space="preserve">Part B (Section 10)</w:t>
      </w:r>
      <w:r>
        <w:t xml:space="preserve"> is the </w:t>
      </w:r>
      <w:r>
        <w:rPr>
          <w:i/>
          <w:iCs/>
        </w:rPr>
        <w:t xml:space="preserve">jurisdictional</w:t>
      </w:r>
      <w:r>
        <w:t xml:space="preserve"> view. It gives a standalone profile for each of the 28 states and 8 Union Territories using an identical field structure, so any two can be placed side by side. Use this when you want to understand a single location’s full obligation set.</w:t>
      </w:r>
    </w:p>
    <w:p>
      <w:r>
        <w:rPr>
          <w:b/>
          <w:bCs/>
        </w:rPr>
        <w:t xml:space="preserve">Part C (Sections 11–15)</w:t>
      </w:r>
      <w:r>
        <w:t xml:space="preserve"> is the </w:t>
      </w:r>
      <w:r>
        <w:rPr>
          <w:i/>
          <w:iCs/>
        </w:rPr>
        <w:t xml:space="preserve">operational</w:t>
      </w:r>
      <w:r>
        <w:t xml:space="preserve"> view — consolidated checklists, a compliance calendar, penalty exposure, common failure points, and a glossary.</w:t>
      </w:r>
    </w:p>
    <w:p>
      <w:r>
        <w:t xml:space="preserve">Every figure in this document is a </w:t>
      </w:r>
      <w:r>
        <w:rPr>
          <w:b/>
          <w:bCs/>
        </w:rPr>
        <w:t xml:space="preserve">snapshot subject to change by state notification</w:t>
      </w:r>
      <w:r>
        <w:t xml:space="preserve">. Stamp duty percentages, professional tax slabs, minimum wages and threshold limits are revised frequently — sometimes twice a year. Treat all numbers as indicative ranges for study, never as authority for a transaction.</w:t>
      </w:r>
    </w:p>
    <w:p>
      <w:pPr>
        <w:pStyle w:val="Heading1"/>
        <w:keepNext/>
        <w:keepLines/>
        <w:pBdr>
          <w:bottom w:val="single" w:color="2157CF" w:sz="8" w:space="3"/>
        </w:pBdr>
      </w:pPr>
      <w:r>
        <w:t xml:space="preserve">PART A — THE THEMATIC VIEW</w:t>
      </w:r>
    </w:p>
    <w:p>
      <w:pPr>
        <w:pStyle w:val="Heading1"/>
        <w:keepNext/>
        <w:keepLines/>
        <w:pBdr>
          <w:bottom w:val="single" w:color="2157CF" w:sz="8" w:space="3"/>
        </w:pBdr>
      </w:pPr>
      <w:r>
        <w:t xml:space="preserve">1. Introduction: How Regulation Is Divided in India</w:t>
      </w:r>
    </w:p>
    <w:p>
      <w:pPr>
        <w:pStyle w:val="Heading2"/>
        <w:keepNext/>
        <w:keepLines/>
      </w:pPr>
      <w:r>
        <w:t xml:space="preserve">1.1 The Constitutional Basis</w:t>
      </w:r>
    </w:p>
    <w:p>
      <w:r>
        <w:t xml:space="preserve">India is a federal union with a pronounced central tilt. Legislative power is distributed by </w:t>
      </w:r>
      <w:r>
        <w:rPr>
          <w:b/>
          <w:bCs/>
        </w:rPr>
        <w:t xml:space="preserve">Article 246 read with the Seventh Schedule</w:t>
      </w:r>
      <w:r>
        <w:t xml:space="preserve">, which contains three lists: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List</w:t>
            </w:r>
          </w:p>
        </w:tc>
        <w:tc>
          <w:tcPr>
            <w:shd w:fill="F0F4FE"/>
            <w:tcMar>
              <w:top w:type="dxa" w:w="70"/>
              <w:left w:type="dxa" w:w="110"/>
              <w:bottom w:type="dxa" w:w="70"/>
              <w:right w:type="dxa" w:w="110"/>
            </w:tcMar>
          </w:tcPr>
          <w:p>
            <w:pPr>
              <w:spacing w:after="0"/>
            </w:pPr>
            <w:r>
              <w:rPr>
                <w:b/>
                <w:bCs/>
                <w:color w:val="112D6A"/>
              </w:rPr>
              <w:t xml:space="preserve">Contains</w:t>
            </w:r>
          </w:p>
        </w:tc>
        <w:tc>
          <w:tcPr>
            <w:shd w:fill="F0F4FE"/>
            <w:tcMar>
              <w:top w:type="dxa" w:w="70"/>
              <w:left w:type="dxa" w:w="110"/>
              <w:bottom w:type="dxa" w:w="70"/>
              <w:right w:type="dxa" w:w="110"/>
            </w:tcMar>
          </w:tcPr>
          <w:p>
            <w:pPr>
              <w:spacing w:after="0"/>
            </w:pPr>
            <w:r>
              <w:rPr>
                <w:b/>
                <w:bCs/>
                <w:color w:val="112D6A"/>
              </w:rPr>
              <w:t xml:space="preserve">Who Legislates</w:t>
            </w:r>
          </w:p>
        </w:tc>
        <w:tc>
          <w:tcPr>
            <w:shd w:fill="F0F4FE"/>
            <w:tcMar>
              <w:top w:type="dxa" w:w="70"/>
              <w:left w:type="dxa" w:w="110"/>
              <w:bottom w:type="dxa" w:w="70"/>
              <w:right w:type="dxa" w:w="110"/>
            </w:tcMar>
          </w:tcPr>
          <w:p>
            <w:pPr>
              <w:spacing w:after="0"/>
            </w:pPr>
            <w:r>
              <w:rPr>
                <w:b/>
                <w:bCs/>
                <w:color w:val="112D6A"/>
              </w:rPr>
              <w:t xml:space="preserve">Count</w:t>
            </w:r>
          </w:p>
        </w:tc>
      </w:tr>
      <w:tr>
        <w:trPr>
          <w:cantSplit/>
          <w:tblHeader w:val="false"/>
        </w:trPr>
        <w:tc>
          <w:tcPr>
            <w:tcMar>
              <w:top w:type="dxa" w:w="70"/>
              <w:left w:type="dxa" w:w="110"/>
              <w:bottom w:type="dxa" w:w="70"/>
              <w:right w:type="dxa" w:w="110"/>
            </w:tcMar>
          </w:tcPr>
          <w:p>
            <w:pPr>
              <w:spacing w:after="0"/>
            </w:pPr>
            <w:r>
              <w:rPr>
                <w:b/>
                <w:bCs/>
              </w:rPr>
              <w:t xml:space="preserve">List I — Union List</w:t>
            </w:r>
          </w:p>
        </w:tc>
        <w:tc>
          <w:tcPr>
            <w:tcMar>
              <w:top w:type="dxa" w:w="70"/>
              <w:left w:type="dxa" w:w="110"/>
              <w:bottom w:type="dxa" w:w="70"/>
              <w:right w:type="dxa" w:w="110"/>
            </w:tcMar>
          </w:tcPr>
          <w:p>
            <w:pPr>
              <w:spacing w:after="0"/>
            </w:pPr>
            <w:r>
              <w:t xml:space="preserve">Defence, foreign affairs, banking, insurance, corporations, income tax, customs, inter-state trade</w:t>
            </w:r>
          </w:p>
        </w:tc>
        <w:tc>
          <w:tcPr>
            <w:tcMar>
              <w:top w:type="dxa" w:w="70"/>
              <w:left w:type="dxa" w:w="110"/>
              <w:bottom w:type="dxa" w:w="70"/>
              <w:right w:type="dxa" w:w="110"/>
            </w:tcMar>
          </w:tcPr>
          <w:p>
            <w:pPr>
              <w:spacing w:after="0"/>
            </w:pPr>
            <w:r>
              <w:t xml:space="preserve">Parliament exclusively</w:t>
            </w:r>
          </w:p>
        </w:tc>
        <w:tc>
          <w:tcPr>
            <w:tcMar>
              <w:top w:type="dxa" w:w="70"/>
              <w:left w:type="dxa" w:w="110"/>
              <w:bottom w:type="dxa" w:w="70"/>
              <w:right w:type="dxa" w:w="110"/>
            </w:tcMar>
          </w:tcPr>
          <w:p>
            <w:pPr>
              <w:spacing w:after="0"/>
            </w:pPr>
            <w:r>
              <w:t xml:space="preserve">97 entries</w:t>
            </w:r>
          </w:p>
        </w:tc>
      </w:tr>
      <w:tr>
        <w:trPr>
          <w:cantSplit/>
          <w:tblHeader w:val="false"/>
        </w:trPr>
        <w:tc>
          <w:tcPr>
            <w:tcMar>
              <w:top w:type="dxa" w:w="70"/>
              <w:left w:type="dxa" w:w="110"/>
              <w:bottom w:type="dxa" w:w="70"/>
              <w:right w:type="dxa" w:w="110"/>
            </w:tcMar>
          </w:tcPr>
          <w:p>
            <w:pPr>
              <w:spacing w:after="0"/>
            </w:pPr>
            <w:r>
              <w:rPr>
                <w:b/>
                <w:bCs/>
              </w:rPr>
              <w:t xml:space="preserve">List II — State List</w:t>
            </w:r>
          </w:p>
        </w:tc>
        <w:tc>
          <w:tcPr>
            <w:tcMar>
              <w:top w:type="dxa" w:w="70"/>
              <w:left w:type="dxa" w:w="110"/>
              <w:bottom w:type="dxa" w:w="70"/>
              <w:right w:type="dxa" w:w="110"/>
            </w:tcMar>
          </w:tcPr>
          <w:p>
            <w:pPr>
              <w:spacing w:after="0"/>
            </w:pPr>
            <w:r>
              <w:t xml:space="preserve">Public order, police, local government, land, agriculture, alcohol, betting, professions tax, state excise</w:t>
            </w:r>
          </w:p>
        </w:tc>
        <w:tc>
          <w:tcPr>
            <w:tcMar>
              <w:top w:type="dxa" w:w="70"/>
              <w:left w:type="dxa" w:w="110"/>
              <w:bottom w:type="dxa" w:w="70"/>
              <w:right w:type="dxa" w:w="110"/>
            </w:tcMar>
          </w:tcPr>
          <w:p>
            <w:pPr>
              <w:spacing w:after="0"/>
            </w:pPr>
            <w:r>
              <w:t xml:space="preserve">State Legislature exclusively</w:t>
            </w:r>
          </w:p>
        </w:tc>
        <w:tc>
          <w:tcPr>
            <w:tcMar>
              <w:top w:type="dxa" w:w="70"/>
              <w:left w:type="dxa" w:w="110"/>
              <w:bottom w:type="dxa" w:w="70"/>
              <w:right w:type="dxa" w:w="110"/>
            </w:tcMar>
          </w:tcPr>
          <w:p>
            <w:pPr>
              <w:spacing w:after="0"/>
            </w:pPr>
            <w:r>
              <w:t xml:space="preserve">66 entries</w:t>
            </w:r>
          </w:p>
        </w:tc>
      </w:tr>
      <w:tr>
        <w:trPr>
          <w:cantSplit/>
          <w:tblHeader w:val="false"/>
        </w:trPr>
        <w:tc>
          <w:tcPr>
            <w:tcMar>
              <w:top w:type="dxa" w:w="70"/>
              <w:left w:type="dxa" w:w="110"/>
              <w:bottom w:type="dxa" w:w="70"/>
              <w:right w:type="dxa" w:w="110"/>
            </w:tcMar>
          </w:tcPr>
          <w:p>
            <w:pPr>
              <w:spacing w:after="0"/>
            </w:pPr>
            <w:r>
              <w:rPr>
                <w:b/>
                <w:bCs/>
              </w:rPr>
              <w:t xml:space="preserve">List III — Concurrent List</w:t>
            </w:r>
          </w:p>
        </w:tc>
        <w:tc>
          <w:tcPr>
            <w:tcMar>
              <w:top w:type="dxa" w:w="70"/>
              <w:left w:type="dxa" w:w="110"/>
              <w:bottom w:type="dxa" w:w="70"/>
              <w:right w:type="dxa" w:w="110"/>
            </w:tcMar>
          </w:tcPr>
          <w:p>
            <w:pPr>
              <w:spacing w:after="0"/>
            </w:pPr>
            <w:r>
              <w:t xml:space="preserve">Contracts, bankruptcy, trade unions, labour welfare, factories, electricity, economic and social planning, environment (via forests/wildlife entries)</w:t>
            </w:r>
          </w:p>
        </w:tc>
        <w:tc>
          <w:tcPr>
            <w:tcMar>
              <w:top w:type="dxa" w:w="70"/>
              <w:left w:type="dxa" w:w="110"/>
              <w:bottom w:type="dxa" w:w="70"/>
              <w:right w:type="dxa" w:w="110"/>
            </w:tcMar>
          </w:tcPr>
          <w:p>
            <w:pPr>
              <w:spacing w:after="0"/>
            </w:pPr>
            <w:r>
              <w:t xml:space="preserve">Both; central law prevails on repugnancy (Art. 254)</w:t>
            </w:r>
          </w:p>
        </w:tc>
        <w:tc>
          <w:tcPr>
            <w:tcMar>
              <w:top w:type="dxa" w:w="70"/>
              <w:left w:type="dxa" w:w="110"/>
              <w:bottom w:type="dxa" w:w="70"/>
              <w:right w:type="dxa" w:w="110"/>
            </w:tcMar>
          </w:tcPr>
          <w:p>
            <w:pPr>
              <w:spacing w:after="0"/>
            </w:pPr>
            <w:r>
              <w:t xml:space="preserve">47 entries</w:t>
            </w:r>
          </w:p>
        </w:tc>
      </w:tr>
    </w:tbl>
    <w:p>
      <w:pPr>
        <w:spacing w:after="40"/>
      </w:pPr>
    </w:p>
    <w:p>
      <w:r>
        <w:t xml:space="preserve">Anything not listed falls to Parliament under the </w:t>
      </w:r>
      <w:r>
        <w:rPr>
          <w:b/>
          <w:bCs/>
        </w:rPr>
        <w:t xml:space="preserve">residuary power</w:t>
      </w:r>
      <w:r>
        <w:t xml:space="preserve"> in Article 248 and Entry 97 of List I.</w:t>
      </w:r>
    </w:p>
    <w:p>
      <w:r>
        <w:t xml:space="preserve">Two additional provisions matter enormously for business:</w:t>
      </w:r>
    </w:p>
    <w:p>
      <w:pPr>
        <w:pStyle w:val="ListParagraph"/>
        <w:numPr>
          <w:ilvl w:val="0"/>
          <w:numId w:val="1"/>
        </w:numPr>
        <w:spacing w:after="60"/>
      </w:pPr>
      <w:r>
        <w:rPr>
          <w:b/>
          <w:bCs/>
        </w:rPr>
        <w:t xml:space="preserve">Article 246A</w:t>
      </w:r>
      <w:r>
        <w:t xml:space="preserve"> carved GST out of the ordinary scheme entirely, giving Parliament and state legislatures </w:t>
      </w:r>
      <w:r>
        <w:rPr>
          <w:i/>
          <w:iCs/>
        </w:rPr>
        <w:t xml:space="preserve">simultaneous</w:t>
      </w:r>
      <w:r>
        <w:t xml:space="preserve"> power to tax supplies, coordinated through the GST Council under Article 279A. This is why GST rates are uniform nationally despite being a shared subject.</w:t>
      </w:r>
    </w:p>
    <w:p>
      <w:pPr>
        <w:pStyle w:val="ListParagraph"/>
        <w:numPr>
          <w:ilvl w:val="0"/>
          <w:numId w:val="1"/>
        </w:numPr>
        <w:spacing w:after="60"/>
      </w:pPr>
      <w:r>
        <w:rPr>
          <w:b/>
          <w:bCs/>
        </w:rPr>
        <w:t xml:space="preserve">Article 276</w:t>
      </w:r>
      <w:r>
        <w:t xml:space="preserve"> permits states to tax professions, trades, callings and employments but </w:t>
      </w:r>
      <w:r>
        <w:rPr>
          <w:b/>
          <w:bCs/>
        </w:rPr>
        <w:t xml:space="preserve">caps the levy at ₹2,500 per person per year</w:t>
      </w:r>
      <w:r>
        <w:t xml:space="preserve"> — which is why professional tax exists in some states, is absent in others, and never exceeds that ceiling anywhere.</w:t>
      </w:r>
    </w:p>
    <w:p>
      <w:pPr>
        <w:pStyle w:val="Heading2"/>
        <w:keepNext/>
        <w:keepLines/>
      </w:pPr>
      <w:r>
        <w:t xml:space="preserve">1.2 The Fourth Layer: Local Bodies</w:t>
      </w:r>
    </w:p>
    <w:p>
      <w:r>
        <w:t xml:space="preserve">The </w:t>
      </w:r>
      <w:r>
        <w:rPr>
          <w:b/>
          <w:bCs/>
        </w:rPr>
        <w:t xml:space="preserve">73rd and 74th Constitutional Amendments</w:t>
      </w:r>
      <w:r>
        <w:t xml:space="preserve"> created panchayats and municipalities as a constitutionally recognised third tier, with the Eleventh and Twelfth Schedules listing subjects that states may devolve to them. In practice this creates a fourth regulatory layer for business:</w:t>
      </w:r>
    </w:p>
    <w:p>
      <w:pPr>
        <w:pStyle w:val="ListParagraph"/>
        <w:numPr>
          <w:ilvl w:val="0"/>
          <w:numId w:val="1"/>
        </w:numPr>
        <w:spacing w:after="60"/>
      </w:pPr>
      <w:r>
        <w:rPr>
          <w:b/>
          <w:bCs/>
        </w:rPr>
        <w:t xml:space="preserve">Trade Licence</w:t>
      </w:r>
      <w:r>
        <w:t xml:space="preserve"> — issued by the municipal corporation, municipality or panchayat, not the state.</w:t>
      </w:r>
    </w:p>
    <w:p>
      <w:pPr>
        <w:pStyle w:val="ListParagraph"/>
        <w:numPr>
          <w:ilvl w:val="0"/>
          <w:numId w:val="1"/>
        </w:numPr>
        <w:spacing w:after="60"/>
      </w:pPr>
      <w:r>
        <w:rPr>
          <w:b/>
          <w:bCs/>
        </w:rPr>
        <w:t xml:space="preserve">Property Tax</w:t>
      </w:r>
      <w:r>
        <w:t xml:space="preserve"> — assessed and collected locally, with methodology varying between cities in the same state.</w:t>
      </w:r>
    </w:p>
    <w:p>
      <w:pPr>
        <w:pStyle w:val="ListParagraph"/>
        <w:numPr>
          <w:ilvl w:val="0"/>
          <w:numId w:val="1"/>
        </w:numPr>
        <w:spacing w:after="60"/>
      </w:pPr>
      <w:r>
        <w:rPr>
          <w:b/>
          <w:bCs/>
        </w:rPr>
        <w:t xml:space="preserve">Building plan sanction</w:t>
      </w:r>
      <w:r>
        <w:t xml:space="preserve"> — local planning authority or development authority.</w:t>
      </w:r>
    </w:p>
    <w:p>
      <w:pPr>
        <w:pStyle w:val="ListParagraph"/>
        <w:numPr>
          <w:ilvl w:val="0"/>
          <w:numId w:val="1"/>
        </w:numPr>
        <w:spacing w:after="60"/>
      </w:pPr>
      <w:r>
        <w:rPr>
          <w:b/>
          <w:bCs/>
        </w:rPr>
        <w:t xml:space="preserve">Signage, hoarding, and shop-front permissions</w:t>
      </w:r>
      <w:r>
        <w:t xml:space="preserve"> — purely municipal.</w:t>
      </w:r>
    </w:p>
    <w:p>
      <w:pPr>
        <w:pStyle w:val="ListParagraph"/>
        <w:numPr>
          <w:ilvl w:val="0"/>
          <w:numId w:val="1"/>
        </w:numPr>
        <w:spacing w:after="60"/>
      </w:pPr>
      <w:r>
        <w:rPr>
          <w:b/>
          <w:bCs/>
        </w:rPr>
        <w:t xml:space="preserve">Professional tax collection</w:t>
      </w:r>
      <w:r>
        <w:t xml:space="preserve"> — devolved to local bodies in Tamil Nadu, Kerala and (since 2022) Gujarat, but retained at state level in Maharashtra, Karnataka and West Bengal.</w:t>
      </w:r>
    </w:p>
    <w:p>
      <w:r>
        <w:t xml:space="preserve">The practical consequence is that two businesses in the same state can face different obligations simply because one is inside a municipal corporation limit and the other in a town panchayat.</w:t>
      </w:r>
    </w:p>
    <w:p>
      <w:pPr>
        <w:pStyle w:val="Heading2"/>
        <w:keepNext/>
        <w:keepLines/>
      </w:pPr>
      <w:r>
        <w:t xml:space="preserve">1.3 Why This Matters Commercially</w:t>
      </w:r>
    </w:p>
    <w:p>
      <w:r>
        <w:t xml:space="preserve">The layered structure produces four distinct compliance patterns, and recognising which pattern a rule follows is the single most useful analytical skill in Indian compliance:</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Pattern</w:t>
            </w:r>
          </w:p>
        </w:tc>
        <w:tc>
          <w:tcPr>
            <w:shd w:fill="F0F4FE"/>
            <w:tcMar>
              <w:top w:type="dxa" w:w="70"/>
              <w:left w:type="dxa" w:w="110"/>
              <w:bottom w:type="dxa" w:w="70"/>
              <w:right w:type="dxa" w:w="110"/>
            </w:tcMar>
          </w:tcPr>
          <w:p>
            <w:pPr>
              <w:spacing w:after="0"/>
            </w:pPr>
            <w:r>
              <w:rPr>
                <w:b/>
                <w:bCs/>
                <w:color w:val="112D6A"/>
              </w:rPr>
              <w:t xml:space="preserve">Meaning</w:t>
            </w:r>
          </w:p>
        </w:tc>
        <w:tc>
          <w:tcPr>
            <w:shd w:fill="F0F4FE"/>
            <w:tcMar>
              <w:top w:type="dxa" w:w="70"/>
              <w:left w:type="dxa" w:w="110"/>
              <w:bottom w:type="dxa" w:w="70"/>
              <w:right w:type="dxa" w:w="110"/>
            </w:tcMar>
          </w:tcPr>
          <w:p>
            <w:pPr>
              <w:spacing w:after="0"/>
            </w:pPr>
            <w:r>
              <w:rPr>
                <w:b/>
                <w:bCs/>
                <w:color w:val="112D6A"/>
              </w:rPr>
              <w:t xml:space="preserve">Examples</w:t>
            </w:r>
          </w:p>
        </w:tc>
      </w:tr>
      <w:tr>
        <w:trPr>
          <w:cantSplit/>
          <w:tblHeader w:val="false"/>
        </w:trPr>
        <w:tc>
          <w:tcPr>
            <w:tcMar>
              <w:top w:type="dxa" w:w="70"/>
              <w:left w:type="dxa" w:w="110"/>
              <w:bottom w:type="dxa" w:w="70"/>
              <w:right w:type="dxa" w:w="110"/>
            </w:tcMar>
          </w:tcPr>
          <w:p>
            <w:pPr>
              <w:spacing w:after="0"/>
            </w:pPr>
            <w:r>
              <w:rPr>
                <w:b/>
                <w:bCs/>
              </w:rPr>
              <w:t xml:space="preserve">Truly central</w:t>
            </w:r>
          </w:p>
        </w:tc>
        <w:tc>
          <w:tcPr>
            <w:tcMar>
              <w:top w:type="dxa" w:w="70"/>
              <w:left w:type="dxa" w:w="110"/>
              <w:bottom w:type="dxa" w:w="70"/>
              <w:right w:type="dxa" w:w="110"/>
            </w:tcMar>
          </w:tcPr>
          <w:p>
            <w:pPr>
              <w:spacing w:after="0"/>
            </w:pPr>
            <w:r>
              <w:t xml:space="preserve">One law, one authority, one process nationwide</w:t>
            </w:r>
          </w:p>
        </w:tc>
        <w:tc>
          <w:tcPr>
            <w:tcMar>
              <w:top w:type="dxa" w:w="70"/>
              <w:left w:type="dxa" w:w="110"/>
              <w:bottom w:type="dxa" w:w="70"/>
              <w:right w:type="dxa" w:w="110"/>
            </w:tcMar>
          </w:tcPr>
          <w:p>
            <w:pPr>
              <w:spacing w:after="0"/>
            </w:pPr>
            <w:r>
              <w:t xml:space="preserve">Company incorporation, PAN/TAN, Udyam, IEC, income tax, EPF, ESIC</w:t>
            </w:r>
          </w:p>
        </w:tc>
      </w:tr>
      <w:tr>
        <w:trPr>
          <w:cantSplit/>
          <w:tblHeader w:val="false"/>
        </w:trPr>
        <w:tc>
          <w:tcPr>
            <w:tcMar>
              <w:top w:type="dxa" w:w="70"/>
              <w:left w:type="dxa" w:w="110"/>
              <w:bottom w:type="dxa" w:w="70"/>
              <w:right w:type="dxa" w:w="110"/>
            </w:tcMar>
          </w:tcPr>
          <w:p>
            <w:pPr>
              <w:spacing w:after="0"/>
            </w:pPr>
            <w:r>
              <w:rPr>
                <w:b/>
                <w:bCs/>
              </w:rPr>
              <w:t xml:space="preserve">Central law, uniform rate, shared administration</w:t>
            </w:r>
          </w:p>
        </w:tc>
        <w:tc>
          <w:tcPr>
            <w:tcMar>
              <w:top w:type="dxa" w:w="70"/>
              <w:left w:type="dxa" w:w="110"/>
              <w:bottom w:type="dxa" w:w="70"/>
              <w:right w:type="dxa" w:w="110"/>
            </w:tcMar>
          </w:tcPr>
          <w:p>
            <w:pPr>
              <w:spacing w:after="0"/>
            </w:pPr>
            <w:r>
              <w:t xml:space="preserve">One rate everywhere but two tax authorities</w:t>
            </w:r>
          </w:p>
        </w:tc>
        <w:tc>
          <w:tcPr>
            <w:tcMar>
              <w:top w:type="dxa" w:w="70"/>
              <w:left w:type="dxa" w:w="110"/>
              <w:bottom w:type="dxa" w:w="70"/>
              <w:right w:type="dxa" w:w="110"/>
            </w:tcMar>
          </w:tcPr>
          <w:p>
            <w:pPr>
              <w:spacing w:after="0"/>
            </w:pPr>
            <w:r>
              <w:t xml:space="preserve">GST</w:t>
            </w:r>
          </w:p>
        </w:tc>
      </w:tr>
      <w:tr>
        <w:trPr>
          <w:cantSplit/>
          <w:tblHeader w:val="false"/>
        </w:trPr>
        <w:tc>
          <w:tcPr>
            <w:tcMar>
              <w:top w:type="dxa" w:w="70"/>
              <w:left w:type="dxa" w:w="110"/>
              <w:bottom w:type="dxa" w:w="70"/>
              <w:right w:type="dxa" w:w="110"/>
            </w:tcMar>
          </w:tcPr>
          <w:p>
            <w:pPr>
              <w:spacing w:after="0"/>
            </w:pPr>
            <w:r>
              <w:rPr>
                <w:b/>
                <w:bCs/>
              </w:rPr>
              <w:t xml:space="preserve">Central law, state administration</w:t>
            </w:r>
          </w:p>
        </w:tc>
        <w:tc>
          <w:tcPr>
            <w:tcMar>
              <w:top w:type="dxa" w:w="70"/>
              <w:left w:type="dxa" w:w="110"/>
              <w:bottom w:type="dxa" w:w="70"/>
              <w:right w:type="dxa" w:w="110"/>
            </w:tcMar>
          </w:tcPr>
          <w:p>
            <w:pPr>
              <w:spacing w:after="0"/>
            </w:pPr>
            <w:r>
              <w:t xml:space="preserve">Identical statute, but state issues the licence, sets the fee, and inspects</w:t>
            </w:r>
          </w:p>
        </w:tc>
        <w:tc>
          <w:tcPr>
            <w:tcMar>
              <w:top w:type="dxa" w:w="70"/>
              <w:left w:type="dxa" w:w="110"/>
              <w:bottom w:type="dxa" w:w="70"/>
              <w:right w:type="dxa" w:w="110"/>
            </w:tcMar>
          </w:tcPr>
          <w:p>
            <w:pPr>
              <w:spacing w:after="0"/>
            </w:pPr>
            <w:r>
              <w:t xml:space="preserve">Factories Act, Environment Protection Act, Legal Metrology Act, FSSAI state licences, labour codes</w:t>
            </w:r>
          </w:p>
        </w:tc>
      </w:tr>
      <w:tr>
        <w:trPr>
          <w:cantSplit/>
          <w:tblHeader w:val="false"/>
        </w:trPr>
        <w:tc>
          <w:tcPr>
            <w:tcMar>
              <w:top w:type="dxa" w:w="70"/>
              <w:left w:type="dxa" w:w="110"/>
              <w:bottom w:type="dxa" w:w="70"/>
              <w:right w:type="dxa" w:w="110"/>
            </w:tcMar>
          </w:tcPr>
          <w:p>
            <w:pPr>
              <w:spacing w:after="0"/>
            </w:pPr>
            <w:r>
              <w:rPr>
                <w:b/>
                <w:bCs/>
              </w:rPr>
              <w:t xml:space="preserve">Purely state or local</w:t>
            </w:r>
          </w:p>
        </w:tc>
        <w:tc>
          <w:tcPr>
            <w:tcMar>
              <w:top w:type="dxa" w:w="70"/>
              <w:left w:type="dxa" w:w="110"/>
              <w:bottom w:type="dxa" w:w="70"/>
              <w:right w:type="dxa" w:w="110"/>
            </w:tcMar>
          </w:tcPr>
          <w:p>
            <w:pPr>
              <w:spacing w:after="0"/>
            </w:pPr>
            <w:r>
              <w:t xml:space="preserve">Different statute, authority, rate and process in every jurisdiction</w:t>
            </w:r>
          </w:p>
        </w:tc>
        <w:tc>
          <w:tcPr>
            <w:tcMar>
              <w:top w:type="dxa" w:w="70"/>
              <w:left w:type="dxa" w:w="110"/>
              <w:bottom w:type="dxa" w:w="70"/>
              <w:right w:type="dxa" w:w="110"/>
            </w:tcMar>
          </w:tcPr>
          <w:p>
            <w:pPr>
              <w:spacing w:after="0"/>
            </w:pPr>
            <w:r>
              <w:t xml:space="preserve">Professional tax, stamp duty, shops &amp; establishments, land revenue, excise, trade licence, minimum wages</w:t>
            </w:r>
          </w:p>
        </w:tc>
      </w:tr>
    </w:tbl>
    <w:p>
      <w:pPr>
        <w:spacing w:after="40"/>
      </w:pPr>
    </w:p>
    <w:p>
      <w:r>
        <w:t xml:space="preserve">The third pattern is the one that surprises people. “It’s a central Act” is routinely misread as “it’s the same everywhere”. It is not — the Factories Act is one statute administered through 36 different rule sets, fee schedules, forms and inspectorates.</w:t>
      </w:r>
    </w:p>
    <w:p>
      <w:pPr>
        <w:pStyle w:val="Heading2"/>
        <w:keepNext/>
        <w:keepLines/>
      </w:pPr>
      <w:r>
        <w:t xml:space="preserve">1.4 Departments Covered in This Study</w:t>
      </w:r>
    </w:p>
    <w:p>
      <w:pPr>
        <w:pStyle w:val="ListParagraph"/>
        <w:numPr>
          <w:ilvl w:val="0"/>
          <w:numId w:val="2"/>
        </w:numPr>
        <w:spacing w:after="60"/>
      </w:pPr>
      <w:r>
        <w:t xml:space="preserve">Business Registration &amp; Corporate Law</w:t>
      </w:r>
    </w:p>
    <w:p>
      <w:pPr>
        <w:pStyle w:val="ListParagraph"/>
        <w:numPr>
          <w:ilvl w:val="0"/>
          <w:numId w:val="2"/>
        </w:numPr>
        <w:spacing w:after="60"/>
      </w:pPr>
      <w:r>
        <w:t xml:space="preserve">Taxation — GST, Professional Tax, Stamp Duty, and other state levies</w:t>
      </w:r>
    </w:p>
    <w:p>
      <w:pPr>
        <w:pStyle w:val="ListParagraph"/>
        <w:numPr>
          <w:ilvl w:val="0"/>
          <w:numId w:val="2"/>
        </w:numPr>
        <w:spacing w:after="60"/>
      </w:pPr>
      <w:r>
        <w:t xml:space="preserve">Labour &amp; Employment — Shops &amp; Establishments, Factories, Welfare Funds, Minimum Wages</w:t>
      </w:r>
    </w:p>
    <w:p>
      <w:pPr>
        <w:pStyle w:val="ListParagraph"/>
        <w:numPr>
          <w:ilvl w:val="0"/>
          <w:numId w:val="2"/>
        </w:numPr>
        <w:spacing w:after="60"/>
      </w:pPr>
      <w:r>
        <w:t xml:space="preserve">Land, Environment &amp; Industrial Licensing</w:t>
      </w:r>
    </w:p>
    <w:p>
      <w:pPr>
        <w:pStyle w:val="ListParagraph"/>
        <w:numPr>
          <w:ilvl w:val="0"/>
          <w:numId w:val="2"/>
        </w:numPr>
        <w:spacing w:after="60"/>
      </w:pPr>
      <w:r>
        <w:t xml:space="preserve">Sector-specific approvals — food, fire, drugs, legal metrology, excise</w:t>
      </w:r>
    </w:p>
    <w:p>
      <w:pPr>
        <w:pStyle w:val="ListParagraph"/>
        <w:numPr>
          <w:ilvl w:val="0"/>
          <w:numId w:val="2"/>
        </w:numPr>
        <w:spacing w:after="60"/>
      </w:pPr>
      <w:r>
        <w:t xml:space="preserve">Dispute resolution and enforcement machinery</w:t>
      </w:r>
    </w:p>
    <w:p>
      <w:pPr>
        <w:pStyle w:val="Heading2"/>
        <w:keepNext/>
        <w:keepLines/>
      </w:pPr>
      <w:r>
        <w:t xml:space="preserve">1.5 Master Reference: Central vs State Authority</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Subject</w:t>
            </w:r>
          </w:p>
        </w:tc>
        <w:tc>
          <w:tcPr>
            <w:shd w:fill="F0F4FE"/>
            <w:tcMar>
              <w:top w:type="dxa" w:w="70"/>
              <w:left w:type="dxa" w:w="110"/>
              <w:bottom w:type="dxa" w:w="70"/>
              <w:right w:type="dxa" w:w="110"/>
            </w:tcMar>
          </w:tcPr>
          <w:p>
            <w:pPr>
              <w:spacing w:after="0"/>
            </w:pPr>
            <w:r>
              <w:rPr>
                <w:b/>
                <w:bCs/>
                <w:color w:val="112D6A"/>
              </w:rPr>
              <w:t xml:space="preserve">Governing List</w:t>
            </w:r>
          </w:p>
        </w:tc>
        <w:tc>
          <w:tcPr>
            <w:shd w:fill="F0F4FE"/>
            <w:tcMar>
              <w:top w:type="dxa" w:w="70"/>
              <w:left w:type="dxa" w:w="110"/>
              <w:bottom w:type="dxa" w:w="70"/>
              <w:right w:type="dxa" w:w="110"/>
            </w:tcMar>
          </w:tcPr>
          <w:p>
            <w:pPr>
              <w:spacing w:after="0"/>
            </w:pPr>
            <w:r>
              <w:rPr>
                <w:b/>
                <w:bCs/>
                <w:color w:val="112D6A"/>
              </w:rPr>
              <w:t xml:space="preserve">Primary Regulator</w:t>
            </w:r>
          </w:p>
        </w:tc>
        <w:tc>
          <w:tcPr>
            <w:shd w:fill="F0F4FE"/>
            <w:tcMar>
              <w:top w:type="dxa" w:w="70"/>
              <w:left w:type="dxa" w:w="110"/>
              <w:bottom w:type="dxa" w:w="70"/>
              <w:right w:type="dxa" w:w="110"/>
            </w:tcMar>
          </w:tcPr>
          <w:p>
            <w:pPr>
              <w:spacing w:after="0"/>
            </w:pPr>
            <w:r>
              <w:rPr>
                <w:b/>
                <w:bCs/>
                <w:color w:val="112D6A"/>
              </w:rPr>
              <w:t xml:space="preserve">Varies by State?</w:t>
            </w:r>
          </w:p>
        </w:tc>
      </w:tr>
      <w:tr>
        <w:trPr>
          <w:cantSplit/>
          <w:tblHeader w:val="false"/>
        </w:trPr>
        <w:tc>
          <w:tcPr>
            <w:tcMar>
              <w:top w:type="dxa" w:w="70"/>
              <w:left w:type="dxa" w:w="110"/>
              <w:bottom w:type="dxa" w:w="70"/>
              <w:right w:type="dxa" w:w="110"/>
            </w:tcMar>
          </w:tcPr>
          <w:p>
            <w:pPr>
              <w:spacing w:after="0"/>
            </w:pPr>
            <w:r>
              <w:t xml:space="preserve">Company / LLP incorporation</w:t>
            </w:r>
          </w:p>
        </w:tc>
        <w:tc>
          <w:tcPr>
            <w:tcMar>
              <w:top w:type="dxa" w:w="70"/>
              <w:left w:type="dxa" w:w="110"/>
              <w:bottom w:type="dxa" w:w="70"/>
              <w:right w:type="dxa" w:w="110"/>
            </w:tcMar>
          </w:tcPr>
          <w:p>
            <w:pPr>
              <w:spacing w:after="0"/>
            </w:pPr>
            <w:r>
              <w:t xml:space="preserve">Union</w:t>
            </w:r>
          </w:p>
        </w:tc>
        <w:tc>
          <w:tcPr>
            <w:tcMar>
              <w:top w:type="dxa" w:w="70"/>
              <w:left w:type="dxa" w:w="110"/>
              <w:bottom w:type="dxa" w:w="70"/>
              <w:right w:type="dxa" w:w="110"/>
            </w:tcMar>
          </w:tcPr>
          <w:p>
            <w:pPr>
              <w:spacing w:after="0"/>
            </w:pPr>
            <w:r>
              <w:t xml:space="preserve">Ministry of Corporate Affairs</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PAN, TAN, DIN</w:t>
            </w:r>
          </w:p>
        </w:tc>
        <w:tc>
          <w:tcPr>
            <w:tcMar>
              <w:top w:type="dxa" w:w="70"/>
              <w:left w:type="dxa" w:w="110"/>
              <w:bottom w:type="dxa" w:w="70"/>
              <w:right w:type="dxa" w:w="110"/>
            </w:tcMar>
          </w:tcPr>
          <w:p>
            <w:pPr>
              <w:spacing w:after="0"/>
            </w:pPr>
            <w:r>
              <w:t xml:space="preserve">Union</w:t>
            </w:r>
          </w:p>
        </w:tc>
        <w:tc>
          <w:tcPr>
            <w:tcMar>
              <w:top w:type="dxa" w:w="70"/>
              <w:left w:type="dxa" w:w="110"/>
              <w:bottom w:type="dxa" w:w="70"/>
              <w:right w:type="dxa" w:w="110"/>
            </w:tcMar>
          </w:tcPr>
          <w:p>
            <w:pPr>
              <w:spacing w:after="0"/>
            </w:pPr>
            <w:r>
              <w:t xml:space="preserve">CBDT / MCA</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Udyam (MSME) registration</w:t>
            </w:r>
          </w:p>
        </w:tc>
        <w:tc>
          <w:tcPr>
            <w:tcMar>
              <w:top w:type="dxa" w:w="70"/>
              <w:left w:type="dxa" w:w="110"/>
              <w:bottom w:type="dxa" w:w="70"/>
              <w:right w:type="dxa" w:w="110"/>
            </w:tcMar>
          </w:tcPr>
          <w:p>
            <w:pPr>
              <w:spacing w:after="0"/>
            </w:pPr>
            <w:r>
              <w:t xml:space="preserve">Union</w:t>
            </w:r>
          </w:p>
        </w:tc>
        <w:tc>
          <w:tcPr>
            <w:tcMar>
              <w:top w:type="dxa" w:w="70"/>
              <w:left w:type="dxa" w:w="110"/>
              <w:bottom w:type="dxa" w:w="70"/>
              <w:right w:type="dxa" w:w="110"/>
            </w:tcMar>
          </w:tcPr>
          <w:p>
            <w:pPr>
              <w:spacing w:after="0"/>
            </w:pPr>
            <w:r>
              <w:t xml:space="preserve">Ministry of MSME</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Import Export Code</w:t>
            </w:r>
          </w:p>
        </w:tc>
        <w:tc>
          <w:tcPr>
            <w:tcMar>
              <w:top w:type="dxa" w:w="70"/>
              <w:left w:type="dxa" w:w="110"/>
              <w:bottom w:type="dxa" w:w="70"/>
              <w:right w:type="dxa" w:w="110"/>
            </w:tcMar>
          </w:tcPr>
          <w:p>
            <w:pPr>
              <w:spacing w:after="0"/>
            </w:pPr>
            <w:r>
              <w:t xml:space="preserve">Union</w:t>
            </w:r>
          </w:p>
        </w:tc>
        <w:tc>
          <w:tcPr>
            <w:tcMar>
              <w:top w:type="dxa" w:w="70"/>
              <w:left w:type="dxa" w:w="110"/>
              <w:bottom w:type="dxa" w:w="70"/>
              <w:right w:type="dxa" w:w="110"/>
            </w:tcMar>
          </w:tcPr>
          <w:p>
            <w:pPr>
              <w:spacing w:after="0"/>
            </w:pPr>
            <w:r>
              <w:t xml:space="preserve">DGFT</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Income Tax</w:t>
            </w:r>
          </w:p>
        </w:tc>
        <w:tc>
          <w:tcPr>
            <w:tcMar>
              <w:top w:type="dxa" w:w="70"/>
              <w:left w:type="dxa" w:w="110"/>
              <w:bottom w:type="dxa" w:w="70"/>
              <w:right w:type="dxa" w:w="110"/>
            </w:tcMar>
          </w:tcPr>
          <w:p>
            <w:pPr>
              <w:spacing w:after="0"/>
            </w:pPr>
            <w:r>
              <w:t xml:space="preserve">Union</w:t>
            </w:r>
          </w:p>
        </w:tc>
        <w:tc>
          <w:tcPr>
            <w:tcMar>
              <w:top w:type="dxa" w:w="70"/>
              <w:left w:type="dxa" w:w="110"/>
              <w:bottom w:type="dxa" w:w="70"/>
              <w:right w:type="dxa" w:w="110"/>
            </w:tcMar>
          </w:tcPr>
          <w:p>
            <w:pPr>
              <w:spacing w:after="0"/>
            </w:pPr>
            <w:r>
              <w:t xml:space="preserve">CBDT</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Customs</w:t>
            </w:r>
          </w:p>
        </w:tc>
        <w:tc>
          <w:tcPr>
            <w:tcMar>
              <w:top w:type="dxa" w:w="70"/>
              <w:left w:type="dxa" w:w="110"/>
              <w:bottom w:type="dxa" w:w="70"/>
              <w:right w:type="dxa" w:w="110"/>
            </w:tcMar>
          </w:tcPr>
          <w:p>
            <w:pPr>
              <w:spacing w:after="0"/>
            </w:pPr>
            <w:r>
              <w:t xml:space="preserve">Union</w:t>
            </w:r>
          </w:p>
        </w:tc>
        <w:tc>
          <w:tcPr>
            <w:tcMar>
              <w:top w:type="dxa" w:w="70"/>
              <w:left w:type="dxa" w:w="110"/>
              <w:bottom w:type="dxa" w:w="70"/>
              <w:right w:type="dxa" w:w="110"/>
            </w:tcMar>
          </w:tcPr>
          <w:p>
            <w:pPr>
              <w:spacing w:after="0"/>
            </w:pPr>
            <w:r>
              <w:t xml:space="preserve">CBIC</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GST — rates</w:t>
            </w:r>
          </w:p>
        </w:tc>
        <w:tc>
          <w:tcPr>
            <w:tcMar>
              <w:top w:type="dxa" w:w="70"/>
              <w:left w:type="dxa" w:w="110"/>
              <w:bottom w:type="dxa" w:w="70"/>
              <w:right w:type="dxa" w:w="110"/>
            </w:tcMar>
          </w:tcPr>
          <w:p>
            <w:pPr>
              <w:spacing w:after="0"/>
            </w:pPr>
            <w:r>
              <w:t xml:space="preserve">Art. 246A / GST Council</w:t>
            </w:r>
          </w:p>
        </w:tc>
        <w:tc>
          <w:tcPr>
            <w:tcMar>
              <w:top w:type="dxa" w:w="70"/>
              <w:left w:type="dxa" w:w="110"/>
              <w:bottom w:type="dxa" w:w="70"/>
              <w:right w:type="dxa" w:w="110"/>
            </w:tcMar>
          </w:tcPr>
          <w:p>
            <w:pPr>
              <w:spacing w:after="0"/>
            </w:pPr>
            <w:r>
              <w:t xml:space="preserve">GST Council</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GST — administration</w:t>
            </w:r>
          </w:p>
        </w:tc>
        <w:tc>
          <w:tcPr>
            <w:tcMar>
              <w:top w:type="dxa" w:w="70"/>
              <w:left w:type="dxa" w:w="110"/>
              <w:bottom w:type="dxa" w:w="70"/>
              <w:right w:type="dxa" w:w="110"/>
            </w:tcMar>
          </w:tcPr>
          <w:p>
            <w:pPr>
              <w:spacing w:after="0"/>
            </w:pPr>
            <w:r>
              <w:t xml:space="preserve">Art. 246A</w:t>
            </w:r>
          </w:p>
        </w:tc>
        <w:tc>
          <w:tcPr>
            <w:tcMar>
              <w:top w:type="dxa" w:w="70"/>
              <w:left w:type="dxa" w:w="110"/>
              <w:bottom w:type="dxa" w:w="70"/>
              <w:right w:type="dxa" w:w="110"/>
            </w:tcMar>
          </w:tcPr>
          <w:p>
            <w:pPr>
              <w:spacing w:after="0"/>
            </w:pPr>
            <w:r>
              <w:t xml:space="preserve">Central + State GST officers</w:t>
            </w:r>
          </w:p>
        </w:tc>
        <w:tc>
          <w:tcPr>
            <w:tcMar>
              <w:top w:type="dxa" w:w="70"/>
              <w:left w:type="dxa" w:w="110"/>
              <w:bottom w:type="dxa" w:w="70"/>
              <w:right w:type="dxa" w:w="110"/>
            </w:tcMar>
          </w:tcPr>
          <w:p>
            <w:pPr>
              <w:spacing w:after="0"/>
            </w:pPr>
            <w:r>
              <w:t xml:space="preserve">Procedurally</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State (Art. 276)</w:t>
            </w:r>
          </w:p>
        </w:tc>
        <w:tc>
          <w:tcPr>
            <w:tcMar>
              <w:top w:type="dxa" w:w="70"/>
              <w:left w:type="dxa" w:w="110"/>
              <w:bottom w:type="dxa" w:w="70"/>
              <w:right w:type="dxa" w:w="110"/>
            </w:tcMar>
          </w:tcPr>
          <w:p>
            <w:pPr>
              <w:spacing w:after="0"/>
            </w:pPr>
            <w:r>
              <w:t xml:space="preserve">State Commercial Tax Dept or local body</w:t>
            </w:r>
          </w:p>
        </w:tc>
        <w:tc>
          <w:tcPr>
            <w:tcMar>
              <w:top w:type="dxa" w:w="70"/>
              <w:left w:type="dxa" w:w="110"/>
              <w:bottom w:type="dxa" w:w="70"/>
              <w:right w:type="dxa" w:w="110"/>
            </w:tcMar>
          </w:tcPr>
          <w:p>
            <w:pPr>
              <w:spacing w:after="0"/>
            </w:pPr>
            <w:r>
              <w:t xml:space="preserve">Yes — heavily</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Concurrent (Entry 44 III / 63 II)</w:t>
            </w:r>
          </w:p>
        </w:tc>
        <w:tc>
          <w:tcPr>
            <w:tcMar>
              <w:top w:type="dxa" w:w="70"/>
              <w:left w:type="dxa" w:w="110"/>
              <w:bottom w:type="dxa" w:w="70"/>
              <w:right w:type="dxa" w:w="110"/>
            </w:tcMar>
          </w:tcPr>
          <w:p>
            <w:pPr>
              <w:spacing w:after="0"/>
            </w:pPr>
            <w:r>
              <w:t xml:space="preserve">State Registration / IGR Dept</w:t>
            </w:r>
          </w:p>
        </w:tc>
        <w:tc>
          <w:tcPr>
            <w:tcMar>
              <w:top w:type="dxa" w:w="70"/>
              <w:left w:type="dxa" w:w="110"/>
              <w:bottom w:type="dxa" w:w="70"/>
              <w:right w:type="dxa" w:w="110"/>
            </w:tcMar>
          </w:tcPr>
          <w:p>
            <w:pPr>
              <w:spacing w:after="0"/>
            </w:pPr>
            <w:r>
              <w:t xml:space="preserve">Yes — heavily</w:t>
            </w:r>
          </w:p>
        </w:tc>
      </w:tr>
      <w:tr>
        <w:trPr>
          <w:cantSplit/>
          <w:tblHeader w:val="false"/>
        </w:trPr>
        <w:tc>
          <w:tcPr>
            <w:tcMar>
              <w:top w:type="dxa" w:w="70"/>
              <w:left w:type="dxa" w:w="110"/>
              <w:bottom w:type="dxa" w:w="70"/>
              <w:right w:type="dxa" w:w="110"/>
            </w:tcMar>
          </w:tcPr>
          <w:p>
            <w:pPr>
              <w:spacing w:after="0"/>
            </w:pPr>
            <w:r>
              <w:t xml:space="preserve">Registration of documents</w:t>
            </w:r>
          </w:p>
        </w:tc>
        <w:tc>
          <w:tcPr>
            <w:tcMar>
              <w:top w:type="dxa" w:w="70"/>
              <w:left w:type="dxa" w:w="110"/>
              <w:bottom w:type="dxa" w:w="70"/>
              <w:right w:type="dxa" w:w="110"/>
            </w:tcMar>
          </w:tcPr>
          <w:p>
            <w:pPr>
              <w:spacing w:after="0"/>
            </w:pPr>
            <w:r>
              <w:t xml:space="preserve">Concurrent</w:t>
            </w:r>
          </w:p>
        </w:tc>
        <w:tc>
          <w:tcPr>
            <w:tcMar>
              <w:top w:type="dxa" w:w="70"/>
              <w:left w:type="dxa" w:w="110"/>
              <w:bottom w:type="dxa" w:w="70"/>
              <w:right w:type="dxa" w:w="110"/>
            </w:tcMar>
          </w:tcPr>
          <w:p>
            <w:pPr>
              <w:spacing w:after="0"/>
            </w:pPr>
            <w:r>
              <w:t xml:space="preserve">State Sub-Registrar</w:t>
            </w:r>
          </w:p>
        </w:tc>
        <w:tc>
          <w:tcPr>
            <w:tcMar>
              <w:top w:type="dxa" w:w="70"/>
              <w:left w:type="dxa" w:w="110"/>
              <w:bottom w:type="dxa" w:w="70"/>
              <w:right w:type="dxa" w:w="110"/>
            </w:tcMar>
          </w:tcPr>
          <w:p>
            <w:pPr>
              <w:spacing w:after="0"/>
            </w:pPr>
            <w:r>
              <w:t xml:space="preserve">Yes</w:t>
            </w:r>
          </w:p>
        </w:tc>
      </w:tr>
      <w:tr>
        <w:trPr>
          <w:cantSplit/>
          <w:tblHeader w:val="false"/>
        </w:trPr>
        <w:tc>
          <w:tcPr>
            <w:tcMar>
              <w:top w:type="dxa" w:w="70"/>
              <w:left w:type="dxa" w:w="110"/>
              <w:bottom w:type="dxa" w:w="70"/>
              <w:right w:type="dxa" w:w="110"/>
            </w:tcMar>
          </w:tcPr>
          <w:p>
            <w:pPr>
              <w:spacing w:after="0"/>
            </w:pPr>
            <w:r>
              <w:t xml:space="preserve">Shops &amp; Establishments</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State Labour Department</w:t>
            </w:r>
          </w:p>
        </w:tc>
        <w:tc>
          <w:tcPr>
            <w:tcMar>
              <w:top w:type="dxa" w:w="70"/>
              <w:left w:type="dxa" w:w="110"/>
              <w:bottom w:type="dxa" w:w="70"/>
              <w:right w:type="dxa" w:w="110"/>
            </w:tcMar>
          </w:tcPr>
          <w:p>
            <w:pPr>
              <w:spacing w:after="0"/>
            </w:pPr>
            <w:r>
              <w:t xml:space="preserve">Yes — heavily</w:t>
            </w:r>
          </w:p>
        </w:tc>
      </w:tr>
      <w:tr>
        <w:trPr>
          <w:cantSplit/>
          <w:tblHeader w:val="false"/>
        </w:trPr>
        <w:tc>
          <w:tcPr>
            <w:tcMar>
              <w:top w:type="dxa" w:w="70"/>
              <w:left w:type="dxa" w:w="110"/>
              <w:bottom w:type="dxa" w:w="70"/>
              <w:right w:type="dxa" w:w="110"/>
            </w:tcMar>
          </w:tcPr>
          <w:p>
            <w:pPr>
              <w:spacing w:after="0"/>
            </w:pPr>
            <w:r>
              <w:t xml:space="preserve">Factories Act 1948</w:t>
            </w:r>
          </w:p>
        </w:tc>
        <w:tc>
          <w:tcPr>
            <w:tcMar>
              <w:top w:type="dxa" w:w="70"/>
              <w:left w:type="dxa" w:w="110"/>
              <w:bottom w:type="dxa" w:w="70"/>
              <w:right w:type="dxa" w:w="110"/>
            </w:tcMar>
          </w:tcPr>
          <w:p>
            <w:pPr>
              <w:spacing w:after="0"/>
            </w:pPr>
            <w:r>
              <w:t xml:space="preserve">Concurrent</w:t>
            </w:r>
          </w:p>
        </w:tc>
        <w:tc>
          <w:tcPr>
            <w:tcMar>
              <w:top w:type="dxa" w:w="70"/>
              <w:left w:type="dxa" w:w="110"/>
              <w:bottom w:type="dxa" w:w="70"/>
              <w:right w:type="dxa" w:w="110"/>
            </w:tcMar>
          </w:tcPr>
          <w:p>
            <w:pPr>
              <w:spacing w:after="0"/>
            </w:pPr>
            <w:r>
              <w:t xml:space="preserve">State Factories / DISH Department</w:t>
            </w:r>
          </w:p>
        </w:tc>
        <w:tc>
          <w:tcPr>
            <w:tcMar>
              <w:top w:type="dxa" w:w="70"/>
              <w:left w:type="dxa" w:w="110"/>
              <w:bottom w:type="dxa" w:w="70"/>
              <w:right w:type="dxa" w:w="110"/>
            </w:tcMar>
          </w:tcPr>
          <w:p>
            <w:pPr>
              <w:spacing w:after="0"/>
            </w:pPr>
            <w:r>
              <w:t xml:space="preserve">Yes — administratively</w:t>
            </w:r>
          </w:p>
        </w:tc>
      </w:tr>
      <w:tr>
        <w:trPr>
          <w:cantSplit/>
          <w:tblHeader w:val="false"/>
        </w:trPr>
        <w:tc>
          <w:tcPr>
            <w:tcMar>
              <w:top w:type="dxa" w:w="70"/>
              <w:left w:type="dxa" w:w="110"/>
              <w:bottom w:type="dxa" w:w="70"/>
              <w:right w:type="dxa" w:w="110"/>
            </w:tcMar>
          </w:tcPr>
          <w:p>
            <w:pPr>
              <w:spacing w:after="0"/>
            </w:pPr>
            <w:r>
              <w:t xml:space="preserve">Labour Codes (4)</w:t>
            </w:r>
          </w:p>
        </w:tc>
        <w:tc>
          <w:tcPr>
            <w:tcMar>
              <w:top w:type="dxa" w:w="70"/>
              <w:left w:type="dxa" w:w="110"/>
              <w:bottom w:type="dxa" w:w="70"/>
              <w:right w:type="dxa" w:w="110"/>
            </w:tcMar>
          </w:tcPr>
          <w:p>
            <w:pPr>
              <w:spacing w:after="0"/>
            </w:pPr>
            <w:r>
              <w:t xml:space="preserve">Concurrent</w:t>
            </w:r>
          </w:p>
        </w:tc>
        <w:tc>
          <w:tcPr>
            <w:tcMar>
              <w:top w:type="dxa" w:w="70"/>
              <w:left w:type="dxa" w:w="110"/>
              <w:bottom w:type="dxa" w:w="70"/>
              <w:right w:type="dxa" w:w="110"/>
            </w:tcMar>
          </w:tcPr>
          <w:p>
            <w:pPr>
              <w:spacing w:after="0"/>
            </w:pPr>
            <w:r>
              <w:t xml:space="preserve">State rules give effect</w:t>
            </w:r>
          </w:p>
        </w:tc>
        <w:tc>
          <w:tcPr>
            <w:tcMar>
              <w:top w:type="dxa" w:w="70"/>
              <w:left w:type="dxa" w:w="110"/>
              <w:bottom w:type="dxa" w:w="70"/>
              <w:right w:type="dxa" w:w="110"/>
            </w:tcMar>
          </w:tcPr>
          <w:p>
            <w:pPr>
              <w:spacing w:after="0"/>
            </w:pPr>
            <w:r>
              <w:t xml:space="preserve">Yes — timing and detail</w:t>
            </w:r>
          </w:p>
        </w:tc>
      </w:tr>
      <w:tr>
        <w:trPr>
          <w:cantSplit/>
          <w:tblHeader w:val="false"/>
        </w:trPr>
        <w:tc>
          <w:tcPr>
            <w:tcMar>
              <w:top w:type="dxa" w:w="70"/>
              <w:left w:type="dxa" w:w="110"/>
              <w:bottom w:type="dxa" w:w="70"/>
              <w:right w:type="dxa" w:w="110"/>
            </w:tcMar>
          </w:tcPr>
          <w:p>
            <w:pPr>
              <w:spacing w:after="0"/>
            </w:pPr>
            <w:r>
              <w:t xml:space="preserve">EPF</w:t>
            </w:r>
          </w:p>
        </w:tc>
        <w:tc>
          <w:tcPr>
            <w:tcMar>
              <w:top w:type="dxa" w:w="70"/>
              <w:left w:type="dxa" w:w="110"/>
              <w:bottom w:type="dxa" w:w="70"/>
              <w:right w:type="dxa" w:w="110"/>
            </w:tcMar>
          </w:tcPr>
          <w:p>
            <w:pPr>
              <w:spacing w:after="0"/>
            </w:pPr>
            <w:r>
              <w:t xml:space="preserve">Union</w:t>
            </w:r>
          </w:p>
        </w:tc>
        <w:tc>
          <w:tcPr>
            <w:tcMar>
              <w:top w:type="dxa" w:w="70"/>
              <w:left w:type="dxa" w:w="110"/>
              <w:bottom w:type="dxa" w:w="70"/>
              <w:right w:type="dxa" w:w="110"/>
            </w:tcMar>
          </w:tcPr>
          <w:p>
            <w:pPr>
              <w:spacing w:after="0"/>
            </w:pPr>
            <w:r>
              <w:t xml:space="preserve">EPFO</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ESI</w:t>
            </w:r>
          </w:p>
        </w:tc>
        <w:tc>
          <w:tcPr>
            <w:tcMar>
              <w:top w:type="dxa" w:w="70"/>
              <w:left w:type="dxa" w:w="110"/>
              <w:bottom w:type="dxa" w:w="70"/>
              <w:right w:type="dxa" w:w="110"/>
            </w:tcMar>
          </w:tcPr>
          <w:p>
            <w:pPr>
              <w:spacing w:after="0"/>
            </w:pPr>
            <w:r>
              <w:t xml:space="preserve">Union</w:t>
            </w:r>
          </w:p>
        </w:tc>
        <w:tc>
          <w:tcPr>
            <w:tcMar>
              <w:top w:type="dxa" w:w="70"/>
              <w:left w:type="dxa" w:w="110"/>
              <w:bottom w:type="dxa" w:w="70"/>
              <w:right w:type="dxa" w:w="110"/>
            </w:tcMar>
          </w:tcPr>
          <w:p>
            <w:pPr>
              <w:spacing w:after="0"/>
            </w:pPr>
            <w:r>
              <w:t xml:space="preserve">ESIC</w:t>
            </w:r>
          </w:p>
        </w:tc>
        <w:tc>
          <w:tcPr>
            <w:tcMar>
              <w:top w:type="dxa" w:w="70"/>
              <w:left w:type="dxa" w:w="110"/>
              <w:bottom w:type="dxa" w:w="70"/>
              <w:right w:type="dxa" w:w="110"/>
            </w:tcMar>
          </w:tcPr>
          <w:p>
            <w:pPr>
              <w:spacing w:after="0"/>
            </w:pPr>
            <w:r>
              <w:t xml:space="preserve">Coverage notification by area</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State LWF Board</w:t>
            </w:r>
          </w:p>
        </w:tc>
        <w:tc>
          <w:tcPr>
            <w:tcMar>
              <w:top w:type="dxa" w:w="70"/>
              <w:left w:type="dxa" w:w="110"/>
              <w:bottom w:type="dxa" w:w="70"/>
              <w:right w:type="dxa" w:w="110"/>
            </w:tcMar>
          </w:tcPr>
          <w:p>
            <w:pPr>
              <w:spacing w:after="0"/>
            </w:pPr>
            <w:r>
              <w:t xml:space="preserve">Yes — exists in ~16 only</w:t>
            </w:r>
          </w:p>
        </w:tc>
      </w:tr>
      <w:tr>
        <w:trPr>
          <w:cantSplit/>
          <w:tblHeader w:val="false"/>
        </w:trPr>
        <w:tc>
          <w:tcPr>
            <w:tcMar>
              <w:top w:type="dxa" w:w="70"/>
              <w:left w:type="dxa" w:w="110"/>
              <w:bottom w:type="dxa" w:w="70"/>
              <w:right w:type="dxa" w:w="110"/>
            </w:tcMar>
          </w:tcPr>
          <w:p>
            <w:pPr>
              <w:spacing w:after="0"/>
            </w:pPr>
            <w:r>
              <w:t xml:space="preserve">Minimum Wages</w:t>
            </w:r>
          </w:p>
        </w:tc>
        <w:tc>
          <w:tcPr>
            <w:tcMar>
              <w:top w:type="dxa" w:w="70"/>
              <w:left w:type="dxa" w:w="110"/>
              <w:bottom w:type="dxa" w:w="70"/>
              <w:right w:type="dxa" w:w="110"/>
            </w:tcMar>
          </w:tcPr>
          <w:p>
            <w:pPr>
              <w:spacing w:after="0"/>
            </w:pPr>
            <w:r>
              <w:t xml:space="preserve">Concurrent</w:t>
            </w:r>
          </w:p>
        </w:tc>
        <w:tc>
          <w:tcPr>
            <w:tcMar>
              <w:top w:type="dxa" w:w="70"/>
              <w:left w:type="dxa" w:w="110"/>
              <w:bottom w:type="dxa" w:w="70"/>
              <w:right w:type="dxa" w:w="110"/>
            </w:tcMar>
          </w:tcPr>
          <w:p>
            <w:pPr>
              <w:spacing w:after="0"/>
            </w:pPr>
            <w:r>
              <w:t xml:space="preserve">State Labour Dept notification</w:t>
            </w:r>
          </w:p>
        </w:tc>
        <w:tc>
          <w:tcPr>
            <w:tcMar>
              <w:top w:type="dxa" w:w="70"/>
              <w:left w:type="dxa" w:w="110"/>
              <w:bottom w:type="dxa" w:w="70"/>
              <w:right w:type="dxa" w:w="110"/>
            </w:tcMar>
          </w:tcPr>
          <w:p>
            <w:pPr>
              <w:spacing w:after="0"/>
            </w:pPr>
            <w:r>
              <w:t xml:space="preserve">Yes — heavily</w:t>
            </w:r>
          </w:p>
        </w:tc>
      </w:tr>
      <w:tr>
        <w:trPr>
          <w:cantSplit/>
          <w:tblHeader w:val="false"/>
        </w:trPr>
        <w:tc>
          <w:tcPr>
            <w:tcMar>
              <w:top w:type="dxa" w:w="70"/>
              <w:left w:type="dxa" w:w="110"/>
              <w:bottom w:type="dxa" w:w="70"/>
              <w:right w:type="dxa" w:w="110"/>
            </w:tcMar>
          </w:tcPr>
          <w:p>
            <w:pPr>
              <w:spacing w:after="0"/>
            </w:pPr>
            <w:r>
              <w:t xml:space="preserve">Contract Labour</w:t>
            </w:r>
          </w:p>
        </w:tc>
        <w:tc>
          <w:tcPr>
            <w:tcMar>
              <w:top w:type="dxa" w:w="70"/>
              <w:left w:type="dxa" w:w="110"/>
              <w:bottom w:type="dxa" w:w="70"/>
              <w:right w:type="dxa" w:w="110"/>
            </w:tcMar>
          </w:tcPr>
          <w:p>
            <w:pPr>
              <w:spacing w:after="0"/>
            </w:pPr>
            <w:r>
              <w:t xml:space="preserve">Concurrent</w:t>
            </w:r>
          </w:p>
        </w:tc>
        <w:tc>
          <w:tcPr>
            <w:tcMar>
              <w:top w:type="dxa" w:w="70"/>
              <w:left w:type="dxa" w:w="110"/>
              <w:bottom w:type="dxa" w:w="70"/>
              <w:right w:type="dxa" w:w="110"/>
            </w:tcMar>
          </w:tcPr>
          <w:p>
            <w:pPr>
              <w:spacing w:after="0"/>
            </w:pPr>
            <w:r>
              <w:t xml:space="preserve">State Labour Dept</w:t>
            </w:r>
          </w:p>
        </w:tc>
        <w:tc>
          <w:tcPr>
            <w:tcMar>
              <w:top w:type="dxa" w:w="70"/>
              <w:left w:type="dxa" w:w="110"/>
              <w:bottom w:type="dxa" w:w="70"/>
              <w:right w:type="dxa" w:w="110"/>
            </w:tcMar>
          </w:tcPr>
          <w:p>
            <w:pPr>
              <w:spacing w:after="0"/>
            </w:pPr>
            <w:r>
              <w:t xml:space="preserve">Yes — thresholds differ</w:t>
            </w:r>
          </w:p>
        </w:tc>
      </w:tr>
      <w:tr>
        <w:trPr>
          <w:cantSplit/>
          <w:tblHeader w:val="false"/>
        </w:trPr>
        <w:tc>
          <w:tcPr>
            <w:tcMar>
              <w:top w:type="dxa" w:w="70"/>
              <w:left w:type="dxa" w:w="110"/>
              <w:bottom w:type="dxa" w:w="70"/>
              <w:right w:type="dxa" w:w="110"/>
            </w:tcMar>
          </w:tcPr>
          <w:p>
            <w:pPr>
              <w:spacing w:after="0"/>
            </w:pPr>
            <w:r>
              <w:t xml:space="preserve">Land &amp; Revenue</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State Revenue Department</w:t>
            </w:r>
          </w:p>
        </w:tc>
        <w:tc>
          <w:tcPr>
            <w:tcMar>
              <w:top w:type="dxa" w:w="70"/>
              <w:left w:type="dxa" w:w="110"/>
              <w:bottom w:type="dxa" w:w="70"/>
              <w:right w:type="dxa" w:w="110"/>
            </w:tcMar>
          </w:tcPr>
          <w:p>
            <w:pPr>
              <w:spacing w:after="0"/>
            </w:pPr>
            <w:r>
              <w:t xml:space="preserve">Yes — heavily</w:t>
            </w:r>
          </w:p>
        </w:tc>
      </w:tr>
      <w:tr>
        <w:trPr>
          <w:cantSplit/>
          <w:tblHeader w:val="false"/>
        </w:trPr>
        <w:tc>
          <w:tcPr>
            <w:tcMar>
              <w:top w:type="dxa" w:w="70"/>
              <w:left w:type="dxa" w:w="110"/>
              <w:bottom w:type="dxa" w:w="70"/>
              <w:right w:type="dxa" w:w="110"/>
            </w:tcMar>
          </w:tcPr>
          <w:p>
            <w:pPr>
              <w:spacing w:after="0"/>
            </w:pPr>
            <w:r>
              <w:t xml:space="preserve">Land ceiling / tenancy</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State Revenue Department</w:t>
            </w:r>
          </w:p>
        </w:tc>
        <w:tc>
          <w:tcPr>
            <w:tcMar>
              <w:top w:type="dxa" w:w="70"/>
              <w:left w:type="dxa" w:w="110"/>
              <w:bottom w:type="dxa" w:w="70"/>
              <w:right w:type="dxa" w:w="110"/>
            </w:tcMar>
          </w:tcPr>
          <w:p>
            <w:pPr>
              <w:spacing w:after="0"/>
            </w:pPr>
            <w:r>
              <w:t xml:space="preserve">Yes — heavily</w:t>
            </w:r>
          </w:p>
        </w:tc>
      </w:tr>
      <w:tr>
        <w:trPr>
          <w:cantSplit/>
          <w:tblHeader w:val="false"/>
        </w:trPr>
        <w:tc>
          <w:tcPr>
            <w:tcMar>
              <w:top w:type="dxa" w:w="70"/>
              <w:left w:type="dxa" w:w="110"/>
              <w:bottom w:type="dxa" w:w="70"/>
              <w:right w:type="dxa" w:w="110"/>
            </w:tcMar>
          </w:tcPr>
          <w:p>
            <w:pPr>
              <w:spacing w:after="0"/>
            </w:pPr>
            <w:r>
              <w:t xml:space="preserve">Building plan approval</w:t>
            </w:r>
          </w:p>
        </w:tc>
        <w:tc>
          <w:tcPr>
            <w:tcMar>
              <w:top w:type="dxa" w:w="70"/>
              <w:left w:type="dxa" w:w="110"/>
              <w:bottom w:type="dxa" w:w="70"/>
              <w:right w:type="dxa" w:w="110"/>
            </w:tcMar>
          </w:tcPr>
          <w:p>
            <w:pPr>
              <w:spacing w:after="0"/>
            </w:pPr>
            <w:r>
              <w:t xml:space="preserve">State / Local</w:t>
            </w:r>
          </w:p>
        </w:tc>
        <w:tc>
          <w:tcPr>
            <w:tcMar>
              <w:top w:type="dxa" w:w="70"/>
              <w:left w:type="dxa" w:w="110"/>
              <w:bottom w:type="dxa" w:w="70"/>
              <w:right w:type="dxa" w:w="110"/>
            </w:tcMar>
          </w:tcPr>
          <w:p>
            <w:pPr>
              <w:spacing w:after="0"/>
            </w:pPr>
            <w:r>
              <w:t xml:space="preserve">Development Authority / ULB</w:t>
            </w:r>
          </w:p>
        </w:tc>
        <w:tc>
          <w:tcPr>
            <w:tcMar>
              <w:top w:type="dxa" w:w="70"/>
              <w:left w:type="dxa" w:w="110"/>
              <w:bottom w:type="dxa" w:w="70"/>
              <w:right w:type="dxa" w:w="110"/>
            </w:tcMar>
          </w:tcPr>
          <w:p>
            <w:pPr>
              <w:spacing w:after="0"/>
            </w:pPr>
            <w:r>
              <w:t xml:space="preserve">Yes</w:t>
            </w:r>
          </w:p>
        </w:tc>
      </w:tr>
      <w:tr>
        <w:trPr>
          <w:cantSplit/>
          <w:tblHeader w:val="false"/>
        </w:trPr>
        <w:tc>
          <w:tcPr>
            <w:tcMar>
              <w:top w:type="dxa" w:w="70"/>
              <w:left w:type="dxa" w:w="110"/>
              <w:bottom w:type="dxa" w:w="70"/>
              <w:right w:type="dxa" w:w="110"/>
            </w:tcMar>
          </w:tcPr>
          <w:p>
            <w:pPr>
              <w:spacing w:after="0"/>
            </w:pPr>
            <w:r>
              <w:t xml:space="preserve">Environmental Clearance</w:t>
            </w:r>
          </w:p>
        </w:tc>
        <w:tc>
          <w:tcPr>
            <w:tcMar>
              <w:top w:type="dxa" w:w="70"/>
              <w:left w:type="dxa" w:w="110"/>
              <w:bottom w:type="dxa" w:w="70"/>
              <w:right w:type="dxa" w:w="110"/>
            </w:tcMar>
          </w:tcPr>
          <w:p>
            <w:pPr>
              <w:spacing w:after="0"/>
            </w:pPr>
            <w:r>
              <w:t xml:space="preserve">Concurrent</w:t>
            </w:r>
          </w:p>
        </w:tc>
        <w:tc>
          <w:tcPr>
            <w:tcMar>
              <w:top w:type="dxa" w:w="70"/>
              <w:left w:type="dxa" w:w="110"/>
              <w:bottom w:type="dxa" w:w="70"/>
              <w:right w:type="dxa" w:w="110"/>
            </w:tcMar>
          </w:tcPr>
          <w:p>
            <w:pPr>
              <w:spacing w:after="0"/>
            </w:pPr>
            <w:r>
              <w:t xml:space="preserve">MoEFCC (Cat A) / SEIAA (Cat B)</w:t>
            </w:r>
          </w:p>
        </w:tc>
        <w:tc>
          <w:tcPr>
            <w:tcMar>
              <w:top w:type="dxa" w:w="70"/>
              <w:left w:type="dxa" w:w="110"/>
              <w:bottom w:type="dxa" w:w="70"/>
              <w:right w:type="dxa" w:w="110"/>
            </w:tcMar>
          </w:tcPr>
          <w:p>
            <w:pPr>
              <w:spacing w:after="0"/>
            </w:pPr>
            <w:r>
              <w:t xml:space="preserve">Structure uniform</w:t>
            </w:r>
          </w:p>
        </w:tc>
      </w:tr>
      <w:tr>
        <w:trPr>
          <w:cantSplit/>
          <w:tblHeader w:val="false"/>
        </w:trPr>
        <w:tc>
          <w:tcPr>
            <w:tcMar>
              <w:top w:type="dxa" w:w="70"/>
              <w:left w:type="dxa" w:w="110"/>
              <w:bottom w:type="dxa" w:w="70"/>
              <w:right w:type="dxa" w:w="110"/>
            </w:tcMar>
          </w:tcPr>
          <w:p>
            <w:pPr>
              <w:spacing w:after="0"/>
            </w:pPr>
            <w:r>
              <w:t xml:space="preserve">Consent to Establish / Operate</w:t>
            </w:r>
          </w:p>
        </w:tc>
        <w:tc>
          <w:tcPr>
            <w:tcMar>
              <w:top w:type="dxa" w:w="70"/>
              <w:left w:type="dxa" w:w="110"/>
              <w:bottom w:type="dxa" w:w="70"/>
              <w:right w:type="dxa" w:w="110"/>
            </w:tcMar>
          </w:tcPr>
          <w:p>
            <w:pPr>
              <w:spacing w:after="0"/>
            </w:pPr>
            <w:r>
              <w:t xml:space="preserve">Concurrent</w:t>
            </w:r>
          </w:p>
        </w:tc>
        <w:tc>
          <w:tcPr>
            <w:tcMar>
              <w:top w:type="dxa" w:w="70"/>
              <w:left w:type="dxa" w:w="110"/>
              <w:bottom w:type="dxa" w:w="70"/>
              <w:right w:type="dxa" w:w="110"/>
            </w:tcMar>
          </w:tcPr>
          <w:p>
            <w:pPr>
              <w:spacing w:after="0"/>
            </w:pPr>
            <w:r>
              <w:t xml:space="preserve">State PCB / UT PCC</w:t>
            </w:r>
          </w:p>
        </w:tc>
        <w:tc>
          <w:tcPr>
            <w:tcMar>
              <w:top w:type="dxa" w:w="70"/>
              <w:left w:type="dxa" w:w="110"/>
              <w:bottom w:type="dxa" w:w="70"/>
              <w:right w:type="dxa" w:w="110"/>
            </w:tcMar>
          </w:tcPr>
          <w:p>
            <w:pPr>
              <w:spacing w:after="0"/>
            </w:pPr>
            <w:r>
              <w:t xml:space="preserve">Yes — fees, timelines</w:t>
            </w:r>
          </w:p>
        </w:tc>
      </w:tr>
      <w:tr>
        <w:trPr>
          <w:cantSplit/>
          <w:tblHeader w:val="false"/>
        </w:trPr>
        <w:tc>
          <w:tcPr>
            <w:tcMar>
              <w:top w:type="dxa" w:w="70"/>
              <w:left w:type="dxa" w:w="110"/>
              <w:bottom w:type="dxa" w:w="70"/>
              <w:right w:type="dxa" w:w="110"/>
            </w:tcMar>
          </w:tcPr>
          <w:p>
            <w:pPr>
              <w:spacing w:after="0"/>
            </w:pPr>
            <w:r>
              <w:t xml:space="preserve">Trade Licence</w:t>
            </w:r>
          </w:p>
        </w:tc>
        <w:tc>
          <w:tcPr>
            <w:tcMar>
              <w:top w:type="dxa" w:w="70"/>
              <w:left w:type="dxa" w:w="110"/>
              <w:bottom w:type="dxa" w:w="70"/>
              <w:right w:type="dxa" w:w="110"/>
            </w:tcMar>
          </w:tcPr>
          <w:p>
            <w:pPr>
              <w:spacing w:after="0"/>
            </w:pPr>
            <w:r>
              <w:t xml:space="preserve">State / Local</w:t>
            </w:r>
          </w:p>
        </w:tc>
        <w:tc>
          <w:tcPr>
            <w:tcMar>
              <w:top w:type="dxa" w:w="70"/>
              <w:left w:type="dxa" w:w="110"/>
              <w:bottom w:type="dxa" w:w="70"/>
              <w:right w:type="dxa" w:w="110"/>
            </w:tcMar>
          </w:tcPr>
          <w:p>
            <w:pPr>
              <w:spacing w:after="0"/>
            </w:pPr>
            <w:r>
              <w:t xml:space="preserve">Municipal Corporation</w:t>
            </w:r>
          </w:p>
        </w:tc>
        <w:tc>
          <w:tcPr>
            <w:tcMar>
              <w:top w:type="dxa" w:w="70"/>
              <w:left w:type="dxa" w:w="110"/>
              <w:bottom w:type="dxa" w:w="70"/>
              <w:right w:type="dxa" w:w="110"/>
            </w:tcMar>
          </w:tcPr>
          <w:p>
            <w:pPr>
              <w:spacing w:after="0"/>
            </w:pPr>
            <w:r>
              <w:t xml:space="preserve">Yes — heavily</w:t>
            </w:r>
          </w:p>
        </w:tc>
      </w:tr>
      <w:tr>
        <w:trPr>
          <w:cantSplit/>
          <w:tblHeader w:val="false"/>
        </w:trPr>
        <w:tc>
          <w:tcPr>
            <w:tcMar>
              <w:top w:type="dxa" w:w="70"/>
              <w:left w:type="dxa" w:w="110"/>
              <w:bottom w:type="dxa" w:w="70"/>
              <w:right w:type="dxa" w:w="110"/>
            </w:tcMar>
          </w:tcPr>
          <w:p>
            <w:pPr>
              <w:spacing w:after="0"/>
            </w:pPr>
            <w:r>
              <w:t xml:space="preserve">Fire NOC</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State Fire Services</w:t>
            </w:r>
          </w:p>
        </w:tc>
        <w:tc>
          <w:tcPr>
            <w:tcMar>
              <w:top w:type="dxa" w:w="70"/>
              <w:left w:type="dxa" w:w="110"/>
              <w:bottom w:type="dxa" w:w="70"/>
              <w:right w:type="dxa" w:w="110"/>
            </w:tcMar>
          </w:tcPr>
          <w:p>
            <w:pPr>
              <w:spacing w:after="0"/>
            </w:pPr>
            <w:r>
              <w:t xml:space="preserve">Yes</w:t>
            </w:r>
          </w:p>
        </w:tc>
      </w:tr>
      <w:tr>
        <w:trPr>
          <w:cantSplit/>
          <w:tblHeader w:val="false"/>
        </w:trPr>
        <w:tc>
          <w:tcPr>
            <w:tcMar>
              <w:top w:type="dxa" w:w="70"/>
              <w:left w:type="dxa" w:w="110"/>
              <w:bottom w:type="dxa" w:w="70"/>
              <w:right w:type="dxa" w:w="110"/>
            </w:tcMar>
          </w:tcPr>
          <w:p>
            <w:pPr>
              <w:spacing w:after="0"/>
            </w:pPr>
            <w:r>
              <w:t xml:space="preserve">Legal Metrology</w:t>
            </w:r>
          </w:p>
        </w:tc>
        <w:tc>
          <w:tcPr>
            <w:tcMar>
              <w:top w:type="dxa" w:w="70"/>
              <w:left w:type="dxa" w:w="110"/>
              <w:bottom w:type="dxa" w:w="70"/>
              <w:right w:type="dxa" w:w="110"/>
            </w:tcMar>
          </w:tcPr>
          <w:p>
            <w:pPr>
              <w:spacing w:after="0"/>
            </w:pPr>
            <w:r>
              <w:t xml:space="preserve">Concurrent</w:t>
            </w:r>
          </w:p>
        </w:tc>
        <w:tc>
          <w:tcPr>
            <w:tcMar>
              <w:top w:type="dxa" w:w="70"/>
              <w:left w:type="dxa" w:w="110"/>
              <w:bottom w:type="dxa" w:w="70"/>
              <w:right w:type="dxa" w:w="110"/>
            </w:tcMar>
          </w:tcPr>
          <w:p>
            <w:pPr>
              <w:spacing w:after="0"/>
            </w:pPr>
            <w:r>
              <w:t xml:space="preserve">State Legal Metrology Dept</w:t>
            </w:r>
          </w:p>
        </w:tc>
        <w:tc>
          <w:tcPr>
            <w:tcMar>
              <w:top w:type="dxa" w:w="70"/>
              <w:left w:type="dxa" w:w="110"/>
              <w:bottom w:type="dxa" w:w="70"/>
              <w:right w:type="dxa" w:w="110"/>
            </w:tcMar>
          </w:tcPr>
          <w:p>
            <w:pPr>
              <w:spacing w:after="0"/>
            </w:pPr>
            <w:r>
              <w:t xml:space="preserve">Yes — fees</w:t>
            </w:r>
          </w:p>
        </w:tc>
      </w:tr>
      <w:tr>
        <w:trPr>
          <w:cantSplit/>
          <w:tblHeader w:val="false"/>
        </w:trPr>
        <w:tc>
          <w:tcPr>
            <w:tcMar>
              <w:top w:type="dxa" w:w="70"/>
              <w:left w:type="dxa" w:w="110"/>
              <w:bottom w:type="dxa" w:w="70"/>
              <w:right w:type="dxa" w:w="110"/>
            </w:tcMar>
          </w:tcPr>
          <w:p>
            <w:pPr>
              <w:spacing w:after="0"/>
            </w:pPr>
            <w:r>
              <w:t xml:space="preserve">FSSAI licence</w:t>
            </w:r>
          </w:p>
        </w:tc>
        <w:tc>
          <w:tcPr>
            <w:tcMar>
              <w:top w:type="dxa" w:w="70"/>
              <w:left w:type="dxa" w:w="110"/>
              <w:bottom w:type="dxa" w:w="70"/>
              <w:right w:type="dxa" w:w="110"/>
            </w:tcMar>
          </w:tcPr>
          <w:p>
            <w:pPr>
              <w:spacing w:after="0"/>
            </w:pPr>
            <w:r>
              <w:t xml:space="preserve">Union</w:t>
            </w:r>
          </w:p>
        </w:tc>
        <w:tc>
          <w:tcPr>
            <w:tcMar>
              <w:top w:type="dxa" w:w="70"/>
              <w:left w:type="dxa" w:w="110"/>
              <w:bottom w:type="dxa" w:w="70"/>
              <w:right w:type="dxa" w:w="110"/>
            </w:tcMar>
          </w:tcPr>
          <w:p>
            <w:pPr>
              <w:spacing w:after="0"/>
            </w:pPr>
            <w:r>
              <w:t xml:space="preserve">FSSAI (central) / State Food Safety (state licence)</w:t>
            </w:r>
          </w:p>
        </w:tc>
        <w:tc>
          <w:tcPr>
            <w:tcMar>
              <w:top w:type="dxa" w:w="70"/>
              <w:left w:type="dxa" w:w="110"/>
              <w:bottom w:type="dxa" w:w="70"/>
              <w:right w:type="dxa" w:w="110"/>
            </w:tcMar>
          </w:tcPr>
          <w:p>
            <w:pPr>
              <w:spacing w:after="0"/>
            </w:pPr>
            <w:r>
              <w:t xml:space="preserve">Two-tier</w:t>
            </w:r>
          </w:p>
        </w:tc>
      </w:tr>
      <w:tr>
        <w:trPr>
          <w:cantSplit/>
          <w:tblHeader w:val="false"/>
        </w:trPr>
        <w:tc>
          <w:tcPr>
            <w:tcMar>
              <w:top w:type="dxa" w:w="70"/>
              <w:left w:type="dxa" w:w="110"/>
              <w:bottom w:type="dxa" w:w="70"/>
              <w:right w:type="dxa" w:w="110"/>
            </w:tcMar>
          </w:tcPr>
          <w:p>
            <w:pPr>
              <w:spacing w:after="0"/>
            </w:pPr>
            <w:r>
              <w:t xml:space="preserve">Drug licence</w:t>
            </w:r>
          </w:p>
        </w:tc>
        <w:tc>
          <w:tcPr>
            <w:tcMar>
              <w:top w:type="dxa" w:w="70"/>
              <w:left w:type="dxa" w:w="110"/>
              <w:bottom w:type="dxa" w:w="70"/>
              <w:right w:type="dxa" w:w="110"/>
            </w:tcMar>
          </w:tcPr>
          <w:p>
            <w:pPr>
              <w:spacing w:after="0"/>
            </w:pPr>
            <w:r>
              <w:t xml:space="preserve">Concurrent</w:t>
            </w:r>
          </w:p>
        </w:tc>
        <w:tc>
          <w:tcPr>
            <w:tcMar>
              <w:top w:type="dxa" w:w="70"/>
              <w:left w:type="dxa" w:w="110"/>
              <w:bottom w:type="dxa" w:w="70"/>
              <w:right w:type="dxa" w:w="110"/>
            </w:tcMar>
          </w:tcPr>
          <w:p>
            <w:pPr>
              <w:spacing w:after="0"/>
            </w:pPr>
            <w:r>
              <w:t xml:space="preserve">State Drug Control Administration</w:t>
            </w:r>
          </w:p>
        </w:tc>
        <w:tc>
          <w:tcPr>
            <w:tcMar>
              <w:top w:type="dxa" w:w="70"/>
              <w:left w:type="dxa" w:w="110"/>
              <w:bottom w:type="dxa" w:w="70"/>
              <w:right w:type="dxa" w:w="110"/>
            </w:tcMar>
          </w:tcPr>
          <w:p>
            <w:pPr>
              <w:spacing w:after="0"/>
            </w:pPr>
            <w:r>
              <w:t xml:space="preserve">Yes</w:t>
            </w:r>
          </w:p>
        </w:tc>
      </w:tr>
      <w:tr>
        <w:trPr>
          <w:cantSplit/>
          <w:tblHeader w:val="false"/>
        </w:trPr>
        <w:tc>
          <w:tcPr>
            <w:tcMar>
              <w:top w:type="dxa" w:w="70"/>
              <w:left w:type="dxa" w:w="110"/>
              <w:bottom w:type="dxa" w:w="70"/>
              <w:right w:type="dxa" w:w="110"/>
            </w:tcMar>
          </w:tcPr>
          <w:p>
            <w:pPr>
              <w:spacing w:after="0"/>
            </w:pPr>
            <w:r>
              <w:t xml:space="preserve">Excise / liquor</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State Excise Department</w:t>
            </w:r>
          </w:p>
        </w:tc>
        <w:tc>
          <w:tcPr>
            <w:tcMar>
              <w:top w:type="dxa" w:w="70"/>
              <w:left w:type="dxa" w:w="110"/>
              <w:bottom w:type="dxa" w:w="70"/>
              <w:right w:type="dxa" w:w="110"/>
            </w:tcMar>
          </w:tcPr>
          <w:p>
            <w:pPr>
              <w:spacing w:after="0"/>
            </w:pPr>
            <w:r>
              <w:t xml:space="preserve">Yes — completely</w:t>
            </w:r>
          </w:p>
        </w:tc>
      </w:tr>
      <w:tr>
        <w:trPr>
          <w:cantSplit/>
          <w:tblHeader w:val="false"/>
        </w:trPr>
        <w:tc>
          <w:tcPr>
            <w:tcMar>
              <w:top w:type="dxa" w:w="70"/>
              <w:left w:type="dxa" w:w="110"/>
              <w:bottom w:type="dxa" w:w="70"/>
              <w:right w:type="dxa" w:w="110"/>
            </w:tcMar>
          </w:tcPr>
          <w:p>
            <w:pPr>
              <w:spacing w:after="0"/>
            </w:pPr>
            <w:r>
              <w:t xml:space="preserve">Electricity duty &amp; tariff</w:t>
            </w:r>
          </w:p>
        </w:tc>
        <w:tc>
          <w:tcPr>
            <w:tcMar>
              <w:top w:type="dxa" w:w="70"/>
              <w:left w:type="dxa" w:w="110"/>
              <w:bottom w:type="dxa" w:w="70"/>
              <w:right w:type="dxa" w:w="110"/>
            </w:tcMar>
          </w:tcPr>
          <w:p>
            <w:pPr>
              <w:spacing w:after="0"/>
            </w:pPr>
            <w:r>
              <w:t xml:space="preserve">Concurrent</w:t>
            </w:r>
          </w:p>
        </w:tc>
        <w:tc>
          <w:tcPr>
            <w:tcMar>
              <w:top w:type="dxa" w:w="70"/>
              <w:left w:type="dxa" w:w="110"/>
              <w:bottom w:type="dxa" w:w="70"/>
              <w:right w:type="dxa" w:w="110"/>
            </w:tcMar>
          </w:tcPr>
          <w:p>
            <w:pPr>
              <w:spacing w:after="0"/>
            </w:pPr>
            <w:r>
              <w:t xml:space="preserve">State Electricity Regulatory Commission</w:t>
            </w:r>
          </w:p>
        </w:tc>
        <w:tc>
          <w:tcPr>
            <w:tcMar>
              <w:top w:type="dxa" w:w="70"/>
              <w:left w:type="dxa" w:w="110"/>
              <w:bottom w:type="dxa" w:w="70"/>
              <w:right w:type="dxa" w:w="110"/>
            </w:tcMar>
          </w:tcPr>
          <w:p>
            <w:pPr>
              <w:spacing w:after="0"/>
            </w:pPr>
            <w:r>
              <w:t xml:space="preserve">Yes</w:t>
            </w:r>
          </w:p>
        </w:tc>
      </w:tr>
      <w:tr>
        <w:trPr>
          <w:cantSplit/>
          <w:tblHeader w:val="false"/>
        </w:trPr>
        <w:tc>
          <w:tcPr>
            <w:tcMar>
              <w:top w:type="dxa" w:w="70"/>
              <w:left w:type="dxa" w:w="110"/>
              <w:bottom w:type="dxa" w:w="70"/>
              <w:right w:type="dxa" w:w="110"/>
            </w:tcMar>
          </w:tcPr>
          <w:p>
            <w:pPr>
              <w:spacing w:after="0"/>
            </w:pPr>
            <w:r>
              <w:t xml:space="preserve">Motor vehicle road tax</w:t>
            </w:r>
          </w:p>
        </w:tc>
        <w:tc>
          <w:tcPr>
            <w:tcMar>
              <w:top w:type="dxa" w:w="70"/>
              <w:left w:type="dxa" w:w="110"/>
              <w:bottom w:type="dxa" w:w="70"/>
              <w:right w:type="dxa" w:w="110"/>
            </w:tcMar>
          </w:tcPr>
          <w:p>
            <w:pPr>
              <w:spacing w:after="0"/>
            </w:pPr>
            <w:r>
              <w:t xml:space="preserve">Concurrent</w:t>
            </w:r>
          </w:p>
        </w:tc>
        <w:tc>
          <w:tcPr>
            <w:tcMar>
              <w:top w:type="dxa" w:w="70"/>
              <w:left w:type="dxa" w:w="110"/>
              <w:bottom w:type="dxa" w:w="70"/>
              <w:right w:type="dxa" w:w="110"/>
            </w:tcMar>
          </w:tcPr>
          <w:p>
            <w:pPr>
              <w:spacing w:after="0"/>
            </w:pPr>
            <w:r>
              <w:t xml:space="preserve">State Transport Department</w:t>
            </w:r>
          </w:p>
        </w:tc>
        <w:tc>
          <w:tcPr>
            <w:tcMar>
              <w:top w:type="dxa" w:w="70"/>
              <w:left w:type="dxa" w:w="110"/>
              <w:bottom w:type="dxa" w:w="70"/>
              <w:right w:type="dxa" w:w="110"/>
            </w:tcMar>
          </w:tcPr>
          <w:p>
            <w:pPr>
              <w:spacing w:after="0"/>
            </w:pPr>
            <w:r>
              <w:t xml:space="preserve">Yes — heavily</w:t>
            </w:r>
          </w:p>
        </w:tc>
      </w:tr>
      <w:tr>
        <w:trPr>
          <w:cantSplit/>
          <w:tblHeader w:val="false"/>
        </w:trPr>
        <w:tc>
          <w:tcPr>
            <w:tcMar>
              <w:top w:type="dxa" w:w="70"/>
              <w:left w:type="dxa" w:w="110"/>
              <w:bottom w:type="dxa" w:w="70"/>
              <w:right w:type="dxa" w:w="110"/>
            </w:tcMar>
          </w:tcPr>
          <w:p>
            <w:pPr>
              <w:spacing w:after="0"/>
            </w:pPr>
            <w:r>
              <w:t xml:space="preserve">Petroleum / diesel VAT</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State Commercial Taxes</w:t>
            </w:r>
          </w:p>
        </w:tc>
        <w:tc>
          <w:tcPr>
            <w:tcMar>
              <w:top w:type="dxa" w:w="70"/>
              <w:left w:type="dxa" w:w="110"/>
              <w:bottom w:type="dxa" w:w="70"/>
              <w:right w:type="dxa" w:w="110"/>
            </w:tcMar>
          </w:tcPr>
          <w:p>
            <w:pPr>
              <w:spacing w:after="0"/>
            </w:pPr>
            <w:r>
              <w:t xml:space="preserve">Yes</w:t>
            </w:r>
          </w:p>
        </w:tc>
      </w:tr>
    </w:tbl>
    <w:p>
      <w:pPr>
        <w:spacing w:after="40"/>
      </w:pPr>
    </w:p>
    <w:p>
      <w:pPr>
        <w:pStyle w:val="Heading1"/>
        <w:keepNext/>
        <w:keepLines/>
        <w:pBdr>
          <w:bottom w:val="single" w:color="2157CF" w:sz="8" w:space="3"/>
        </w:pBdr>
      </w:pPr>
      <w:r>
        <w:t xml:space="preserve">2. Business Registration &amp; Corporate Law</w:t>
      </w:r>
    </w:p>
    <w:p>
      <w:pPr>
        <w:pStyle w:val="Heading2"/>
        <w:keepNext/>
        <w:keepLines/>
      </w:pPr>
      <w:r>
        <w:t xml:space="preserve">2.1 The Central Framework — Identical Across India</w:t>
      </w:r>
    </w:p>
    <w:p>
      <w:r>
        <w:t xml:space="preserve">Entity formation is one of the few areas of genuine national uniformity. A private limited company registered in Aizawl follows exactly the same process as one registered in Mumbai.</w:t>
      </w:r>
    </w:p>
    <w:p>
      <w:r>
        <w:rPr>
          <w:b/>
          <w:bCs/>
        </w:rPr>
        <w:t xml:space="preserve">The SPICe+ process (Form INC-32 and associated forms):</w:t>
      </w:r>
    </w:p>
    <w:p>
      <w:pPr>
        <w:pStyle w:val="ListParagraph"/>
        <w:numPr>
          <w:ilvl w:val="0"/>
          <w:numId w:val="1"/>
        </w:numPr>
        <w:spacing w:after="60"/>
      </w:pPr>
      <w:r>
        <w:rPr>
          <w:b/>
          <w:bCs/>
        </w:rPr>
        <w:t xml:space="preserve">Part A</w:t>
      </w:r>
      <w:r>
        <w:t xml:space="preserve"> — name reservation (previously RUN).</w:t>
      </w:r>
    </w:p>
    <w:p>
      <w:pPr>
        <w:pStyle w:val="ListParagraph"/>
        <w:numPr>
          <w:ilvl w:val="0"/>
          <w:numId w:val="1"/>
        </w:numPr>
        <w:spacing w:after="60"/>
      </w:pPr>
      <w:r>
        <w:rPr>
          <w:b/>
          <w:bCs/>
        </w:rPr>
        <w:t xml:space="preserve">Part B</w:t>
      </w:r>
      <w:r>
        <w:t xml:space="preserve"> — incorporation, DIN allotment, PAN, TAN, EPFO and ESIC registration, professional tax registration (in Maharashtra, Karnataka and West Bengal, where it is integrated), opening of the bank account, and GSTIN if opted.</w:t>
      </w:r>
    </w:p>
    <w:p>
      <w:pPr>
        <w:pStyle w:val="ListParagraph"/>
        <w:numPr>
          <w:ilvl w:val="0"/>
          <w:numId w:val="1"/>
        </w:numPr>
        <w:spacing w:after="60"/>
      </w:pPr>
      <w:r>
        <w:rPr>
          <w:b/>
          <w:bCs/>
        </w:rPr>
        <w:t xml:space="preserve">AGILE-PRO-S (INC-35)</w:t>
      </w:r>
      <w:r>
        <w:t xml:space="preserve"> — the linked form that carries GST, EPFO, ESIC, professional tax, bank account and shops &amp; establishment registration (the last only in select states).</w:t>
      </w:r>
    </w:p>
    <w:p>
      <w:pPr>
        <w:pStyle w:val="ListParagraph"/>
        <w:numPr>
          <w:ilvl w:val="0"/>
          <w:numId w:val="1"/>
        </w:numPr>
        <w:spacing w:after="60"/>
      </w:pPr>
      <w:r>
        <w:rPr>
          <w:b/>
          <w:bCs/>
        </w:rPr>
        <w:t xml:space="preserve">e-MoA (INC-33)</w:t>
      </w:r>
      <w:r>
        <w:t xml:space="preserve"> and </w:t>
      </w:r>
      <w:r>
        <w:rPr>
          <w:b/>
          <w:bCs/>
        </w:rPr>
        <w:t xml:space="preserve">e-AoA (INC-34)</w:t>
      </w:r>
      <w:r>
        <w:t xml:space="preserve"> — electronic charter documents.</w:t>
      </w:r>
    </w:p>
    <w:p>
      <w:r>
        <w:rPr>
          <w:b/>
          <w:bCs/>
        </w:rPr>
        <w:t xml:space="preserve">What is uniform nationwide:</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Item</w:t>
            </w:r>
          </w:p>
        </w:tc>
        <w:tc>
          <w:tcPr>
            <w:shd w:fill="F0F4FE"/>
            <w:tcMar>
              <w:top w:type="dxa" w:w="70"/>
              <w:left w:type="dxa" w:w="110"/>
              <w:bottom w:type="dxa" w:w="70"/>
              <w:right w:type="dxa" w:w="110"/>
            </w:tcMar>
          </w:tcPr>
          <w:p>
            <w:pPr>
              <w:spacing w:after="0"/>
            </w:pPr>
            <w:r>
              <w:rPr>
                <w:b/>
                <w:bCs/>
                <w:color w:val="112D6A"/>
              </w:rPr>
              <w:t xml:space="preserve">Authority</w:t>
            </w:r>
          </w:p>
        </w:tc>
        <w:tc>
          <w:tcPr>
            <w:shd w:fill="F0F4FE"/>
            <w:tcMar>
              <w:top w:type="dxa" w:w="70"/>
              <w:left w:type="dxa" w:w="110"/>
              <w:bottom w:type="dxa" w:w="70"/>
              <w:right w:type="dxa" w:w="110"/>
            </w:tcMar>
          </w:tcPr>
          <w:p>
            <w:pPr>
              <w:spacing w:after="0"/>
            </w:pPr>
            <w:r>
              <w:rPr>
                <w:b/>
                <w:bCs/>
                <w:color w:val="112D6A"/>
              </w:rPr>
              <w:t xml:space="preserve">Notes</w:t>
            </w:r>
          </w:p>
        </w:tc>
      </w:tr>
      <w:tr>
        <w:trPr>
          <w:cantSplit/>
          <w:tblHeader w:val="false"/>
        </w:trPr>
        <w:tc>
          <w:tcPr>
            <w:tcMar>
              <w:top w:type="dxa" w:w="70"/>
              <w:left w:type="dxa" w:w="110"/>
              <w:bottom w:type="dxa" w:w="70"/>
              <w:right w:type="dxa" w:w="110"/>
            </w:tcMar>
          </w:tcPr>
          <w:p>
            <w:pPr>
              <w:spacing w:after="0"/>
            </w:pPr>
            <w:r>
              <w:t xml:space="preserve">Company incorporation</w:t>
            </w:r>
          </w:p>
        </w:tc>
        <w:tc>
          <w:tcPr>
            <w:tcMar>
              <w:top w:type="dxa" w:w="70"/>
              <w:left w:type="dxa" w:w="110"/>
              <w:bottom w:type="dxa" w:w="70"/>
              <w:right w:type="dxa" w:w="110"/>
            </w:tcMar>
          </w:tcPr>
          <w:p>
            <w:pPr>
              <w:spacing w:after="0"/>
            </w:pPr>
            <w:r>
              <w:t xml:space="preserve">MCA, Companies Act 2013</w:t>
            </w:r>
          </w:p>
        </w:tc>
        <w:tc>
          <w:tcPr>
            <w:tcMar>
              <w:top w:type="dxa" w:w="70"/>
              <w:left w:type="dxa" w:w="110"/>
              <w:bottom w:type="dxa" w:w="70"/>
              <w:right w:type="dxa" w:w="110"/>
            </w:tcMar>
          </w:tcPr>
          <w:p>
            <w:pPr>
              <w:spacing w:after="0"/>
            </w:pPr>
            <w:r>
              <w:t xml:space="preserve">Same forms, same fee slab by capital</w:t>
            </w:r>
          </w:p>
        </w:tc>
      </w:tr>
      <w:tr>
        <w:trPr>
          <w:cantSplit/>
          <w:tblHeader w:val="false"/>
        </w:trPr>
        <w:tc>
          <w:tcPr>
            <w:tcMar>
              <w:top w:type="dxa" w:w="70"/>
              <w:left w:type="dxa" w:w="110"/>
              <w:bottom w:type="dxa" w:w="70"/>
              <w:right w:type="dxa" w:w="110"/>
            </w:tcMar>
          </w:tcPr>
          <w:p>
            <w:pPr>
              <w:spacing w:after="0"/>
            </w:pPr>
            <w:r>
              <w:t xml:space="preserve">LLP incorporation</w:t>
            </w:r>
          </w:p>
        </w:tc>
        <w:tc>
          <w:tcPr>
            <w:tcMar>
              <w:top w:type="dxa" w:w="70"/>
              <w:left w:type="dxa" w:w="110"/>
              <w:bottom w:type="dxa" w:w="70"/>
              <w:right w:type="dxa" w:w="110"/>
            </w:tcMar>
          </w:tcPr>
          <w:p>
            <w:pPr>
              <w:spacing w:after="0"/>
            </w:pPr>
            <w:r>
              <w:t xml:space="preserve">MCA, LLP Act 2008 (FiLLiP form)</w:t>
            </w:r>
          </w:p>
        </w:tc>
        <w:tc>
          <w:tcPr>
            <w:tcMar>
              <w:top w:type="dxa" w:w="70"/>
              <w:left w:type="dxa" w:w="110"/>
              <w:bottom w:type="dxa" w:w="70"/>
              <w:right w:type="dxa" w:w="110"/>
            </w:tcMar>
          </w:tcPr>
          <w:p>
            <w:pPr>
              <w:spacing w:after="0"/>
            </w:pPr>
            <w:r>
              <w:t xml:space="preserve">Same nationwide</w:t>
            </w:r>
          </w:p>
        </w:tc>
      </w:tr>
      <w:tr>
        <w:trPr>
          <w:cantSplit/>
          <w:tblHeader w:val="false"/>
        </w:trPr>
        <w:tc>
          <w:tcPr>
            <w:tcMar>
              <w:top w:type="dxa" w:w="70"/>
              <w:left w:type="dxa" w:w="110"/>
              <w:bottom w:type="dxa" w:w="70"/>
              <w:right w:type="dxa" w:w="110"/>
            </w:tcMar>
          </w:tcPr>
          <w:p>
            <w:pPr>
              <w:spacing w:after="0"/>
            </w:pPr>
            <w:r>
              <w:t xml:space="preserve">One Person Company</w:t>
            </w:r>
          </w:p>
        </w:tc>
        <w:tc>
          <w:tcPr>
            <w:tcMar>
              <w:top w:type="dxa" w:w="70"/>
              <w:left w:type="dxa" w:w="110"/>
              <w:bottom w:type="dxa" w:w="70"/>
              <w:right w:type="dxa" w:w="110"/>
            </w:tcMar>
          </w:tcPr>
          <w:p>
            <w:pPr>
              <w:spacing w:after="0"/>
            </w:pPr>
            <w:r>
              <w:t xml:space="preserve">MCA</w:t>
            </w:r>
          </w:p>
        </w:tc>
        <w:tc>
          <w:tcPr>
            <w:tcMar>
              <w:top w:type="dxa" w:w="70"/>
              <w:left w:type="dxa" w:w="110"/>
              <w:bottom w:type="dxa" w:w="70"/>
              <w:right w:type="dxa" w:w="110"/>
            </w:tcMar>
          </w:tcPr>
          <w:p>
            <w:pPr>
              <w:spacing w:after="0"/>
            </w:pPr>
            <w:r>
              <w:t xml:space="preserve">Same nationwide</w:t>
            </w:r>
          </w:p>
        </w:tc>
      </w:tr>
      <w:tr>
        <w:trPr>
          <w:cantSplit/>
          <w:tblHeader w:val="false"/>
        </w:trPr>
        <w:tc>
          <w:tcPr>
            <w:tcMar>
              <w:top w:type="dxa" w:w="70"/>
              <w:left w:type="dxa" w:w="110"/>
              <w:bottom w:type="dxa" w:w="70"/>
              <w:right w:type="dxa" w:w="110"/>
            </w:tcMar>
          </w:tcPr>
          <w:p>
            <w:pPr>
              <w:spacing w:after="0"/>
            </w:pPr>
            <w:r>
              <w:t xml:space="preserve">DIN / DPIN</w:t>
            </w:r>
          </w:p>
        </w:tc>
        <w:tc>
          <w:tcPr>
            <w:tcMar>
              <w:top w:type="dxa" w:w="70"/>
              <w:left w:type="dxa" w:w="110"/>
              <w:bottom w:type="dxa" w:w="70"/>
              <w:right w:type="dxa" w:w="110"/>
            </w:tcMar>
          </w:tcPr>
          <w:p>
            <w:pPr>
              <w:spacing w:after="0"/>
            </w:pPr>
            <w:r>
              <w:t xml:space="preserve">MCA</w:t>
            </w:r>
          </w:p>
        </w:tc>
        <w:tc>
          <w:tcPr>
            <w:tcMar>
              <w:top w:type="dxa" w:w="70"/>
              <w:left w:type="dxa" w:w="110"/>
              <w:bottom w:type="dxa" w:w="70"/>
              <w:right w:type="dxa" w:w="110"/>
            </w:tcMar>
          </w:tcPr>
          <w:p>
            <w:pPr>
              <w:spacing w:after="0"/>
            </w:pPr>
            <w:r>
              <w:t xml:space="preserve">Central allotment</w:t>
            </w:r>
          </w:p>
        </w:tc>
      </w:tr>
      <w:tr>
        <w:trPr>
          <w:cantSplit/>
          <w:tblHeader w:val="false"/>
        </w:trPr>
        <w:tc>
          <w:tcPr>
            <w:tcMar>
              <w:top w:type="dxa" w:w="70"/>
              <w:left w:type="dxa" w:w="110"/>
              <w:bottom w:type="dxa" w:w="70"/>
              <w:right w:type="dxa" w:w="110"/>
            </w:tcMar>
          </w:tcPr>
          <w:p>
            <w:pPr>
              <w:spacing w:after="0"/>
            </w:pPr>
            <w:r>
              <w:t xml:space="preserve">PAN and TAN</w:t>
            </w:r>
          </w:p>
        </w:tc>
        <w:tc>
          <w:tcPr>
            <w:tcMar>
              <w:top w:type="dxa" w:w="70"/>
              <w:left w:type="dxa" w:w="110"/>
              <w:bottom w:type="dxa" w:w="70"/>
              <w:right w:type="dxa" w:w="110"/>
            </w:tcMar>
          </w:tcPr>
          <w:p>
            <w:pPr>
              <w:spacing w:after="0"/>
            </w:pPr>
            <w:r>
              <w:t xml:space="preserve">CBDT via NSDL/UTIITSL</w:t>
            </w:r>
          </w:p>
        </w:tc>
        <w:tc>
          <w:tcPr>
            <w:tcMar>
              <w:top w:type="dxa" w:w="70"/>
              <w:left w:type="dxa" w:w="110"/>
              <w:bottom w:type="dxa" w:w="70"/>
              <w:right w:type="dxa" w:w="110"/>
            </w:tcMar>
          </w:tcPr>
          <w:p>
            <w:pPr>
              <w:spacing w:after="0"/>
            </w:pPr>
            <w:r>
              <w:t xml:space="preserve">Central</w:t>
            </w:r>
          </w:p>
        </w:tc>
      </w:tr>
      <w:tr>
        <w:trPr>
          <w:cantSplit/>
          <w:tblHeader w:val="false"/>
        </w:trPr>
        <w:tc>
          <w:tcPr>
            <w:tcMar>
              <w:top w:type="dxa" w:w="70"/>
              <w:left w:type="dxa" w:w="110"/>
              <w:bottom w:type="dxa" w:w="70"/>
              <w:right w:type="dxa" w:w="110"/>
            </w:tcMar>
          </w:tcPr>
          <w:p>
            <w:pPr>
              <w:spacing w:after="0"/>
            </w:pPr>
            <w:r>
              <w:t xml:space="preserve">Udyam Registration</w:t>
            </w:r>
          </w:p>
        </w:tc>
        <w:tc>
          <w:tcPr>
            <w:tcMar>
              <w:top w:type="dxa" w:w="70"/>
              <w:left w:type="dxa" w:w="110"/>
              <w:bottom w:type="dxa" w:w="70"/>
              <w:right w:type="dxa" w:w="110"/>
            </w:tcMar>
          </w:tcPr>
          <w:p>
            <w:pPr>
              <w:spacing w:after="0"/>
            </w:pPr>
            <w:r>
              <w:t xml:space="preserve">Ministry of MSME</w:t>
            </w:r>
          </w:p>
        </w:tc>
        <w:tc>
          <w:tcPr>
            <w:tcMar>
              <w:top w:type="dxa" w:w="70"/>
              <w:left w:type="dxa" w:w="110"/>
              <w:bottom w:type="dxa" w:w="70"/>
              <w:right w:type="dxa" w:w="110"/>
            </w:tcMar>
          </w:tcPr>
          <w:p>
            <w:pPr>
              <w:spacing w:after="0"/>
            </w:pPr>
            <w:r>
              <w:t xml:space="preserve">Free, PAN and GST linked, self-declared</w:t>
            </w:r>
          </w:p>
        </w:tc>
      </w:tr>
      <w:tr>
        <w:trPr>
          <w:cantSplit/>
          <w:tblHeader w:val="false"/>
        </w:trPr>
        <w:tc>
          <w:tcPr>
            <w:tcMar>
              <w:top w:type="dxa" w:w="70"/>
              <w:left w:type="dxa" w:w="110"/>
              <w:bottom w:type="dxa" w:w="70"/>
              <w:right w:type="dxa" w:w="110"/>
            </w:tcMar>
          </w:tcPr>
          <w:p>
            <w:pPr>
              <w:spacing w:after="0"/>
            </w:pPr>
            <w:r>
              <w:t xml:space="preserve">Import Export Code</w:t>
            </w:r>
          </w:p>
        </w:tc>
        <w:tc>
          <w:tcPr>
            <w:tcMar>
              <w:top w:type="dxa" w:w="70"/>
              <w:left w:type="dxa" w:w="110"/>
              <w:bottom w:type="dxa" w:w="70"/>
              <w:right w:type="dxa" w:w="110"/>
            </w:tcMar>
          </w:tcPr>
          <w:p>
            <w:pPr>
              <w:spacing w:after="0"/>
            </w:pPr>
            <w:r>
              <w:t xml:space="preserve">DGFT</w:t>
            </w:r>
          </w:p>
        </w:tc>
        <w:tc>
          <w:tcPr>
            <w:tcMar>
              <w:top w:type="dxa" w:w="70"/>
              <w:left w:type="dxa" w:w="110"/>
              <w:bottom w:type="dxa" w:w="70"/>
              <w:right w:type="dxa" w:w="110"/>
            </w:tcMar>
          </w:tcPr>
          <w:p>
            <w:pPr>
              <w:spacing w:after="0"/>
            </w:pPr>
            <w:r>
              <w:t xml:space="preserve">Central, PAN-based</w:t>
            </w:r>
          </w:p>
        </w:tc>
      </w:tr>
      <w:tr>
        <w:trPr>
          <w:cantSplit/>
          <w:tblHeader w:val="false"/>
        </w:trPr>
        <w:tc>
          <w:tcPr>
            <w:tcMar>
              <w:top w:type="dxa" w:w="70"/>
              <w:left w:type="dxa" w:w="110"/>
              <w:bottom w:type="dxa" w:w="70"/>
              <w:right w:type="dxa" w:w="110"/>
            </w:tcMar>
          </w:tcPr>
          <w:p>
            <w:pPr>
              <w:spacing w:after="0"/>
            </w:pPr>
            <w:r>
              <w:t xml:space="preserve">Trademark, patent, copyright, design</w:t>
            </w:r>
          </w:p>
        </w:tc>
        <w:tc>
          <w:tcPr>
            <w:tcMar>
              <w:top w:type="dxa" w:w="70"/>
              <w:left w:type="dxa" w:w="110"/>
              <w:bottom w:type="dxa" w:w="70"/>
              <w:right w:type="dxa" w:w="110"/>
            </w:tcMar>
          </w:tcPr>
          <w:p>
            <w:pPr>
              <w:spacing w:after="0"/>
            </w:pPr>
            <w:r>
              <w:t xml:space="preserve">CGPDTM / Copyright Office</w:t>
            </w:r>
          </w:p>
        </w:tc>
        <w:tc>
          <w:tcPr>
            <w:tcMar>
              <w:top w:type="dxa" w:w="70"/>
              <w:left w:type="dxa" w:w="110"/>
              <w:bottom w:type="dxa" w:w="70"/>
              <w:right w:type="dxa" w:w="110"/>
            </w:tcMar>
          </w:tcPr>
          <w:p>
            <w:pPr>
              <w:spacing w:after="0"/>
            </w:pPr>
            <w:r>
              <w:t xml:space="preserve">Central, though filing offices are regional</w:t>
            </w:r>
          </w:p>
        </w:tc>
      </w:tr>
      <w:tr>
        <w:trPr>
          <w:cantSplit/>
          <w:tblHeader w:val="false"/>
        </w:trPr>
        <w:tc>
          <w:tcPr>
            <w:tcMar>
              <w:top w:type="dxa" w:w="70"/>
              <w:left w:type="dxa" w:w="110"/>
              <w:bottom w:type="dxa" w:w="70"/>
              <w:right w:type="dxa" w:w="110"/>
            </w:tcMar>
          </w:tcPr>
          <w:p>
            <w:pPr>
              <w:spacing w:after="0"/>
            </w:pPr>
            <w:r>
              <w:t xml:space="preserve">Startup India recognition (DPIIT)</w:t>
            </w:r>
          </w:p>
        </w:tc>
        <w:tc>
          <w:tcPr>
            <w:tcMar>
              <w:top w:type="dxa" w:w="70"/>
              <w:left w:type="dxa" w:w="110"/>
              <w:bottom w:type="dxa" w:w="70"/>
              <w:right w:type="dxa" w:w="110"/>
            </w:tcMar>
          </w:tcPr>
          <w:p>
            <w:pPr>
              <w:spacing w:after="0"/>
            </w:pPr>
            <w:r>
              <w:t xml:space="preserve">DPIIT</w:t>
            </w:r>
          </w:p>
        </w:tc>
        <w:tc>
          <w:tcPr>
            <w:tcMar>
              <w:top w:type="dxa" w:w="70"/>
              <w:left w:type="dxa" w:w="110"/>
              <w:bottom w:type="dxa" w:w="70"/>
              <w:right w:type="dxa" w:w="110"/>
            </w:tcMar>
          </w:tcPr>
          <w:p>
            <w:pPr>
              <w:spacing w:after="0"/>
            </w:pPr>
            <w:r>
              <w:t xml:space="preserve">Central</w:t>
            </w:r>
          </w:p>
        </w:tc>
      </w:tr>
      <w:tr>
        <w:trPr>
          <w:cantSplit/>
          <w:tblHeader w:val="false"/>
        </w:trPr>
        <w:tc>
          <w:tcPr>
            <w:tcMar>
              <w:top w:type="dxa" w:w="70"/>
              <w:left w:type="dxa" w:w="110"/>
              <w:bottom w:type="dxa" w:w="70"/>
              <w:right w:type="dxa" w:w="110"/>
            </w:tcMar>
          </w:tcPr>
          <w:p>
            <w:pPr>
              <w:spacing w:after="0"/>
            </w:pPr>
            <w:r>
              <w:t xml:space="preserve">FCRA registration</w:t>
            </w:r>
          </w:p>
        </w:tc>
        <w:tc>
          <w:tcPr>
            <w:tcMar>
              <w:top w:type="dxa" w:w="70"/>
              <w:left w:type="dxa" w:w="110"/>
              <w:bottom w:type="dxa" w:w="70"/>
              <w:right w:type="dxa" w:w="110"/>
            </w:tcMar>
          </w:tcPr>
          <w:p>
            <w:pPr>
              <w:spacing w:after="0"/>
            </w:pPr>
            <w:r>
              <w:t xml:space="preserve">MHA</w:t>
            </w:r>
          </w:p>
        </w:tc>
        <w:tc>
          <w:tcPr>
            <w:tcMar>
              <w:top w:type="dxa" w:w="70"/>
              <w:left w:type="dxa" w:w="110"/>
              <w:bottom w:type="dxa" w:w="70"/>
              <w:right w:type="dxa" w:w="110"/>
            </w:tcMar>
          </w:tcPr>
          <w:p>
            <w:pPr>
              <w:spacing w:after="0"/>
            </w:pPr>
            <w:r>
              <w:t xml:space="preserve">Central</w:t>
            </w:r>
          </w:p>
        </w:tc>
      </w:tr>
      <w:tr>
        <w:trPr>
          <w:cantSplit/>
          <w:tblHeader w:val="false"/>
        </w:trPr>
        <w:tc>
          <w:tcPr>
            <w:tcMar>
              <w:top w:type="dxa" w:w="70"/>
              <w:left w:type="dxa" w:w="110"/>
              <w:bottom w:type="dxa" w:w="70"/>
              <w:right w:type="dxa" w:w="110"/>
            </w:tcMar>
          </w:tcPr>
          <w:p>
            <w:pPr>
              <w:spacing w:after="0"/>
            </w:pPr>
            <w:r>
              <w:t xml:space="preserve">Digital Signature Certificate</w:t>
            </w:r>
          </w:p>
        </w:tc>
        <w:tc>
          <w:tcPr>
            <w:tcMar>
              <w:top w:type="dxa" w:w="70"/>
              <w:left w:type="dxa" w:w="110"/>
              <w:bottom w:type="dxa" w:w="70"/>
              <w:right w:type="dxa" w:w="110"/>
            </w:tcMar>
          </w:tcPr>
          <w:p>
            <w:pPr>
              <w:spacing w:after="0"/>
            </w:pPr>
            <w:r>
              <w:t xml:space="preserve">Licensed CAs under CCA</w:t>
            </w:r>
          </w:p>
        </w:tc>
        <w:tc>
          <w:tcPr>
            <w:tcMar>
              <w:top w:type="dxa" w:w="70"/>
              <w:left w:type="dxa" w:w="110"/>
              <w:bottom w:type="dxa" w:w="70"/>
              <w:right w:type="dxa" w:w="110"/>
            </w:tcMar>
          </w:tcPr>
          <w:p>
            <w:pPr>
              <w:spacing w:after="0"/>
            </w:pPr>
            <w:r>
              <w:t xml:space="preserve">Central</w:t>
            </w:r>
          </w:p>
        </w:tc>
      </w:tr>
    </w:tbl>
    <w:p>
      <w:pPr>
        <w:spacing w:after="40"/>
      </w:pPr>
    </w:p>
    <w:p>
      <w:r>
        <w:rPr>
          <w:b/>
          <w:bCs/>
        </w:rPr>
        <w:t xml:space="preserve">What is NOT uniform even though incorporation is:</w:t>
      </w:r>
    </w:p>
    <w:p>
      <w:pPr>
        <w:pStyle w:val="ListParagraph"/>
        <w:numPr>
          <w:ilvl w:val="0"/>
          <w:numId w:val="1"/>
        </w:numPr>
        <w:spacing w:after="60"/>
      </w:pPr>
      <w:r>
        <w:t xml:space="preserve">Which </w:t>
      </w:r>
      <w:r>
        <w:rPr>
          <w:b/>
          <w:bCs/>
        </w:rPr>
        <w:t xml:space="preserve">State Registrar of Companies</w:t>
      </w:r>
      <w:r>
        <w:t xml:space="preserve"> holds the file.</w:t>
      </w:r>
    </w:p>
    <w:p>
      <w:pPr>
        <w:pStyle w:val="ListParagraph"/>
        <w:numPr>
          <w:ilvl w:val="0"/>
          <w:numId w:val="1"/>
        </w:numPr>
        <w:spacing w:after="60"/>
      </w:pPr>
      <w:r>
        <w:t xml:space="preserve">Which </w:t>
      </w:r>
      <w:r>
        <w:rPr>
          <w:b/>
          <w:bCs/>
        </w:rPr>
        <w:t xml:space="preserve">state stamp duty</w:t>
      </w:r>
      <w:r>
        <w:t xml:space="preserve"> applies to the MoA, AoA and share certificates — this is a genuine cost difference at incorporation.</w:t>
      </w:r>
    </w:p>
    <w:p>
      <w:pPr>
        <w:pStyle w:val="ListParagraph"/>
        <w:numPr>
          <w:ilvl w:val="0"/>
          <w:numId w:val="1"/>
        </w:numPr>
        <w:spacing w:after="60"/>
      </w:pPr>
      <w:r>
        <w:t xml:space="preserve">Which </w:t>
      </w:r>
      <w:r>
        <w:rPr>
          <w:b/>
          <w:bCs/>
        </w:rPr>
        <w:t xml:space="preserve">Shops &amp; Establishments Act</w:t>
      </w:r>
      <w:r>
        <w:t xml:space="preserve"> the registered office must comply with.</w:t>
      </w:r>
    </w:p>
    <w:p>
      <w:pPr>
        <w:pStyle w:val="ListParagraph"/>
        <w:numPr>
          <w:ilvl w:val="0"/>
          <w:numId w:val="1"/>
        </w:numPr>
        <w:spacing w:after="60"/>
      </w:pPr>
      <w:r>
        <w:t xml:space="preserve">Whether </w:t>
      </w:r>
      <w:r>
        <w:rPr>
          <w:b/>
          <w:bCs/>
        </w:rPr>
        <w:t xml:space="preserve">professional tax</w:t>
      </w:r>
      <w:r>
        <w:t xml:space="preserve"> registration is required at all.</w:t>
      </w:r>
    </w:p>
    <w:p>
      <w:pPr>
        <w:pStyle w:val="ListParagraph"/>
        <w:numPr>
          <w:ilvl w:val="0"/>
          <w:numId w:val="1"/>
        </w:numPr>
        <w:spacing w:after="60"/>
      </w:pPr>
      <w:r>
        <w:t xml:space="preserve">Which </w:t>
      </w:r>
      <w:r>
        <w:rPr>
          <w:b/>
          <w:bCs/>
        </w:rPr>
        <w:t xml:space="preserve">Labour Welfare Fund</w:t>
      </w:r>
      <w:r>
        <w:t xml:space="preserve"> applies.</w:t>
      </w:r>
    </w:p>
    <w:p>
      <w:pPr>
        <w:pStyle w:val="ListParagraph"/>
        <w:numPr>
          <w:ilvl w:val="0"/>
          <w:numId w:val="1"/>
        </w:numPr>
        <w:spacing w:after="60"/>
      </w:pPr>
      <w:r>
        <w:t xml:space="preserve">Which </w:t>
      </w:r>
      <w:r>
        <w:rPr>
          <w:b/>
          <w:bCs/>
        </w:rPr>
        <w:t xml:space="preserve">local trade licence</w:t>
      </w:r>
      <w:r>
        <w:t xml:space="preserve"> is needed.</w:t>
      </w:r>
    </w:p>
    <w:p>
      <w:pPr>
        <w:pStyle w:val="Heading2"/>
        <w:keepNext/>
        <w:keepLines/>
      </w:pPr>
      <w:r>
        <w:t xml:space="preserve">2.2 Stamp Duty on Incorporation Documents — A Real State Difference</w:t>
      </w:r>
    </w:p>
    <w:p>
      <w:r>
        <w:t xml:space="preserve">Stamp duty payable on the Memorandum of Association, Articles of Association and the SPICe form itself is a </w:t>
      </w:r>
      <w:r>
        <w:rPr>
          <w:b/>
          <w:bCs/>
        </w:rPr>
        <w:t xml:space="preserve">state levy collected through the MCA portal</w:t>
      </w:r>
      <w:r>
        <w:t xml:space="preserve"> based on the registered office address. It differs materially:</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State / UT</w:t>
            </w:r>
          </w:p>
        </w:tc>
        <w:tc>
          <w:tcPr>
            <w:shd w:fill="F0F4FE"/>
            <w:tcMar>
              <w:top w:type="dxa" w:w="70"/>
              <w:left w:type="dxa" w:w="110"/>
              <w:bottom w:type="dxa" w:w="70"/>
              <w:right w:type="dxa" w:w="110"/>
            </w:tcMar>
          </w:tcPr>
          <w:p>
            <w:pPr>
              <w:spacing w:after="0"/>
            </w:pPr>
            <w:r>
              <w:rPr>
                <w:b/>
                <w:bCs/>
                <w:color w:val="112D6A"/>
              </w:rPr>
              <w:t xml:space="preserve">Indicative Stamp Duty on Incorporation Documents</w:t>
            </w:r>
          </w:p>
        </w:tc>
      </w:tr>
      <w:tr>
        <w:trPr>
          <w:cantSplit/>
          <w:tblHeader w:val="false"/>
        </w:trPr>
        <w:tc>
          <w:tcPr>
            <w:tcMar>
              <w:top w:type="dxa" w:w="70"/>
              <w:left w:type="dxa" w:w="110"/>
              <w:bottom w:type="dxa" w:w="70"/>
              <w:right w:type="dxa" w:w="110"/>
            </w:tcMar>
          </w:tcPr>
          <w:p>
            <w:pPr>
              <w:spacing w:after="0"/>
            </w:pPr>
            <w:r>
              <w:t xml:space="preserve">Delhi</w:t>
            </w:r>
          </w:p>
        </w:tc>
        <w:tc>
          <w:tcPr>
            <w:tcMar>
              <w:top w:type="dxa" w:w="70"/>
              <w:left w:type="dxa" w:w="110"/>
              <w:bottom w:type="dxa" w:w="70"/>
              <w:right w:type="dxa" w:w="110"/>
            </w:tcMar>
          </w:tcPr>
          <w:p>
            <w:pPr>
              <w:spacing w:after="0"/>
            </w:pPr>
            <w:r>
              <w:t xml:space="preserve">Moderate — AoA charged at a percentage of authorised capital</w:t>
            </w:r>
          </w:p>
        </w:tc>
      </w:tr>
      <w:tr>
        <w:trPr>
          <w:cantSplit/>
          <w:tblHeader w:val="false"/>
        </w:trPr>
        <w:tc>
          <w:tcPr>
            <w:tcMar>
              <w:top w:type="dxa" w:w="70"/>
              <w:left w:type="dxa" w:w="110"/>
              <w:bottom w:type="dxa" w:w="70"/>
              <w:right w:type="dxa" w:w="110"/>
            </w:tcMar>
          </w:tcPr>
          <w:p>
            <w:pPr>
              <w:spacing w:after="0"/>
            </w:pPr>
            <w:r>
              <w:t xml:space="preserve">Maharashtra</w:t>
            </w:r>
          </w:p>
        </w:tc>
        <w:tc>
          <w:tcPr>
            <w:tcMar>
              <w:top w:type="dxa" w:w="70"/>
              <w:left w:type="dxa" w:w="110"/>
              <w:bottom w:type="dxa" w:w="70"/>
              <w:right w:type="dxa" w:w="110"/>
            </w:tcMar>
          </w:tcPr>
          <w:p>
            <w:pPr>
              <w:spacing w:after="0"/>
            </w:pPr>
            <w:r>
              <w:t xml:space="preserve">Among the higher states; percentage of capital with a ceiling</w:t>
            </w:r>
          </w:p>
        </w:tc>
      </w:tr>
      <w:tr>
        <w:trPr>
          <w:cantSplit/>
          <w:tblHeader w:val="false"/>
        </w:trPr>
        <w:tc>
          <w:tcPr>
            <w:tcMar>
              <w:top w:type="dxa" w:w="70"/>
              <w:left w:type="dxa" w:w="110"/>
              <w:bottom w:type="dxa" w:w="70"/>
              <w:right w:type="dxa" w:w="110"/>
            </w:tcMar>
          </w:tcPr>
          <w:p>
            <w:pPr>
              <w:spacing w:after="0"/>
            </w:pPr>
            <w:r>
              <w:t xml:space="preserve">Karnataka</w:t>
            </w:r>
          </w:p>
        </w:tc>
        <w:tc>
          <w:tcPr>
            <w:tcMar>
              <w:top w:type="dxa" w:w="70"/>
              <w:left w:type="dxa" w:w="110"/>
              <w:bottom w:type="dxa" w:w="70"/>
              <w:right w:type="dxa" w:w="110"/>
            </w:tcMar>
          </w:tcPr>
          <w:p>
            <w:pPr>
              <w:spacing w:after="0"/>
            </w:pPr>
            <w:r>
              <w:t xml:space="preserve">Flat MoA duty plus per-lakh AoA duty</w:t>
            </w:r>
          </w:p>
        </w:tc>
      </w:tr>
      <w:tr>
        <w:trPr>
          <w:cantSplit/>
          <w:tblHeader w:val="false"/>
        </w:trPr>
        <w:tc>
          <w:tcPr>
            <w:tcMar>
              <w:top w:type="dxa" w:w="70"/>
              <w:left w:type="dxa" w:w="110"/>
              <w:bottom w:type="dxa" w:w="70"/>
              <w:right w:type="dxa" w:w="110"/>
            </w:tcMar>
          </w:tcPr>
          <w:p>
            <w:pPr>
              <w:spacing w:after="0"/>
            </w:pPr>
            <w:r>
              <w:t xml:space="preserve">Tamil Nadu</w:t>
            </w:r>
          </w:p>
        </w:tc>
        <w:tc>
          <w:tcPr>
            <w:tcMar>
              <w:top w:type="dxa" w:w="70"/>
              <w:left w:type="dxa" w:w="110"/>
              <w:bottom w:type="dxa" w:w="70"/>
              <w:right w:type="dxa" w:w="110"/>
            </w:tcMar>
          </w:tcPr>
          <w:p>
            <w:pPr>
              <w:spacing w:after="0"/>
            </w:pPr>
            <w:r>
              <w:t xml:space="preserve">Relatively low flat rates</w:t>
            </w:r>
          </w:p>
        </w:tc>
      </w:tr>
      <w:tr>
        <w:trPr>
          <w:cantSplit/>
          <w:tblHeader w:val="false"/>
        </w:trPr>
        <w:tc>
          <w:tcPr>
            <w:tcMar>
              <w:top w:type="dxa" w:w="70"/>
              <w:left w:type="dxa" w:w="110"/>
              <w:bottom w:type="dxa" w:w="70"/>
              <w:right w:type="dxa" w:w="110"/>
            </w:tcMar>
          </w:tcPr>
          <w:p>
            <w:pPr>
              <w:spacing w:after="0"/>
            </w:pPr>
            <w:r>
              <w:t xml:space="preserve">Gujarat</w:t>
            </w:r>
          </w:p>
        </w:tc>
        <w:tc>
          <w:tcPr>
            <w:tcMar>
              <w:top w:type="dxa" w:w="70"/>
              <w:left w:type="dxa" w:w="110"/>
              <w:bottom w:type="dxa" w:w="70"/>
              <w:right w:type="dxa" w:w="110"/>
            </w:tcMar>
          </w:tcPr>
          <w:p>
            <w:pPr>
              <w:spacing w:after="0"/>
            </w:pPr>
            <w:r>
              <w:t xml:space="preserve">Percentage-based with ceiling</w:t>
            </w:r>
          </w:p>
        </w:tc>
      </w:tr>
      <w:tr>
        <w:trPr>
          <w:cantSplit/>
          <w:tblHeader w:val="false"/>
        </w:trPr>
        <w:tc>
          <w:tcPr>
            <w:tcMar>
              <w:top w:type="dxa" w:w="70"/>
              <w:left w:type="dxa" w:w="110"/>
              <w:bottom w:type="dxa" w:w="70"/>
              <w:right w:type="dxa" w:w="110"/>
            </w:tcMar>
          </w:tcPr>
          <w:p>
            <w:pPr>
              <w:spacing w:after="0"/>
            </w:pPr>
            <w:r>
              <w:t xml:space="preserve">Kerala</w:t>
            </w:r>
          </w:p>
        </w:tc>
        <w:tc>
          <w:tcPr>
            <w:tcMar>
              <w:top w:type="dxa" w:w="70"/>
              <w:left w:type="dxa" w:w="110"/>
              <w:bottom w:type="dxa" w:w="70"/>
              <w:right w:type="dxa" w:w="110"/>
            </w:tcMar>
          </w:tcPr>
          <w:p>
            <w:pPr>
              <w:spacing w:after="0"/>
            </w:pPr>
            <w:r>
              <w:t xml:space="preserve">Percentage-based, comparatively high</w:t>
            </w:r>
          </w:p>
        </w:tc>
      </w:tr>
      <w:tr>
        <w:trPr>
          <w:cantSplit/>
          <w:tblHeader w:val="false"/>
        </w:trPr>
        <w:tc>
          <w:tcPr>
            <w:tcMar>
              <w:top w:type="dxa" w:w="70"/>
              <w:left w:type="dxa" w:w="110"/>
              <w:bottom w:type="dxa" w:w="70"/>
              <w:right w:type="dxa" w:w="110"/>
            </w:tcMar>
          </w:tcPr>
          <w:p>
            <w:pPr>
              <w:spacing w:after="0"/>
            </w:pPr>
            <w:r>
              <w:t xml:space="preserve">Punjab, Haryana, Rajasthan</w:t>
            </w:r>
          </w:p>
        </w:tc>
        <w:tc>
          <w:tcPr>
            <w:tcMar>
              <w:top w:type="dxa" w:w="70"/>
              <w:left w:type="dxa" w:w="110"/>
              <w:bottom w:type="dxa" w:w="70"/>
              <w:right w:type="dxa" w:w="110"/>
            </w:tcMar>
          </w:tcPr>
          <w:p>
            <w:pPr>
              <w:spacing w:after="0"/>
            </w:pPr>
            <w:r>
              <w:t xml:space="preserve">Moderate flat/percentage mix</w:t>
            </w:r>
          </w:p>
        </w:tc>
      </w:tr>
      <w:tr>
        <w:trPr>
          <w:cantSplit/>
          <w:tblHeader w:val="false"/>
        </w:trPr>
        <w:tc>
          <w:tcPr>
            <w:tcMar>
              <w:top w:type="dxa" w:w="70"/>
              <w:left w:type="dxa" w:w="110"/>
              <w:bottom w:type="dxa" w:w="70"/>
              <w:right w:type="dxa" w:w="110"/>
            </w:tcMar>
          </w:tcPr>
          <w:p>
            <w:pPr>
              <w:spacing w:after="0"/>
            </w:pPr>
            <w:r>
              <w:t xml:space="preserve">Madhya Pradesh</w:t>
            </w:r>
          </w:p>
        </w:tc>
        <w:tc>
          <w:tcPr>
            <w:tcMar>
              <w:top w:type="dxa" w:w="70"/>
              <w:left w:type="dxa" w:w="110"/>
              <w:bottom w:type="dxa" w:w="70"/>
              <w:right w:type="dxa" w:w="110"/>
            </w:tcMar>
          </w:tcPr>
          <w:p>
            <w:pPr>
              <w:spacing w:after="0"/>
            </w:pPr>
            <w:r>
              <w:t xml:space="preserve">Percentage of capital, relatively high</w:t>
            </w:r>
          </w:p>
        </w:tc>
      </w:tr>
      <w:tr>
        <w:trPr>
          <w:cantSplit/>
          <w:tblHeader w:val="false"/>
        </w:trPr>
        <w:tc>
          <w:tcPr>
            <w:tcMar>
              <w:top w:type="dxa" w:w="70"/>
              <w:left w:type="dxa" w:w="110"/>
              <w:bottom w:type="dxa" w:w="70"/>
              <w:right w:type="dxa" w:w="110"/>
            </w:tcMar>
          </w:tcPr>
          <w:p>
            <w:pPr>
              <w:spacing w:after="0"/>
            </w:pPr>
            <w:r>
              <w:t xml:space="preserve">North-Eastern states</w:t>
            </w:r>
          </w:p>
        </w:tc>
        <w:tc>
          <w:tcPr>
            <w:tcMar>
              <w:top w:type="dxa" w:w="70"/>
              <w:left w:type="dxa" w:w="110"/>
              <w:bottom w:type="dxa" w:w="70"/>
              <w:right w:type="dxa" w:w="110"/>
            </w:tcMar>
          </w:tcPr>
          <w:p>
            <w:pPr>
              <w:spacing w:after="0"/>
            </w:pPr>
            <w:r>
              <w:t xml:space="preserve">Generally low flat rates</w:t>
            </w:r>
          </w:p>
        </w:tc>
      </w:tr>
      <w:tr>
        <w:trPr>
          <w:cantSplit/>
          <w:tblHeader w:val="false"/>
        </w:trPr>
        <w:tc>
          <w:tcPr>
            <w:tcMar>
              <w:top w:type="dxa" w:w="70"/>
              <w:left w:type="dxa" w:w="110"/>
              <w:bottom w:type="dxa" w:w="70"/>
              <w:right w:type="dxa" w:w="110"/>
            </w:tcMar>
          </w:tcPr>
          <w:p>
            <w:pPr>
              <w:spacing w:after="0"/>
            </w:pPr>
            <w:r>
              <w:t xml:space="preserve">Union Territories (A&amp;N, Lakshadweep, DNH &amp; DD, Chandigarh, Ladakh)</w:t>
            </w:r>
          </w:p>
        </w:tc>
        <w:tc>
          <w:tcPr>
            <w:tcMar>
              <w:top w:type="dxa" w:w="70"/>
              <w:left w:type="dxa" w:w="110"/>
              <w:bottom w:type="dxa" w:w="70"/>
              <w:right w:type="dxa" w:w="110"/>
            </w:tcMar>
          </w:tcPr>
          <w:p>
            <w:pPr>
              <w:spacing w:after="0"/>
            </w:pPr>
            <w:r>
              <w:t xml:space="preserve">Generally low flat rates</w:t>
            </w:r>
          </w:p>
        </w:tc>
      </w:tr>
    </w:tbl>
    <w:p>
      <w:pPr>
        <w:spacing w:after="40"/>
      </w:pPr>
    </w:p>
    <w:p>
      <w:r>
        <w:t xml:space="preserve">The exact schedules sit in each state’s Stamp Act Schedule I, Articles 10 (AoA) and 39 (MoA), and are revised by state notification.</w:t>
      </w:r>
    </w:p>
    <w:p>
      <w:pPr>
        <w:pStyle w:val="Heading2"/>
        <w:keepNext/>
        <w:keepLines/>
      </w:pPr>
      <w:r>
        <w:t xml:space="preserve">2.3 Registrar of Companies — Jurisdictional Map</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RoC Office</w:t>
            </w:r>
          </w:p>
        </w:tc>
        <w:tc>
          <w:tcPr>
            <w:shd w:fill="F0F4FE"/>
            <w:tcMar>
              <w:top w:type="dxa" w:w="70"/>
              <w:left w:type="dxa" w:w="110"/>
              <w:bottom w:type="dxa" w:w="70"/>
              <w:right w:type="dxa" w:w="110"/>
            </w:tcMar>
          </w:tcPr>
          <w:p>
            <w:pPr>
              <w:spacing w:after="0"/>
            </w:pPr>
            <w:r>
              <w:rPr>
                <w:b/>
                <w:bCs/>
                <w:color w:val="112D6A"/>
              </w:rPr>
              <w:t xml:space="preserve">Territory Covered</w:t>
            </w:r>
          </w:p>
        </w:tc>
      </w:tr>
      <w:tr>
        <w:trPr>
          <w:cantSplit/>
          <w:tblHeader w:val="false"/>
        </w:trPr>
        <w:tc>
          <w:tcPr>
            <w:tcMar>
              <w:top w:type="dxa" w:w="70"/>
              <w:left w:type="dxa" w:w="110"/>
              <w:bottom w:type="dxa" w:w="70"/>
              <w:right w:type="dxa" w:w="110"/>
            </w:tcMar>
          </w:tcPr>
          <w:p>
            <w:pPr>
              <w:spacing w:after="0"/>
            </w:pPr>
            <w:r>
              <w:t xml:space="preserve">RoC Delhi</w:t>
            </w:r>
          </w:p>
        </w:tc>
        <w:tc>
          <w:tcPr>
            <w:tcMar>
              <w:top w:type="dxa" w:w="70"/>
              <w:left w:type="dxa" w:w="110"/>
              <w:bottom w:type="dxa" w:w="70"/>
              <w:right w:type="dxa" w:w="110"/>
            </w:tcMar>
          </w:tcPr>
          <w:p>
            <w:pPr>
              <w:spacing w:after="0"/>
            </w:pPr>
            <w:r>
              <w:t xml:space="preserve">NCT of Delhi</w:t>
            </w:r>
          </w:p>
        </w:tc>
      </w:tr>
      <w:tr>
        <w:trPr>
          <w:cantSplit/>
          <w:tblHeader w:val="false"/>
        </w:trPr>
        <w:tc>
          <w:tcPr>
            <w:tcMar>
              <w:top w:type="dxa" w:w="70"/>
              <w:left w:type="dxa" w:w="110"/>
              <w:bottom w:type="dxa" w:w="70"/>
              <w:right w:type="dxa" w:w="110"/>
            </w:tcMar>
          </w:tcPr>
          <w:p>
            <w:pPr>
              <w:spacing w:after="0"/>
            </w:pPr>
            <w:r>
              <w:t xml:space="preserve">RoC Mumbai</w:t>
            </w:r>
          </w:p>
        </w:tc>
        <w:tc>
          <w:tcPr>
            <w:tcMar>
              <w:top w:type="dxa" w:w="70"/>
              <w:left w:type="dxa" w:w="110"/>
              <w:bottom w:type="dxa" w:w="70"/>
              <w:right w:type="dxa" w:w="110"/>
            </w:tcMar>
          </w:tcPr>
          <w:p>
            <w:pPr>
              <w:spacing w:after="0"/>
            </w:pPr>
            <w:r>
              <w:t xml:space="preserve">Maharashtra (Mumbai region)</w:t>
            </w:r>
          </w:p>
        </w:tc>
      </w:tr>
      <w:tr>
        <w:trPr>
          <w:cantSplit/>
          <w:tblHeader w:val="false"/>
        </w:trPr>
        <w:tc>
          <w:tcPr>
            <w:tcMar>
              <w:top w:type="dxa" w:w="70"/>
              <w:left w:type="dxa" w:w="110"/>
              <w:bottom w:type="dxa" w:w="70"/>
              <w:right w:type="dxa" w:w="110"/>
            </w:tcMar>
          </w:tcPr>
          <w:p>
            <w:pPr>
              <w:spacing w:after="0"/>
            </w:pPr>
            <w:r>
              <w:t xml:space="preserve">RoC Pune</w:t>
            </w:r>
          </w:p>
        </w:tc>
        <w:tc>
          <w:tcPr>
            <w:tcMar>
              <w:top w:type="dxa" w:w="70"/>
              <w:left w:type="dxa" w:w="110"/>
              <w:bottom w:type="dxa" w:w="70"/>
              <w:right w:type="dxa" w:w="110"/>
            </w:tcMar>
          </w:tcPr>
          <w:p>
            <w:pPr>
              <w:spacing w:after="0"/>
            </w:pPr>
            <w:r>
              <w:t xml:space="preserve">Maharashtra (Pune region)</w:t>
            </w:r>
          </w:p>
        </w:tc>
      </w:tr>
      <w:tr>
        <w:trPr>
          <w:cantSplit/>
          <w:tblHeader w:val="false"/>
        </w:trPr>
        <w:tc>
          <w:tcPr>
            <w:tcMar>
              <w:top w:type="dxa" w:w="70"/>
              <w:left w:type="dxa" w:w="110"/>
              <w:bottom w:type="dxa" w:w="70"/>
              <w:right w:type="dxa" w:w="110"/>
            </w:tcMar>
          </w:tcPr>
          <w:p>
            <w:pPr>
              <w:spacing w:after="0"/>
            </w:pPr>
            <w:r>
              <w:t xml:space="preserve">RoC Chennai</w:t>
            </w:r>
          </w:p>
        </w:tc>
        <w:tc>
          <w:tcPr>
            <w:tcMar>
              <w:top w:type="dxa" w:w="70"/>
              <w:left w:type="dxa" w:w="110"/>
              <w:bottom w:type="dxa" w:w="70"/>
              <w:right w:type="dxa" w:w="110"/>
            </w:tcMar>
          </w:tcPr>
          <w:p>
            <w:pPr>
              <w:spacing w:after="0"/>
            </w:pPr>
            <w:r>
              <w:t xml:space="preserve">Tamil Nadu (north), Puducherry</w:t>
            </w:r>
          </w:p>
        </w:tc>
      </w:tr>
      <w:tr>
        <w:trPr>
          <w:cantSplit/>
          <w:tblHeader w:val="false"/>
        </w:trPr>
        <w:tc>
          <w:tcPr>
            <w:tcMar>
              <w:top w:type="dxa" w:w="70"/>
              <w:left w:type="dxa" w:w="110"/>
              <w:bottom w:type="dxa" w:w="70"/>
              <w:right w:type="dxa" w:w="110"/>
            </w:tcMar>
          </w:tcPr>
          <w:p>
            <w:pPr>
              <w:spacing w:after="0"/>
            </w:pPr>
            <w:r>
              <w:t xml:space="preserve">RoC Coimbatore</w:t>
            </w:r>
          </w:p>
        </w:tc>
        <w:tc>
          <w:tcPr>
            <w:tcMar>
              <w:top w:type="dxa" w:w="70"/>
              <w:left w:type="dxa" w:w="110"/>
              <w:bottom w:type="dxa" w:w="70"/>
              <w:right w:type="dxa" w:w="110"/>
            </w:tcMar>
          </w:tcPr>
          <w:p>
            <w:pPr>
              <w:spacing w:after="0"/>
            </w:pPr>
            <w:r>
              <w:t xml:space="preserve">Tamil Nadu (west/south)</w:t>
            </w:r>
          </w:p>
        </w:tc>
      </w:tr>
      <w:tr>
        <w:trPr>
          <w:cantSplit/>
          <w:tblHeader w:val="false"/>
        </w:trPr>
        <w:tc>
          <w:tcPr>
            <w:tcMar>
              <w:top w:type="dxa" w:w="70"/>
              <w:left w:type="dxa" w:w="110"/>
              <w:bottom w:type="dxa" w:w="70"/>
              <w:right w:type="dxa" w:w="110"/>
            </w:tcMar>
          </w:tcPr>
          <w:p>
            <w:pPr>
              <w:spacing w:after="0"/>
            </w:pPr>
            <w:r>
              <w:t xml:space="preserve">RoC Bengaluru</w:t>
            </w:r>
          </w:p>
        </w:tc>
        <w:tc>
          <w:tcPr>
            <w:tcMar>
              <w:top w:type="dxa" w:w="70"/>
              <w:left w:type="dxa" w:w="110"/>
              <w:bottom w:type="dxa" w:w="70"/>
              <w:right w:type="dxa" w:w="110"/>
            </w:tcMar>
          </w:tcPr>
          <w:p>
            <w:pPr>
              <w:spacing w:after="0"/>
            </w:pPr>
            <w:r>
              <w:t xml:space="preserve">Karnataka</w:t>
            </w:r>
          </w:p>
        </w:tc>
      </w:tr>
      <w:tr>
        <w:trPr>
          <w:cantSplit/>
          <w:tblHeader w:val="false"/>
        </w:trPr>
        <w:tc>
          <w:tcPr>
            <w:tcMar>
              <w:top w:type="dxa" w:w="70"/>
              <w:left w:type="dxa" w:w="110"/>
              <w:bottom w:type="dxa" w:w="70"/>
              <w:right w:type="dxa" w:w="110"/>
            </w:tcMar>
          </w:tcPr>
          <w:p>
            <w:pPr>
              <w:spacing w:after="0"/>
            </w:pPr>
            <w:r>
              <w:t xml:space="preserve">RoC Hyderabad</w:t>
            </w:r>
          </w:p>
        </w:tc>
        <w:tc>
          <w:tcPr>
            <w:tcMar>
              <w:top w:type="dxa" w:w="70"/>
              <w:left w:type="dxa" w:w="110"/>
              <w:bottom w:type="dxa" w:w="70"/>
              <w:right w:type="dxa" w:w="110"/>
            </w:tcMar>
          </w:tcPr>
          <w:p>
            <w:pPr>
              <w:spacing w:after="0"/>
            </w:pPr>
            <w:r>
              <w:t xml:space="preserve">Telangana</w:t>
            </w:r>
          </w:p>
        </w:tc>
      </w:tr>
      <w:tr>
        <w:trPr>
          <w:cantSplit/>
          <w:tblHeader w:val="false"/>
        </w:trPr>
        <w:tc>
          <w:tcPr>
            <w:tcMar>
              <w:top w:type="dxa" w:w="70"/>
              <w:left w:type="dxa" w:w="110"/>
              <w:bottom w:type="dxa" w:w="70"/>
              <w:right w:type="dxa" w:w="110"/>
            </w:tcMar>
          </w:tcPr>
          <w:p>
            <w:pPr>
              <w:spacing w:after="0"/>
            </w:pPr>
            <w:r>
              <w:t xml:space="preserve">RoC Vijayawada</w:t>
            </w:r>
          </w:p>
        </w:tc>
        <w:tc>
          <w:tcPr>
            <w:tcMar>
              <w:top w:type="dxa" w:w="70"/>
              <w:left w:type="dxa" w:w="110"/>
              <w:bottom w:type="dxa" w:w="70"/>
              <w:right w:type="dxa" w:w="110"/>
            </w:tcMar>
          </w:tcPr>
          <w:p>
            <w:pPr>
              <w:spacing w:after="0"/>
            </w:pPr>
            <w:r>
              <w:t xml:space="preserve">Andhra Pradesh</w:t>
            </w:r>
          </w:p>
        </w:tc>
      </w:tr>
      <w:tr>
        <w:trPr>
          <w:cantSplit/>
          <w:tblHeader w:val="false"/>
        </w:trPr>
        <w:tc>
          <w:tcPr>
            <w:tcMar>
              <w:top w:type="dxa" w:w="70"/>
              <w:left w:type="dxa" w:w="110"/>
              <w:bottom w:type="dxa" w:w="70"/>
              <w:right w:type="dxa" w:w="110"/>
            </w:tcMar>
          </w:tcPr>
          <w:p>
            <w:pPr>
              <w:spacing w:after="0"/>
            </w:pPr>
            <w:r>
              <w:t xml:space="preserve">RoC Ahmedabad</w:t>
            </w:r>
          </w:p>
        </w:tc>
        <w:tc>
          <w:tcPr>
            <w:tcMar>
              <w:top w:type="dxa" w:w="70"/>
              <w:left w:type="dxa" w:w="110"/>
              <w:bottom w:type="dxa" w:w="70"/>
              <w:right w:type="dxa" w:w="110"/>
            </w:tcMar>
          </w:tcPr>
          <w:p>
            <w:pPr>
              <w:spacing w:after="0"/>
            </w:pPr>
            <w:r>
              <w:t xml:space="preserve">Gujarat, Dadra &amp; Nagar Haveli and Daman &amp; Diu</w:t>
            </w:r>
          </w:p>
        </w:tc>
      </w:tr>
      <w:tr>
        <w:trPr>
          <w:cantSplit/>
          <w:tblHeader w:val="false"/>
        </w:trPr>
        <w:tc>
          <w:tcPr>
            <w:tcMar>
              <w:top w:type="dxa" w:w="70"/>
              <w:left w:type="dxa" w:w="110"/>
              <w:bottom w:type="dxa" w:w="70"/>
              <w:right w:type="dxa" w:w="110"/>
            </w:tcMar>
          </w:tcPr>
          <w:p>
            <w:pPr>
              <w:spacing w:after="0"/>
            </w:pPr>
            <w:r>
              <w:t xml:space="preserve">RoC Kolkata</w:t>
            </w:r>
          </w:p>
        </w:tc>
        <w:tc>
          <w:tcPr>
            <w:tcMar>
              <w:top w:type="dxa" w:w="70"/>
              <w:left w:type="dxa" w:w="110"/>
              <w:bottom w:type="dxa" w:w="70"/>
              <w:right w:type="dxa" w:w="110"/>
            </w:tcMar>
          </w:tcPr>
          <w:p>
            <w:pPr>
              <w:spacing w:after="0"/>
            </w:pPr>
            <w:r>
              <w:t xml:space="preserve">West Bengal, Andaman &amp; Nicobar Islands</w:t>
            </w:r>
          </w:p>
        </w:tc>
      </w:tr>
      <w:tr>
        <w:trPr>
          <w:cantSplit/>
          <w:tblHeader w:val="false"/>
        </w:trPr>
        <w:tc>
          <w:tcPr>
            <w:tcMar>
              <w:top w:type="dxa" w:w="70"/>
              <w:left w:type="dxa" w:w="110"/>
              <w:bottom w:type="dxa" w:w="70"/>
              <w:right w:type="dxa" w:w="110"/>
            </w:tcMar>
          </w:tcPr>
          <w:p>
            <w:pPr>
              <w:spacing w:after="0"/>
            </w:pPr>
            <w:r>
              <w:t xml:space="preserve">RoC Ernakulam</w:t>
            </w:r>
          </w:p>
        </w:tc>
        <w:tc>
          <w:tcPr>
            <w:tcMar>
              <w:top w:type="dxa" w:w="70"/>
              <w:left w:type="dxa" w:w="110"/>
              <w:bottom w:type="dxa" w:w="70"/>
              <w:right w:type="dxa" w:w="110"/>
            </w:tcMar>
          </w:tcPr>
          <w:p>
            <w:pPr>
              <w:spacing w:after="0"/>
            </w:pPr>
            <w:r>
              <w:t xml:space="preserve">Kerala, Lakshadweep</w:t>
            </w:r>
          </w:p>
        </w:tc>
      </w:tr>
      <w:tr>
        <w:trPr>
          <w:cantSplit/>
          <w:tblHeader w:val="false"/>
        </w:trPr>
        <w:tc>
          <w:tcPr>
            <w:tcMar>
              <w:top w:type="dxa" w:w="70"/>
              <w:left w:type="dxa" w:w="110"/>
              <w:bottom w:type="dxa" w:w="70"/>
              <w:right w:type="dxa" w:w="110"/>
            </w:tcMar>
          </w:tcPr>
          <w:p>
            <w:pPr>
              <w:spacing w:after="0"/>
            </w:pPr>
            <w:r>
              <w:t xml:space="preserve">RoC Jaipur</w:t>
            </w:r>
          </w:p>
        </w:tc>
        <w:tc>
          <w:tcPr>
            <w:tcMar>
              <w:top w:type="dxa" w:w="70"/>
              <w:left w:type="dxa" w:w="110"/>
              <w:bottom w:type="dxa" w:w="70"/>
              <w:right w:type="dxa" w:w="110"/>
            </w:tcMar>
          </w:tcPr>
          <w:p>
            <w:pPr>
              <w:spacing w:after="0"/>
            </w:pPr>
            <w:r>
              <w:t xml:space="preserve">Rajasthan</w:t>
            </w:r>
          </w:p>
        </w:tc>
      </w:tr>
      <w:tr>
        <w:trPr>
          <w:cantSplit/>
          <w:tblHeader w:val="false"/>
        </w:trPr>
        <w:tc>
          <w:tcPr>
            <w:tcMar>
              <w:top w:type="dxa" w:w="70"/>
              <w:left w:type="dxa" w:w="110"/>
              <w:bottom w:type="dxa" w:w="70"/>
              <w:right w:type="dxa" w:w="110"/>
            </w:tcMar>
          </w:tcPr>
          <w:p>
            <w:pPr>
              <w:spacing w:after="0"/>
            </w:pPr>
            <w:r>
              <w:t xml:space="preserve">RoC Kanpur</w:t>
            </w:r>
          </w:p>
        </w:tc>
        <w:tc>
          <w:tcPr>
            <w:tcMar>
              <w:top w:type="dxa" w:w="70"/>
              <w:left w:type="dxa" w:w="110"/>
              <w:bottom w:type="dxa" w:w="70"/>
              <w:right w:type="dxa" w:w="110"/>
            </w:tcMar>
          </w:tcPr>
          <w:p>
            <w:pPr>
              <w:spacing w:after="0"/>
            </w:pPr>
            <w:r>
              <w:t xml:space="preserve">Uttar Pradesh, Uttarakhand</w:t>
            </w:r>
          </w:p>
        </w:tc>
      </w:tr>
      <w:tr>
        <w:trPr>
          <w:cantSplit/>
          <w:tblHeader w:val="false"/>
        </w:trPr>
        <w:tc>
          <w:tcPr>
            <w:tcMar>
              <w:top w:type="dxa" w:w="70"/>
              <w:left w:type="dxa" w:w="110"/>
              <w:bottom w:type="dxa" w:w="70"/>
              <w:right w:type="dxa" w:w="110"/>
            </w:tcMar>
          </w:tcPr>
          <w:p>
            <w:pPr>
              <w:spacing w:after="0"/>
            </w:pPr>
            <w:r>
              <w:t xml:space="preserve">RoC Gwalior</w:t>
            </w:r>
          </w:p>
        </w:tc>
        <w:tc>
          <w:tcPr>
            <w:tcMar>
              <w:top w:type="dxa" w:w="70"/>
              <w:left w:type="dxa" w:w="110"/>
              <w:bottom w:type="dxa" w:w="70"/>
              <w:right w:type="dxa" w:w="110"/>
            </w:tcMar>
          </w:tcPr>
          <w:p>
            <w:pPr>
              <w:spacing w:after="0"/>
            </w:pPr>
            <w:r>
              <w:t xml:space="preserve">Madhya Pradesh, Chhattisgarh</w:t>
            </w:r>
          </w:p>
        </w:tc>
      </w:tr>
      <w:tr>
        <w:trPr>
          <w:cantSplit/>
          <w:tblHeader w:val="false"/>
        </w:trPr>
        <w:tc>
          <w:tcPr>
            <w:tcMar>
              <w:top w:type="dxa" w:w="70"/>
              <w:left w:type="dxa" w:w="110"/>
              <w:bottom w:type="dxa" w:w="70"/>
              <w:right w:type="dxa" w:w="110"/>
            </w:tcMar>
          </w:tcPr>
          <w:p>
            <w:pPr>
              <w:spacing w:after="0"/>
            </w:pPr>
            <w:r>
              <w:t xml:space="preserve">RoC Patna</w:t>
            </w:r>
          </w:p>
        </w:tc>
        <w:tc>
          <w:tcPr>
            <w:tcMar>
              <w:top w:type="dxa" w:w="70"/>
              <w:left w:type="dxa" w:w="110"/>
              <w:bottom w:type="dxa" w:w="70"/>
              <w:right w:type="dxa" w:w="110"/>
            </w:tcMar>
          </w:tcPr>
          <w:p>
            <w:pPr>
              <w:spacing w:after="0"/>
            </w:pPr>
            <w:r>
              <w:t xml:space="preserve">Bihar</w:t>
            </w:r>
          </w:p>
        </w:tc>
      </w:tr>
      <w:tr>
        <w:trPr>
          <w:cantSplit/>
          <w:tblHeader w:val="false"/>
        </w:trPr>
        <w:tc>
          <w:tcPr>
            <w:tcMar>
              <w:top w:type="dxa" w:w="70"/>
              <w:left w:type="dxa" w:w="110"/>
              <w:bottom w:type="dxa" w:w="70"/>
              <w:right w:type="dxa" w:w="110"/>
            </w:tcMar>
          </w:tcPr>
          <w:p>
            <w:pPr>
              <w:spacing w:after="0"/>
            </w:pPr>
            <w:r>
              <w:t xml:space="preserve">RoC Ranchi</w:t>
            </w:r>
          </w:p>
        </w:tc>
        <w:tc>
          <w:tcPr>
            <w:tcMar>
              <w:top w:type="dxa" w:w="70"/>
              <w:left w:type="dxa" w:w="110"/>
              <w:bottom w:type="dxa" w:w="70"/>
              <w:right w:type="dxa" w:w="110"/>
            </w:tcMar>
          </w:tcPr>
          <w:p>
            <w:pPr>
              <w:spacing w:after="0"/>
            </w:pPr>
            <w:r>
              <w:t xml:space="preserve">Jharkhand</w:t>
            </w:r>
          </w:p>
        </w:tc>
      </w:tr>
      <w:tr>
        <w:trPr>
          <w:cantSplit/>
          <w:tblHeader w:val="false"/>
        </w:trPr>
        <w:tc>
          <w:tcPr>
            <w:tcMar>
              <w:top w:type="dxa" w:w="70"/>
              <w:left w:type="dxa" w:w="110"/>
              <w:bottom w:type="dxa" w:w="70"/>
              <w:right w:type="dxa" w:w="110"/>
            </w:tcMar>
          </w:tcPr>
          <w:p>
            <w:pPr>
              <w:spacing w:after="0"/>
            </w:pPr>
            <w:r>
              <w:t xml:space="preserve">RoC Cuttack</w:t>
            </w:r>
          </w:p>
        </w:tc>
        <w:tc>
          <w:tcPr>
            <w:tcMar>
              <w:top w:type="dxa" w:w="70"/>
              <w:left w:type="dxa" w:w="110"/>
              <w:bottom w:type="dxa" w:w="70"/>
              <w:right w:type="dxa" w:w="110"/>
            </w:tcMar>
          </w:tcPr>
          <w:p>
            <w:pPr>
              <w:spacing w:after="0"/>
            </w:pPr>
            <w:r>
              <w:t xml:space="preserve">Odisha</w:t>
            </w:r>
          </w:p>
        </w:tc>
      </w:tr>
      <w:tr>
        <w:trPr>
          <w:cantSplit/>
          <w:tblHeader w:val="false"/>
        </w:trPr>
        <w:tc>
          <w:tcPr>
            <w:tcMar>
              <w:top w:type="dxa" w:w="70"/>
              <w:left w:type="dxa" w:w="110"/>
              <w:bottom w:type="dxa" w:w="70"/>
              <w:right w:type="dxa" w:w="110"/>
            </w:tcMar>
          </w:tcPr>
          <w:p>
            <w:pPr>
              <w:spacing w:after="0"/>
            </w:pPr>
            <w:r>
              <w:t xml:space="preserve">RoC Chandigarh</w:t>
            </w:r>
          </w:p>
        </w:tc>
        <w:tc>
          <w:tcPr>
            <w:tcMar>
              <w:top w:type="dxa" w:w="70"/>
              <w:left w:type="dxa" w:w="110"/>
              <w:bottom w:type="dxa" w:w="70"/>
              <w:right w:type="dxa" w:w="110"/>
            </w:tcMar>
          </w:tcPr>
          <w:p>
            <w:pPr>
              <w:spacing w:after="0"/>
            </w:pPr>
            <w:r>
              <w:t xml:space="preserve">Punjab, Chandigarh, Himachal Pradesh</w:t>
            </w:r>
          </w:p>
        </w:tc>
      </w:tr>
      <w:tr>
        <w:trPr>
          <w:cantSplit/>
          <w:tblHeader w:val="false"/>
        </w:trPr>
        <w:tc>
          <w:tcPr>
            <w:tcMar>
              <w:top w:type="dxa" w:w="70"/>
              <w:left w:type="dxa" w:w="110"/>
              <w:bottom w:type="dxa" w:w="70"/>
              <w:right w:type="dxa" w:w="110"/>
            </w:tcMar>
          </w:tcPr>
          <w:p>
            <w:pPr>
              <w:spacing w:after="0"/>
            </w:pPr>
            <w:r>
              <w:t xml:space="preserve">RoC Jammu</w:t>
            </w:r>
          </w:p>
        </w:tc>
        <w:tc>
          <w:tcPr>
            <w:tcMar>
              <w:top w:type="dxa" w:w="70"/>
              <w:left w:type="dxa" w:w="110"/>
              <w:bottom w:type="dxa" w:w="70"/>
              <w:right w:type="dxa" w:w="110"/>
            </w:tcMar>
          </w:tcPr>
          <w:p>
            <w:pPr>
              <w:spacing w:after="0"/>
            </w:pPr>
            <w:r>
              <w:t xml:space="preserve">Jammu &amp; Kashmir, Ladakh</w:t>
            </w:r>
          </w:p>
        </w:tc>
      </w:tr>
      <w:tr>
        <w:trPr>
          <w:cantSplit/>
          <w:tblHeader w:val="false"/>
        </w:trPr>
        <w:tc>
          <w:tcPr>
            <w:tcMar>
              <w:top w:type="dxa" w:w="70"/>
              <w:left w:type="dxa" w:w="110"/>
              <w:bottom w:type="dxa" w:w="70"/>
              <w:right w:type="dxa" w:w="110"/>
            </w:tcMar>
          </w:tcPr>
          <w:p>
            <w:pPr>
              <w:spacing w:after="0"/>
            </w:pPr>
            <w:r>
              <w:t xml:space="preserve">RoC Shillong</w:t>
            </w:r>
          </w:p>
        </w:tc>
        <w:tc>
          <w:tcPr>
            <w:tcMar>
              <w:top w:type="dxa" w:w="70"/>
              <w:left w:type="dxa" w:w="110"/>
              <w:bottom w:type="dxa" w:w="70"/>
              <w:right w:type="dxa" w:w="110"/>
            </w:tcMar>
          </w:tcPr>
          <w:p>
            <w:pPr>
              <w:spacing w:after="0"/>
            </w:pPr>
            <w:r>
              <w:t xml:space="preserve">Meghalaya, Assam, Arunachal Pradesh, Manipur, Mizoram, Nagaland, Tripura</w:t>
            </w:r>
          </w:p>
        </w:tc>
      </w:tr>
      <w:tr>
        <w:trPr>
          <w:cantSplit/>
          <w:tblHeader w:val="false"/>
        </w:trPr>
        <w:tc>
          <w:tcPr>
            <w:tcMar>
              <w:top w:type="dxa" w:w="70"/>
              <w:left w:type="dxa" w:w="110"/>
              <w:bottom w:type="dxa" w:w="70"/>
              <w:right w:type="dxa" w:w="110"/>
            </w:tcMar>
          </w:tcPr>
          <w:p>
            <w:pPr>
              <w:spacing w:after="0"/>
            </w:pPr>
            <w:r>
              <w:t xml:space="preserve">RoC Goa</w:t>
            </w:r>
          </w:p>
        </w:tc>
        <w:tc>
          <w:tcPr>
            <w:tcMar>
              <w:top w:type="dxa" w:w="70"/>
              <w:left w:type="dxa" w:w="110"/>
              <w:bottom w:type="dxa" w:w="70"/>
              <w:right w:type="dxa" w:w="110"/>
            </w:tcMar>
          </w:tcPr>
          <w:p>
            <w:pPr>
              <w:spacing w:after="0"/>
            </w:pPr>
            <w:r>
              <w:t xml:space="preserve">Goa</w:t>
            </w:r>
          </w:p>
        </w:tc>
      </w:tr>
    </w:tbl>
    <w:p>
      <w:pPr>
        <w:spacing w:after="40"/>
      </w:pPr>
    </w:p>
    <w:p>
      <w:r>
        <w:t xml:space="preserve">Regional Directors (Northern, Southern, Eastern, Western, North-Western, South-Eastern, North-Eastern) supervise these offices and handle compounding, shifting of registered office between states, and certain approvals.</w:t>
      </w:r>
    </w:p>
    <w:p>
      <w:pPr>
        <w:pStyle w:val="Heading2"/>
        <w:keepNext/>
        <w:keepLines/>
      </w:pPr>
      <w:r>
        <w:t xml:space="preserve">2.4 Entity Types and Where They Register</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Entity</w:t>
            </w:r>
          </w:p>
        </w:tc>
        <w:tc>
          <w:tcPr>
            <w:shd w:fill="F0F4FE"/>
            <w:tcMar>
              <w:top w:type="dxa" w:w="70"/>
              <w:left w:type="dxa" w:w="110"/>
              <w:bottom w:type="dxa" w:w="70"/>
              <w:right w:type="dxa" w:w="110"/>
            </w:tcMar>
          </w:tcPr>
          <w:p>
            <w:pPr>
              <w:spacing w:after="0"/>
            </w:pPr>
            <w:r>
              <w:rPr>
                <w:b/>
                <w:bCs/>
                <w:color w:val="112D6A"/>
              </w:rPr>
              <w:t xml:space="preserve">Registering Authority</w:t>
            </w:r>
          </w:p>
        </w:tc>
        <w:tc>
          <w:tcPr>
            <w:shd w:fill="F0F4FE"/>
            <w:tcMar>
              <w:top w:type="dxa" w:w="70"/>
              <w:left w:type="dxa" w:w="110"/>
              <w:bottom w:type="dxa" w:w="70"/>
              <w:right w:type="dxa" w:w="110"/>
            </w:tcMar>
          </w:tcPr>
          <w:p>
            <w:pPr>
              <w:spacing w:after="0"/>
            </w:pPr>
            <w:r>
              <w:rPr>
                <w:b/>
                <w:bCs/>
                <w:color w:val="112D6A"/>
              </w:rPr>
              <w:t xml:space="preserve">Level</w:t>
            </w:r>
          </w:p>
        </w:tc>
      </w:tr>
      <w:tr>
        <w:trPr>
          <w:cantSplit/>
          <w:tblHeader w:val="false"/>
        </w:trPr>
        <w:tc>
          <w:tcPr>
            <w:tcMar>
              <w:top w:type="dxa" w:w="70"/>
              <w:left w:type="dxa" w:w="110"/>
              <w:bottom w:type="dxa" w:w="70"/>
              <w:right w:type="dxa" w:w="110"/>
            </w:tcMar>
          </w:tcPr>
          <w:p>
            <w:pPr>
              <w:spacing w:after="0"/>
            </w:pPr>
            <w:r>
              <w:t xml:space="preserve">Private / Public Limited Company</w:t>
            </w:r>
          </w:p>
        </w:tc>
        <w:tc>
          <w:tcPr>
            <w:tcMar>
              <w:top w:type="dxa" w:w="70"/>
              <w:left w:type="dxa" w:w="110"/>
              <w:bottom w:type="dxa" w:w="70"/>
              <w:right w:type="dxa" w:w="110"/>
            </w:tcMar>
          </w:tcPr>
          <w:p>
            <w:pPr>
              <w:spacing w:after="0"/>
            </w:pPr>
            <w:r>
              <w:t xml:space="preserve">RoC under MCA</w:t>
            </w:r>
          </w:p>
        </w:tc>
        <w:tc>
          <w:tcPr>
            <w:tcMar>
              <w:top w:type="dxa" w:w="70"/>
              <w:left w:type="dxa" w:w="110"/>
              <w:bottom w:type="dxa" w:w="70"/>
              <w:right w:type="dxa" w:w="110"/>
            </w:tcMar>
          </w:tcPr>
          <w:p>
            <w:pPr>
              <w:spacing w:after="0"/>
            </w:pPr>
            <w:r>
              <w:t xml:space="preserve">Central</w:t>
            </w:r>
          </w:p>
        </w:tc>
      </w:tr>
      <w:tr>
        <w:trPr>
          <w:cantSplit/>
          <w:tblHeader w:val="false"/>
        </w:trPr>
        <w:tc>
          <w:tcPr>
            <w:tcMar>
              <w:top w:type="dxa" w:w="70"/>
              <w:left w:type="dxa" w:w="110"/>
              <w:bottom w:type="dxa" w:w="70"/>
              <w:right w:type="dxa" w:w="110"/>
            </w:tcMar>
          </w:tcPr>
          <w:p>
            <w:pPr>
              <w:spacing w:after="0"/>
            </w:pPr>
            <w:r>
              <w:t xml:space="preserve">LLP</w:t>
            </w:r>
          </w:p>
        </w:tc>
        <w:tc>
          <w:tcPr>
            <w:tcMar>
              <w:top w:type="dxa" w:w="70"/>
              <w:left w:type="dxa" w:w="110"/>
              <w:bottom w:type="dxa" w:w="70"/>
              <w:right w:type="dxa" w:w="110"/>
            </w:tcMar>
          </w:tcPr>
          <w:p>
            <w:pPr>
              <w:spacing w:after="0"/>
            </w:pPr>
            <w:r>
              <w:t xml:space="preserve">RoC under MCA</w:t>
            </w:r>
          </w:p>
        </w:tc>
        <w:tc>
          <w:tcPr>
            <w:tcMar>
              <w:top w:type="dxa" w:w="70"/>
              <w:left w:type="dxa" w:w="110"/>
              <w:bottom w:type="dxa" w:w="70"/>
              <w:right w:type="dxa" w:w="110"/>
            </w:tcMar>
          </w:tcPr>
          <w:p>
            <w:pPr>
              <w:spacing w:after="0"/>
            </w:pPr>
            <w:r>
              <w:t xml:space="preserve">Central</w:t>
            </w:r>
          </w:p>
        </w:tc>
      </w:tr>
      <w:tr>
        <w:trPr>
          <w:cantSplit/>
          <w:tblHeader w:val="false"/>
        </w:trPr>
        <w:tc>
          <w:tcPr>
            <w:tcMar>
              <w:top w:type="dxa" w:w="70"/>
              <w:left w:type="dxa" w:w="110"/>
              <w:bottom w:type="dxa" w:w="70"/>
              <w:right w:type="dxa" w:w="110"/>
            </w:tcMar>
          </w:tcPr>
          <w:p>
            <w:pPr>
              <w:spacing w:after="0"/>
            </w:pPr>
            <w:r>
              <w:t xml:space="preserve">One Person Company</w:t>
            </w:r>
          </w:p>
        </w:tc>
        <w:tc>
          <w:tcPr>
            <w:tcMar>
              <w:top w:type="dxa" w:w="70"/>
              <w:left w:type="dxa" w:w="110"/>
              <w:bottom w:type="dxa" w:w="70"/>
              <w:right w:type="dxa" w:w="110"/>
            </w:tcMar>
          </w:tcPr>
          <w:p>
            <w:pPr>
              <w:spacing w:after="0"/>
            </w:pPr>
            <w:r>
              <w:t xml:space="preserve">RoC under MCA</w:t>
            </w:r>
          </w:p>
        </w:tc>
        <w:tc>
          <w:tcPr>
            <w:tcMar>
              <w:top w:type="dxa" w:w="70"/>
              <w:left w:type="dxa" w:w="110"/>
              <w:bottom w:type="dxa" w:w="70"/>
              <w:right w:type="dxa" w:w="110"/>
            </w:tcMar>
          </w:tcPr>
          <w:p>
            <w:pPr>
              <w:spacing w:after="0"/>
            </w:pPr>
            <w:r>
              <w:t xml:space="preserve">Central</w:t>
            </w:r>
          </w:p>
        </w:tc>
      </w:tr>
      <w:tr>
        <w:trPr>
          <w:cantSplit/>
          <w:tblHeader w:val="false"/>
        </w:trPr>
        <w:tc>
          <w:tcPr>
            <w:tcMar>
              <w:top w:type="dxa" w:w="70"/>
              <w:left w:type="dxa" w:w="110"/>
              <w:bottom w:type="dxa" w:w="70"/>
              <w:right w:type="dxa" w:w="110"/>
            </w:tcMar>
          </w:tcPr>
          <w:p>
            <w:pPr>
              <w:spacing w:after="0"/>
            </w:pPr>
            <w:r>
              <w:t xml:space="preserve">Sole Proprietorship</w:t>
            </w:r>
          </w:p>
        </w:tc>
        <w:tc>
          <w:tcPr>
            <w:tcMar>
              <w:top w:type="dxa" w:w="70"/>
              <w:left w:type="dxa" w:w="110"/>
              <w:bottom w:type="dxa" w:w="70"/>
              <w:right w:type="dxa" w:w="110"/>
            </w:tcMar>
          </w:tcPr>
          <w:p>
            <w:pPr>
              <w:spacing w:after="0"/>
            </w:pPr>
            <w:r>
              <w:t xml:space="preserve">No formal incorporation; identified by GST / Shops Act / Udyam registration</w:t>
            </w:r>
          </w:p>
        </w:tc>
        <w:tc>
          <w:tcPr>
            <w:tcMar>
              <w:top w:type="dxa" w:w="70"/>
              <w:left w:type="dxa" w:w="110"/>
              <w:bottom w:type="dxa" w:w="70"/>
              <w:right w:type="dxa" w:w="110"/>
            </w:tcMar>
          </w:tcPr>
          <w:p>
            <w:pPr>
              <w:spacing w:after="0"/>
            </w:pPr>
            <w:r>
              <w:t xml:space="preserve">State</w:t>
            </w:r>
          </w:p>
        </w:tc>
      </w:tr>
      <w:tr>
        <w:trPr>
          <w:cantSplit/>
          <w:tblHeader w:val="false"/>
        </w:trPr>
        <w:tc>
          <w:tcPr>
            <w:tcMar>
              <w:top w:type="dxa" w:w="70"/>
              <w:left w:type="dxa" w:w="110"/>
              <w:bottom w:type="dxa" w:w="70"/>
              <w:right w:type="dxa" w:w="110"/>
            </w:tcMar>
          </w:tcPr>
          <w:p>
            <w:pPr>
              <w:spacing w:after="0"/>
            </w:pPr>
            <w:r>
              <w:t xml:space="preserve">Partnership Firm</w:t>
            </w:r>
          </w:p>
        </w:tc>
        <w:tc>
          <w:tcPr>
            <w:tcMar>
              <w:top w:type="dxa" w:w="70"/>
              <w:left w:type="dxa" w:w="110"/>
              <w:bottom w:type="dxa" w:w="70"/>
              <w:right w:type="dxa" w:w="110"/>
            </w:tcMar>
          </w:tcPr>
          <w:p>
            <w:pPr>
              <w:spacing w:after="0"/>
            </w:pPr>
            <w:r>
              <w:rPr>
                <w:b/>
                <w:bCs/>
              </w:rPr>
              <w:t xml:space="preserve">Registrar of Firms of the concerned state</w:t>
            </w:r>
            <w:r>
              <w:t xml:space="preserve"> under the Indian Partnership Act 1932 — registration is optional but affects the right to sue</w:t>
            </w:r>
          </w:p>
        </w:tc>
        <w:tc>
          <w:tcPr>
            <w:tcMar>
              <w:top w:type="dxa" w:w="70"/>
              <w:left w:type="dxa" w:w="110"/>
              <w:bottom w:type="dxa" w:w="70"/>
              <w:right w:type="dxa" w:w="110"/>
            </w:tcMar>
          </w:tcPr>
          <w:p>
            <w:pPr>
              <w:spacing w:after="0"/>
            </w:pPr>
            <w:r>
              <w:rPr>
                <w:b/>
                <w:bCs/>
              </w:rPr>
              <w:t xml:space="preserve">State</w:t>
            </w:r>
          </w:p>
        </w:tc>
      </w:tr>
      <w:tr>
        <w:trPr>
          <w:cantSplit/>
          <w:tblHeader w:val="false"/>
        </w:trPr>
        <w:tc>
          <w:tcPr>
            <w:tcMar>
              <w:top w:type="dxa" w:w="70"/>
              <w:left w:type="dxa" w:w="110"/>
              <w:bottom w:type="dxa" w:w="70"/>
              <w:right w:type="dxa" w:w="110"/>
            </w:tcMar>
          </w:tcPr>
          <w:p>
            <w:pPr>
              <w:spacing w:after="0"/>
            </w:pPr>
            <w:r>
              <w:t xml:space="preserve">Society</w:t>
            </w:r>
          </w:p>
        </w:tc>
        <w:tc>
          <w:tcPr>
            <w:tcMar>
              <w:top w:type="dxa" w:w="70"/>
              <w:left w:type="dxa" w:w="110"/>
              <w:bottom w:type="dxa" w:w="70"/>
              <w:right w:type="dxa" w:w="110"/>
            </w:tcMar>
          </w:tcPr>
          <w:p>
            <w:pPr>
              <w:spacing w:after="0"/>
            </w:pPr>
            <w:r>
              <w:t xml:space="preserve">Registrar of Societies of the state under the Societies Registration Act 1860 as adapted by state amendments</w:t>
            </w:r>
          </w:p>
        </w:tc>
        <w:tc>
          <w:tcPr>
            <w:tcMar>
              <w:top w:type="dxa" w:w="70"/>
              <w:left w:type="dxa" w:w="110"/>
              <w:bottom w:type="dxa" w:w="70"/>
              <w:right w:type="dxa" w:w="110"/>
            </w:tcMar>
          </w:tcPr>
          <w:p>
            <w:pPr>
              <w:spacing w:after="0"/>
            </w:pPr>
            <w:r>
              <w:rPr>
                <w:b/>
                <w:bCs/>
              </w:rPr>
              <w:t xml:space="preserve">State</w:t>
            </w:r>
          </w:p>
        </w:tc>
      </w:tr>
      <w:tr>
        <w:trPr>
          <w:cantSplit/>
          <w:tblHeader w:val="false"/>
        </w:trPr>
        <w:tc>
          <w:tcPr>
            <w:tcMar>
              <w:top w:type="dxa" w:w="70"/>
              <w:left w:type="dxa" w:w="110"/>
              <w:bottom w:type="dxa" w:w="70"/>
              <w:right w:type="dxa" w:w="110"/>
            </w:tcMar>
          </w:tcPr>
          <w:p>
            <w:pPr>
              <w:spacing w:after="0"/>
            </w:pPr>
            <w:r>
              <w:t xml:space="preserve">Trust</w:t>
            </w:r>
          </w:p>
        </w:tc>
        <w:tc>
          <w:tcPr>
            <w:tcMar>
              <w:top w:type="dxa" w:w="70"/>
              <w:left w:type="dxa" w:w="110"/>
              <w:bottom w:type="dxa" w:w="70"/>
              <w:right w:type="dxa" w:w="110"/>
            </w:tcMar>
          </w:tcPr>
          <w:p>
            <w:pPr>
              <w:spacing w:after="0"/>
            </w:pPr>
            <w:r>
              <w:t xml:space="preserve">Sub-Registrar / Charity Commissioner (Maharashtra and Gujarat have a Charity Commissioner; most states do not)</w:t>
            </w:r>
          </w:p>
        </w:tc>
        <w:tc>
          <w:tcPr>
            <w:tcMar>
              <w:top w:type="dxa" w:w="70"/>
              <w:left w:type="dxa" w:w="110"/>
              <w:bottom w:type="dxa" w:w="70"/>
              <w:right w:type="dxa" w:w="110"/>
            </w:tcMar>
          </w:tcPr>
          <w:p>
            <w:pPr>
              <w:spacing w:after="0"/>
            </w:pPr>
            <w:r>
              <w:rPr>
                <w:b/>
                <w:bCs/>
              </w:rPr>
              <w:t xml:space="preserve">State</w:t>
            </w:r>
          </w:p>
        </w:tc>
      </w:tr>
      <w:tr>
        <w:trPr>
          <w:cantSplit/>
          <w:tblHeader w:val="false"/>
        </w:trPr>
        <w:tc>
          <w:tcPr>
            <w:tcMar>
              <w:top w:type="dxa" w:w="70"/>
              <w:left w:type="dxa" w:w="110"/>
              <w:bottom w:type="dxa" w:w="70"/>
              <w:right w:type="dxa" w:w="110"/>
            </w:tcMar>
          </w:tcPr>
          <w:p>
            <w:pPr>
              <w:spacing w:after="0"/>
            </w:pPr>
            <w:r>
              <w:t xml:space="preserve">Section 8 Company</w:t>
            </w:r>
          </w:p>
        </w:tc>
        <w:tc>
          <w:tcPr>
            <w:tcMar>
              <w:top w:type="dxa" w:w="70"/>
              <w:left w:type="dxa" w:w="110"/>
              <w:bottom w:type="dxa" w:w="70"/>
              <w:right w:type="dxa" w:w="110"/>
            </w:tcMar>
          </w:tcPr>
          <w:p>
            <w:pPr>
              <w:spacing w:after="0"/>
            </w:pPr>
            <w:r>
              <w:t xml:space="preserve">RoC with prior licence</w:t>
            </w:r>
          </w:p>
        </w:tc>
        <w:tc>
          <w:tcPr>
            <w:tcMar>
              <w:top w:type="dxa" w:w="70"/>
              <w:left w:type="dxa" w:w="110"/>
              <w:bottom w:type="dxa" w:w="70"/>
              <w:right w:type="dxa" w:w="110"/>
            </w:tcMar>
          </w:tcPr>
          <w:p>
            <w:pPr>
              <w:spacing w:after="0"/>
            </w:pPr>
            <w:r>
              <w:t xml:space="preserve">Central</w:t>
            </w:r>
          </w:p>
        </w:tc>
      </w:tr>
      <w:tr>
        <w:trPr>
          <w:cantSplit/>
          <w:tblHeader w:val="false"/>
        </w:trPr>
        <w:tc>
          <w:tcPr>
            <w:tcMar>
              <w:top w:type="dxa" w:w="70"/>
              <w:left w:type="dxa" w:w="110"/>
              <w:bottom w:type="dxa" w:w="70"/>
              <w:right w:type="dxa" w:w="110"/>
            </w:tcMar>
          </w:tcPr>
          <w:p>
            <w:pPr>
              <w:spacing w:after="0"/>
            </w:pPr>
            <w:r>
              <w:t xml:space="preserve">Co-operative Society</w:t>
            </w:r>
          </w:p>
        </w:tc>
        <w:tc>
          <w:tcPr>
            <w:tcMar>
              <w:top w:type="dxa" w:w="70"/>
              <w:left w:type="dxa" w:w="110"/>
              <w:bottom w:type="dxa" w:w="70"/>
              <w:right w:type="dxa" w:w="110"/>
            </w:tcMar>
          </w:tcPr>
          <w:p>
            <w:pPr>
              <w:spacing w:after="0"/>
            </w:pPr>
            <w:r>
              <w:t xml:space="preserve">State Registrar of Co-operative Societies; multi-state societies under Central Registrar</w:t>
            </w:r>
          </w:p>
        </w:tc>
        <w:tc>
          <w:tcPr>
            <w:tcMar>
              <w:top w:type="dxa" w:w="70"/>
              <w:left w:type="dxa" w:w="110"/>
              <w:bottom w:type="dxa" w:w="70"/>
              <w:right w:type="dxa" w:w="110"/>
            </w:tcMar>
          </w:tcPr>
          <w:p>
            <w:pPr>
              <w:spacing w:after="0"/>
            </w:pPr>
            <w:r>
              <w:t xml:space="preserve">State / Central</w:t>
            </w:r>
          </w:p>
        </w:tc>
      </w:tr>
      <w:tr>
        <w:trPr>
          <w:cantSplit/>
          <w:tblHeader w:val="false"/>
        </w:trPr>
        <w:tc>
          <w:tcPr>
            <w:tcMar>
              <w:top w:type="dxa" w:w="70"/>
              <w:left w:type="dxa" w:w="110"/>
              <w:bottom w:type="dxa" w:w="70"/>
              <w:right w:type="dxa" w:w="110"/>
            </w:tcMar>
          </w:tcPr>
          <w:p>
            <w:pPr>
              <w:spacing w:after="0"/>
            </w:pPr>
            <w:r>
              <w:t xml:space="preserve">Producer Company</w:t>
            </w:r>
          </w:p>
        </w:tc>
        <w:tc>
          <w:tcPr>
            <w:tcMar>
              <w:top w:type="dxa" w:w="70"/>
              <w:left w:type="dxa" w:w="110"/>
              <w:bottom w:type="dxa" w:w="70"/>
              <w:right w:type="dxa" w:w="110"/>
            </w:tcMar>
          </w:tcPr>
          <w:p>
            <w:pPr>
              <w:spacing w:after="0"/>
            </w:pPr>
            <w:r>
              <w:t xml:space="preserve">RoC</w:t>
            </w:r>
          </w:p>
        </w:tc>
        <w:tc>
          <w:tcPr>
            <w:tcMar>
              <w:top w:type="dxa" w:w="70"/>
              <w:left w:type="dxa" w:w="110"/>
              <w:bottom w:type="dxa" w:w="70"/>
              <w:right w:type="dxa" w:w="110"/>
            </w:tcMar>
          </w:tcPr>
          <w:p>
            <w:pPr>
              <w:spacing w:after="0"/>
            </w:pPr>
            <w:r>
              <w:t xml:space="preserve">Central</w:t>
            </w:r>
          </w:p>
        </w:tc>
      </w:tr>
    </w:tbl>
    <w:p>
      <w:pPr>
        <w:spacing w:after="40"/>
      </w:pPr>
    </w:p>
    <w:p>
      <w:r>
        <w:t xml:space="preserve">The partnership firm and trust cases are worth noting: these are the two most common small-business structures in India, and </w:t>
      </w:r>
      <w:r>
        <w:rPr>
          <w:b/>
          <w:bCs/>
        </w:rPr>
        <w:t xml:space="preserve">both are state-registered</w:t>
      </w:r>
      <w:r>
        <w:t xml:space="preserve">, with different fees, forms and even different governing amendments in each state. Maharashtra and Gujarat additionally require public trusts to register with the </w:t>
      </w:r>
      <w:r>
        <w:rPr>
          <w:b/>
          <w:bCs/>
        </w:rPr>
        <w:t xml:space="preserve">Charity Commissioner</w:t>
      </w:r>
      <w:r>
        <w:t xml:space="preserve"> under the Maharashtra Public Trusts Act 1950 — a requirement with no equivalent in most other states.</w:t>
      </w:r>
    </w:p>
    <w:p>
      <w:pPr>
        <w:pStyle w:val="Heading2"/>
        <w:keepNext/>
        <w:keepLines/>
      </w:pPr>
      <w:r>
        <w:t xml:space="preserve">2.5 State-Level Registration Requirements at Start-Up</w:t>
      </w:r>
    </w:p>
    <w:p>
      <w:r>
        <w:t xml:space="preserve">Every new establishment, regardless of entity type, typically faces this state/local stack:</w:t>
      </w:r>
    </w:p>
    <w:p>
      <w:pPr>
        <w:pStyle w:val="ListParagraph"/>
        <w:numPr>
          <w:ilvl w:val="0"/>
          <w:numId w:val="3"/>
        </w:numPr>
        <w:spacing w:after="60"/>
      </w:pPr>
      <w:r>
        <w:rPr>
          <w:b/>
          <w:bCs/>
        </w:rPr>
        <w:t xml:space="preserve">Shops &amp; Establishments registration or intimation</w:t>
      </w:r>
      <w:r>
        <w:t xml:space="preserve"> — state labour department.</w:t>
      </w:r>
    </w:p>
    <w:p>
      <w:pPr>
        <w:pStyle w:val="ListParagraph"/>
        <w:numPr>
          <w:ilvl w:val="0"/>
          <w:numId w:val="3"/>
        </w:numPr>
        <w:spacing w:after="60"/>
      </w:pPr>
      <w:r>
        <w:rPr>
          <w:b/>
          <w:bCs/>
        </w:rPr>
        <w:t xml:space="preserve">Professional Tax registration</w:t>
      </w:r>
      <w:r>
        <w:t xml:space="preserve"> — two separate registrations in most levying states: </w:t>
      </w:r>
      <w:r>
        <w:rPr>
          <w:b/>
          <w:bCs/>
        </w:rPr>
        <w:t xml:space="preserve">PTEC</w:t>
      </w:r>
      <w:r>
        <w:t xml:space="preserve"> (enrolment certificate, for the entity/proprietor’s own liability) and </w:t>
      </w:r>
      <w:r>
        <w:rPr>
          <w:b/>
          <w:bCs/>
        </w:rPr>
        <w:t xml:space="preserve">PTRC</w:t>
      </w:r>
      <w:r>
        <w:t xml:space="preserve"> (registration certificate, for deducting from employees’ salaries).</w:t>
      </w:r>
    </w:p>
    <w:p>
      <w:pPr>
        <w:pStyle w:val="ListParagraph"/>
        <w:numPr>
          <w:ilvl w:val="0"/>
          <w:numId w:val="3"/>
        </w:numPr>
        <w:spacing w:after="60"/>
      </w:pPr>
      <w:r>
        <w:rPr>
          <w:b/>
          <w:bCs/>
        </w:rPr>
        <w:t xml:space="preserve">Trade Licence</w:t>
      </w:r>
      <w:r>
        <w:t xml:space="preserve"> — municipal corporation or panchayat.</w:t>
      </w:r>
    </w:p>
    <w:p>
      <w:pPr>
        <w:pStyle w:val="ListParagraph"/>
        <w:numPr>
          <w:ilvl w:val="0"/>
          <w:numId w:val="3"/>
        </w:numPr>
        <w:spacing w:after="60"/>
      </w:pPr>
      <w:r>
        <w:rPr>
          <w:b/>
          <w:bCs/>
        </w:rPr>
        <w:t xml:space="preserve">Labour Welfare Fund</w:t>
      </w:r>
      <w:r>
        <w:t xml:space="preserve"> enrolment — where applicable.</w:t>
      </w:r>
    </w:p>
    <w:p>
      <w:pPr>
        <w:pStyle w:val="ListParagraph"/>
        <w:numPr>
          <w:ilvl w:val="0"/>
          <w:numId w:val="3"/>
        </w:numPr>
        <w:spacing w:after="60"/>
      </w:pPr>
      <w:r>
        <w:rPr>
          <w:b/>
          <w:bCs/>
        </w:rPr>
        <w:t xml:space="preserve">Contract Labour licence</w:t>
      </w:r>
      <w:r>
        <w:t xml:space="preserve"> — if engaging contract workers above the state threshold.</w:t>
      </w:r>
    </w:p>
    <w:p>
      <w:pPr>
        <w:pStyle w:val="ListParagraph"/>
        <w:numPr>
          <w:ilvl w:val="0"/>
          <w:numId w:val="3"/>
        </w:numPr>
        <w:spacing w:after="60"/>
      </w:pPr>
      <w:r>
        <w:rPr>
          <w:b/>
          <w:bCs/>
        </w:rPr>
        <w:t xml:space="preserve">Factory licence</w:t>
      </w:r>
      <w:r>
        <w:t xml:space="preserve"> — if manufacturing with power above the state’s worker threshold.</w:t>
      </w:r>
    </w:p>
    <w:p>
      <w:pPr>
        <w:pStyle w:val="ListParagraph"/>
        <w:numPr>
          <w:ilvl w:val="0"/>
          <w:numId w:val="3"/>
        </w:numPr>
        <w:spacing w:after="60"/>
      </w:pPr>
      <w:r>
        <w:rPr>
          <w:b/>
          <w:bCs/>
        </w:rPr>
        <w:t xml:space="preserve">Consent to Establish</w:t>
      </w:r>
      <w:r>
        <w:t xml:space="preserve"> from the State PCB — if the activity is Red, Orange or Green category.</w:t>
      </w:r>
    </w:p>
    <w:p>
      <w:pPr>
        <w:pStyle w:val="ListParagraph"/>
        <w:numPr>
          <w:ilvl w:val="0"/>
          <w:numId w:val="3"/>
        </w:numPr>
        <w:spacing w:after="60"/>
      </w:pPr>
      <w:r>
        <w:rPr>
          <w:b/>
          <w:bCs/>
        </w:rPr>
        <w:t xml:space="preserve">Fire NOC</w:t>
      </w:r>
      <w:r>
        <w:t xml:space="preserve"> — depending on building height, area and occupancy.</w:t>
      </w:r>
    </w:p>
    <w:p>
      <w:pPr>
        <w:pStyle w:val="ListParagraph"/>
        <w:numPr>
          <w:ilvl w:val="0"/>
          <w:numId w:val="3"/>
        </w:numPr>
        <w:spacing w:after="60"/>
      </w:pPr>
      <w:r>
        <w:rPr>
          <w:b/>
          <w:bCs/>
        </w:rPr>
        <w:t xml:space="preserve">Sector licences</w:t>
      </w:r>
      <w:r>
        <w:t xml:space="preserve"> — FSSAI, drug licence, excise licence, weights &amp; measures registration.</w:t>
      </w:r>
    </w:p>
    <w:p>
      <w:pPr>
        <w:pStyle w:val="Heading2"/>
        <w:keepNext/>
        <w:keepLines/>
      </w:pPr>
      <w:r>
        <w:t xml:space="preserve">2.6 Single-Window Investment Portals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State / UT</w:t>
            </w:r>
          </w:p>
        </w:tc>
        <w:tc>
          <w:tcPr>
            <w:shd w:fill="F0F4FE"/>
            <w:tcMar>
              <w:top w:type="dxa" w:w="70"/>
              <w:left w:type="dxa" w:w="110"/>
              <w:bottom w:type="dxa" w:w="70"/>
              <w:right w:type="dxa" w:w="110"/>
            </w:tcMar>
          </w:tcPr>
          <w:p>
            <w:pPr>
              <w:spacing w:after="0"/>
            </w:pPr>
            <w:r>
              <w:rPr>
                <w:b/>
                <w:bCs/>
                <w:color w:val="112D6A"/>
              </w:rPr>
              <w:t xml:space="preserve">Single-Window Platform</w:t>
            </w:r>
          </w:p>
        </w:tc>
      </w:tr>
      <w:tr>
        <w:trPr>
          <w:cantSplit/>
          <w:tblHeader w:val="false"/>
        </w:trPr>
        <w:tc>
          <w:tcPr>
            <w:tcMar>
              <w:top w:type="dxa" w:w="70"/>
              <w:left w:type="dxa" w:w="110"/>
              <w:bottom w:type="dxa" w:w="70"/>
              <w:right w:type="dxa" w:w="110"/>
            </w:tcMar>
          </w:tcPr>
          <w:p>
            <w:pPr>
              <w:spacing w:after="0"/>
            </w:pPr>
            <w:r>
              <w:t xml:space="preserve">Andhra Pradesh</w:t>
            </w:r>
          </w:p>
        </w:tc>
        <w:tc>
          <w:tcPr>
            <w:tcMar>
              <w:top w:type="dxa" w:w="70"/>
              <w:left w:type="dxa" w:w="110"/>
              <w:bottom w:type="dxa" w:w="70"/>
              <w:right w:type="dxa" w:w="110"/>
            </w:tcMar>
          </w:tcPr>
          <w:p>
            <w:pPr>
              <w:spacing w:after="0"/>
            </w:pPr>
            <w:r>
              <w:t xml:space="preserve">AP Single Desk Portal</w:t>
            </w:r>
          </w:p>
        </w:tc>
      </w:tr>
      <w:tr>
        <w:trPr>
          <w:cantSplit/>
          <w:tblHeader w:val="false"/>
        </w:trPr>
        <w:tc>
          <w:tcPr>
            <w:tcMar>
              <w:top w:type="dxa" w:w="70"/>
              <w:left w:type="dxa" w:w="110"/>
              <w:bottom w:type="dxa" w:w="70"/>
              <w:right w:type="dxa" w:w="110"/>
            </w:tcMar>
          </w:tcPr>
          <w:p>
            <w:pPr>
              <w:spacing w:after="0"/>
            </w:pPr>
            <w:r>
              <w:t xml:space="preserve">Arunachal Pradesh</w:t>
            </w:r>
          </w:p>
        </w:tc>
        <w:tc>
          <w:tcPr>
            <w:tcMar>
              <w:top w:type="dxa" w:w="70"/>
              <w:left w:type="dxa" w:w="110"/>
              <w:bottom w:type="dxa" w:w="70"/>
              <w:right w:type="dxa" w:w="110"/>
            </w:tcMar>
          </w:tcPr>
          <w:p>
            <w:pPr>
              <w:spacing w:after="0"/>
            </w:pPr>
            <w:r>
              <w:t xml:space="preserve">Arunachal Single Window / Dept of Industries portal</w:t>
            </w:r>
          </w:p>
        </w:tc>
      </w:tr>
      <w:tr>
        <w:trPr>
          <w:cantSplit/>
          <w:tblHeader w:val="false"/>
        </w:trPr>
        <w:tc>
          <w:tcPr>
            <w:tcMar>
              <w:top w:type="dxa" w:w="70"/>
              <w:left w:type="dxa" w:w="110"/>
              <w:bottom w:type="dxa" w:w="70"/>
              <w:right w:type="dxa" w:w="110"/>
            </w:tcMar>
          </w:tcPr>
          <w:p>
            <w:pPr>
              <w:spacing w:after="0"/>
            </w:pPr>
            <w:r>
              <w:t xml:space="preserve">Assam</w:t>
            </w:r>
          </w:p>
        </w:tc>
        <w:tc>
          <w:tcPr>
            <w:tcMar>
              <w:top w:type="dxa" w:w="70"/>
              <w:left w:type="dxa" w:w="110"/>
              <w:bottom w:type="dxa" w:w="70"/>
              <w:right w:type="dxa" w:w="110"/>
            </w:tcMar>
          </w:tcPr>
          <w:p>
            <w:pPr>
              <w:spacing w:after="0"/>
            </w:pPr>
            <w:r>
              <w:t xml:space="preserve">Assam Single Window (Ease of Doing Business portal)</w:t>
            </w:r>
          </w:p>
        </w:tc>
      </w:tr>
      <w:tr>
        <w:trPr>
          <w:cantSplit/>
          <w:tblHeader w:val="false"/>
        </w:trPr>
        <w:tc>
          <w:tcPr>
            <w:tcMar>
              <w:top w:type="dxa" w:w="70"/>
              <w:left w:type="dxa" w:w="110"/>
              <w:bottom w:type="dxa" w:w="70"/>
              <w:right w:type="dxa" w:w="110"/>
            </w:tcMar>
          </w:tcPr>
          <w:p>
            <w:pPr>
              <w:spacing w:after="0"/>
            </w:pPr>
            <w:r>
              <w:t xml:space="preserve">Bihar</w:t>
            </w:r>
          </w:p>
        </w:tc>
        <w:tc>
          <w:tcPr>
            <w:tcMar>
              <w:top w:type="dxa" w:w="70"/>
              <w:left w:type="dxa" w:w="110"/>
              <w:bottom w:type="dxa" w:w="70"/>
              <w:right w:type="dxa" w:w="110"/>
            </w:tcMar>
          </w:tcPr>
          <w:p>
            <w:pPr>
              <w:spacing w:after="0"/>
            </w:pPr>
            <w:r>
              <w:t xml:space="preserve">Bihar Single Window Clearance System</w:t>
            </w:r>
          </w:p>
        </w:tc>
      </w:tr>
      <w:tr>
        <w:trPr>
          <w:cantSplit/>
          <w:tblHeader w:val="false"/>
        </w:trPr>
        <w:tc>
          <w:tcPr>
            <w:tcMar>
              <w:top w:type="dxa" w:w="70"/>
              <w:left w:type="dxa" w:w="110"/>
              <w:bottom w:type="dxa" w:w="70"/>
              <w:right w:type="dxa" w:w="110"/>
            </w:tcMar>
          </w:tcPr>
          <w:p>
            <w:pPr>
              <w:spacing w:after="0"/>
            </w:pPr>
            <w:r>
              <w:t xml:space="preserve">Chhattisgarh</w:t>
            </w:r>
          </w:p>
        </w:tc>
        <w:tc>
          <w:tcPr>
            <w:tcMar>
              <w:top w:type="dxa" w:w="70"/>
              <w:left w:type="dxa" w:w="110"/>
              <w:bottom w:type="dxa" w:w="70"/>
              <w:right w:type="dxa" w:w="110"/>
            </w:tcMar>
          </w:tcPr>
          <w:p>
            <w:pPr>
              <w:spacing w:after="0"/>
            </w:pPr>
            <w:r>
              <w:t xml:space="preserve">Chhattisgarh Single Window System</w:t>
            </w:r>
          </w:p>
        </w:tc>
      </w:tr>
      <w:tr>
        <w:trPr>
          <w:cantSplit/>
          <w:tblHeader w:val="false"/>
        </w:trPr>
        <w:tc>
          <w:tcPr>
            <w:tcMar>
              <w:top w:type="dxa" w:w="70"/>
              <w:left w:type="dxa" w:w="110"/>
              <w:bottom w:type="dxa" w:w="70"/>
              <w:right w:type="dxa" w:w="110"/>
            </w:tcMar>
          </w:tcPr>
          <w:p>
            <w:pPr>
              <w:spacing w:after="0"/>
            </w:pPr>
            <w:r>
              <w:t xml:space="preserve">Goa</w:t>
            </w:r>
          </w:p>
        </w:tc>
        <w:tc>
          <w:tcPr>
            <w:tcMar>
              <w:top w:type="dxa" w:w="70"/>
              <w:left w:type="dxa" w:w="110"/>
              <w:bottom w:type="dxa" w:w="70"/>
              <w:right w:type="dxa" w:w="110"/>
            </w:tcMar>
          </w:tcPr>
          <w:p>
            <w:pPr>
              <w:spacing w:after="0"/>
            </w:pPr>
            <w:r>
              <w:t xml:space="preserve">Goa Investment Promotion Board (Goa-IPB)</w:t>
            </w:r>
          </w:p>
        </w:tc>
      </w:tr>
      <w:tr>
        <w:trPr>
          <w:cantSplit/>
          <w:tblHeader w:val="false"/>
        </w:trPr>
        <w:tc>
          <w:tcPr>
            <w:tcMar>
              <w:top w:type="dxa" w:w="70"/>
              <w:left w:type="dxa" w:w="110"/>
              <w:bottom w:type="dxa" w:w="70"/>
              <w:right w:type="dxa" w:w="110"/>
            </w:tcMar>
          </w:tcPr>
          <w:p>
            <w:pPr>
              <w:spacing w:after="0"/>
            </w:pPr>
            <w:r>
              <w:t xml:space="preserve">Gujarat</w:t>
            </w:r>
          </w:p>
        </w:tc>
        <w:tc>
          <w:tcPr>
            <w:tcMar>
              <w:top w:type="dxa" w:w="70"/>
              <w:left w:type="dxa" w:w="110"/>
              <w:bottom w:type="dxa" w:w="70"/>
              <w:right w:type="dxa" w:w="110"/>
            </w:tcMar>
          </w:tcPr>
          <w:p>
            <w:pPr>
              <w:spacing w:after="0"/>
            </w:pPr>
            <w:r>
              <w:t xml:space="preserve">Investor Facilitation Portal (IFP)</w:t>
            </w:r>
          </w:p>
        </w:tc>
      </w:tr>
      <w:tr>
        <w:trPr>
          <w:cantSplit/>
          <w:tblHeader w:val="false"/>
        </w:trPr>
        <w:tc>
          <w:tcPr>
            <w:tcMar>
              <w:top w:type="dxa" w:w="70"/>
              <w:left w:type="dxa" w:w="110"/>
              <w:bottom w:type="dxa" w:w="70"/>
              <w:right w:type="dxa" w:w="110"/>
            </w:tcMar>
          </w:tcPr>
          <w:p>
            <w:pPr>
              <w:spacing w:after="0"/>
            </w:pPr>
            <w:r>
              <w:t xml:space="preserve">Haryana</w:t>
            </w:r>
          </w:p>
        </w:tc>
        <w:tc>
          <w:tcPr>
            <w:tcMar>
              <w:top w:type="dxa" w:w="70"/>
              <w:left w:type="dxa" w:w="110"/>
              <w:bottom w:type="dxa" w:w="70"/>
              <w:right w:type="dxa" w:w="110"/>
            </w:tcMar>
          </w:tcPr>
          <w:p>
            <w:pPr>
              <w:spacing w:after="0"/>
            </w:pPr>
            <w:r>
              <w:t xml:space="preserve">Haryana Enterprises Promotion Centre (HEPC)</w:t>
            </w:r>
          </w:p>
        </w:tc>
      </w:tr>
      <w:tr>
        <w:trPr>
          <w:cantSplit/>
          <w:tblHeader w:val="false"/>
        </w:trPr>
        <w:tc>
          <w:tcPr>
            <w:tcMar>
              <w:top w:type="dxa" w:w="70"/>
              <w:left w:type="dxa" w:w="110"/>
              <w:bottom w:type="dxa" w:w="70"/>
              <w:right w:type="dxa" w:w="110"/>
            </w:tcMar>
          </w:tcPr>
          <w:p>
            <w:pPr>
              <w:spacing w:after="0"/>
            </w:pPr>
            <w:r>
              <w:t xml:space="preserve">Himachal Pradesh</w:t>
            </w:r>
          </w:p>
        </w:tc>
        <w:tc>
          <w:tcPr>
            <w:tcMar>
              <w:top w:type="dxa" w:w="70"/>
              <w:left w:type="dxa" w:w="110"/>
              <w:bottom w:type="dxa" w:w="70"/>
              <w:right w:type="dxa" w:w="110"/>
            </w:tcMar>
          </w:tcPr>
          <w:p>
            <w:pPr>
              <w:spacing w:after="0"/>
            </w:pPr>
            <w:r>
              <w:t xml:space="preserve">HP Single Window Clearance Agency</w:t>
            </w:r>
          </w:p>
        </w:tc>
      </w:tr>
      <w:tr>
        <w:trPr>
          <w:cantSplit/>
          <w:tblHeader w:val="false"/>
        </w:trPr>
        <w:tc>
          <w:tcPr>
            <w:tcMar>
              <w:top w:type="dxa" w:w="70"/>
              <w:left w:type="dxa" w:w="110"/>
              <w:bottom w:type="dxa" w:w="70"/>
              <w:right w:type="dxa" w:w="110"/>
            </w:tcMar>
          </w:tcPr>
          <w:p>
            <w:pPr>
              <w:spacing w:after="0"/>
            </w:pPr>
            <w:r>
              <w:t xml:space="preserve">Jharkhand</w:t>
            </w:r>
          </w:p>
        </w:tc>
        <w:tc>
          <w:tcPr>
            <w:tcMar>
              <w:top w:type="dxa" w:w="70"/>
              <w:left w:type="dxa" w:w="110"/>
              <w:bottom w:type="dxa" w:w="70"/>
              <w:right w:type="dxa" w:w="110"/>
            </w:tcMar>
          </w:tcPr>
          <w:p>
            <w:pPr>
              <w:spacing w:after="0"/>
            </w:pPr>
            <w:r>
              <w:t xml:space="preserve">Jharkhand Single Window Portal</w:t>
            </w:r>
          </w:p>
        </w:tc>
      </w:tr>
      <w:tr>
        <w:trPr>
          <w:cantSplit/>
          <w:tblHeader w:val="false"/>
        </w:trPr>
        <w:tc>
          <w:tcPr>
            <w:tcMar>
              <w:top w:type="dxa" w:w="70"/>
              <w:left w:type="dxa" w:w="110"/>
              <w:bottom w:type="dxa" w:w="70"/>
              <w:right w:type="dxa" w:w="110"/>
            </w:tcMar>
          </w:tcPr>
          <w:p>
            <w:pPr>
              <w:spacing w:after="0"/>
            </w:pPr>
            <w:r>
              <w:t xml:space="preserve">Karnataka</w:t>
            </w:r>
          </w:p>
        </w:tc>
        <w:tc>
          <w:tcPr>
            <w:tcMar>
              <w:top w:type="dxa" w:w="70"/>
              <w:left w:type="dxa" w:w="110"/>
              <w:bottom w:type="dxa" w:w="70"/>
              <w:right w:type="dxa" w:w="110"/>
            </w:tcMar>
          </w:tcPr>
          <w:p>
            <w:pPr>
              <w:spacing w:after="0"/>
            </w:pPr>
            <w:r>
              <w:t xml:space="preserve">Karnataka Udyog Mitra</w:t>
            </w:r>
          </w:p>
        </w:tc>
      </w:tr>
      <w:tr>
        <w:trPr>
          <w:cantSplit/>
          <w:tblHeader w:val="false"/>
        </w:trPr>
        <w:tc>
          <w:tcPr>
            <w:tcMar>
              <w:top w:type="dxa" w:w="70"/>
              <w:left w:type="dxa" w:w="110"/>
              <w:bottom w:type="dxa" w:w="70"/>
              <w:right w:type="dxa" w:w="110"/>
            </w:tcMar>
          </w:tcPr>
          <w:p>
            <w:pPr>
              <w:spacing w:after="0"/>
            </w:pPr>
            <w:r>
              <w:t xml:space="preserve">Kerala</w:t>
            </w:r>
          </w:p>
        </w:tc>
        <w:tc>
          <w:tcPr>
            <w:tcMar>
              <w:top w:type="dxa" w:w="70"/>
              <w:left w:type="dxa" w:w="110"/>
              <w:bottom w:type="dxa" w:w="70"/>
              <w:right w:type="dxa" w:w="110"/>
            </w:tcMar>
          </w:tcPr>
          <w:p>
            <w:pPr>
              <w:spacing w:after="0"/>
            </w:pPr>
            <w:r>
              <w:t xml:space="preserve">K-SWIFT</w:t>
            </w:r>
          </w:p>
        </w:tc>
      </w:tr>
      <w:tr>
        <w:trPr>
          <w:cantSplit/>
          <w:tblHeader w:val="false"/>
        </w:trPr>
        <w:tc>
          <w:tcPr>
            <w:tcMar>
              <w:top w:type="dxa" w:w="70"/>
              <w:left w:type="dxa" w:w="110"/>
              <w:bottom w:type="dxa" w:w="70"/>
              <w:right w:type="dxa" w:w="110"/>
            </w:tcMar>
          </w:tcPr>
          <w:p>
            <w:pPr>
              <w:spacing w:after="0"/>
            </w:pPr>
            <w:r>
              <w:t xml:space="preserve">Madhya Pradesh</w:t>
            </w:r>
          </w:p>
        </w:tc>
        <w:tc>
          <w:tcPr>
            <w:tcMar>
              <w:top w:type="dxa" w:w="70"/>
              <w:left w:type="dxa" w:w="110"/>
              <w:bottom w:type="dxa" w:w="70"/>
              <w:right w:type="dxa" w:w="110"/>
            </w:tcMar>
          </w:tcPr>
          <w:p>
            <w:pPr>
              <w:spacing w:after="0"/>
            </w:pPr>
            <w:r>
              <w:t xml:space="preserve">MP Single Window / Invest MP</w:t>
            </w:r>
          </w:p>
        </w:tc>
      </w:tr>
      <w:tr>
        <w:trPr>
          <w:cantSplit/>
          <w:tblHeader w:val="false"/>
        </w:trPr>
        <w:tc>
          <w:tcPr>
            <w:tcMar>
              <w:top w:type="dxa" w:w="70"/>
              <w:left w:type="dxa" w:w="110"/>
              <w:bottom w:type="dxa" w:w="70"/>
              <w:right w:type="dxa" w:w="110"/>
            </w:tcMar>
          </w:tcPr>
          <w:p>
            <w:pPr>
              <w:spacing w:after="0"/>
            </w:pPr>
            <w:r>
              <w:t xml:space="preserve">Maharashtra</w:t>
            </w:r>
          </w:p>
        </w:tc>
        <w:tc>
          <w:tcPr>
            <w:tcMar>
              <w:top w:type="dxa" w:w="70"/>
              <w:left w:type="dxa" w:w="110"/>
              <w:bottom w:type="dxa" w:w="70"/>
              <w:right w:type="dxa" w:w="110"/>
            </w:tcMar>
          </w:tcPr>
          <w:p>
            <w:pPr>
              <w:spacing w:after="0"/>
            </w:pPr>
            <w:r>
              <w:t xml:space="preserve">MAITRI</w:t>
            </w:r>
          </w:p>
        </w:tc>
      </w:tr>
      <w:tr>
        <w:trPr>
          <w:cantSplit/>
          <w:tblHeader w:val="false"/>
        </w:trPr>
        <w:tc>
          <w:tcPr>
            <w:tcMar>
              <w:top w:type="dxa" w:w="70"/>
              <w:left w:type="dxa" w:w="110"/>
              <w:bottom w:type="dxa" w:w="70"/>
              <w:right w:type="dxa" w:w="110"/>
            </w:tcMar>
          </w:tcPr>
          <w:p>
            <w:pPr>
              <w:spacing w:after="0"/>
            </w:pPr>
            <w:r>
              <w:t xml:space="preserve">Manipur</w:t>
            </w:r>
          </w:p>
        </w:tc>
        <w:tc>
          <w:tcPr>
            <w:tcMar>
              <w:top w:type="dxa" w:w="70"/>
              <w:left w:type="dxa" w:w="110"/>
              <w:bottom w:type="dxa" w:w="70"/>
              <w:right w:type="dxa" w:w="110"/>
            </w:tcMar>
          </w:tcPr>
          <w:p>
            <w:pPr>
              <w:spacing w:after="0"/>
            </w:pPr>
            <w:r>
              <w:t xml:space="preserve">Manipur Single Window Portal</w:t>
            </w:r>
          </w:p>
        </w:tc>
      </w:tr>
      <w:tr>
        <w:trPr>
          <w:cantSplit/>
          <w:tblHeader w:val="false"/>
        </w:trPr>
        <w:tc>
          <w:tcPr>
            <w:tcMar>
              <w:top w:type="dxa" w:w="70"/>
              <w:left w:type="dxa" w:w="110"/>
              <w:bottom w:type="dxa" w:w="70"/>
              <w:right w:type="dxa" w:w="110"/>
            </w:tcMar>
          </w:tcPr>
          <w:p>
            <w:pPr>
              <w:spacing w:after="0"/>
            </w:pPr>
            <w:r>
              <w:t xml:space="preserve">Meghalaya</w:t>
            </w:r>
          </w:p>
        </w:tc>
        <w:tc>
          <w:tcPr>
            <w:tcMar>
              <w:top w:type="dxa" w:w="70"/>
              <w:left w:type="dxa" w:w="110"/>
              <w:bottom w:type="dxa" w:w="70"/>
              <w:right w:type="dxa" w:w="110"/>
            </w:tcMar>
          </w:tcPr>
          <w:p>
            <w:pPr>
              <w:spacing w:after="0"/>
            </w:pPr>
            <w:r>
              <w:t xml:space="preserve">Meghalaya Investment Facilitation Portal</w:t>
            </w:r>
          </w:p>
        </w:tc>
      </w:tr>
      <w:tr>
        <w:trPr>
          <w:cantSplit/>
          <w:tblHeader w:val="false"/>
        </w:trPr>
        <w:tc>
          <w:tcPr>
            <w:tcMar>
              <w:top w:type="dxa" w:w="70"/>
              <w:left w:type="dxa" w:w="110"/>
              <w:bottom w:type="dxa" w:w="70"/>
              <w:right w:type="dxa" w:w="110"/>
            </w:tcMar>
          </w:tcPr>
          <w:p>
            <w:pPr>
              <w:spacing w:after="0"/>
            </w:pPr>
            <w:r>
              <w:t xml:space="preserve">Mizoram</w:t>
            </w:r>
          </w:p>
        </w:tc>
        <w:tc>
          <w:tcPr>
            <w:tcMar>
              <w:top w:type="dxa" w:w="70"/>
              <w:left w:type="dxa" w:w="110"/>
              <w:bottom w:type="dxa" w:w="70"/>
              <w:right w:type="dxa" w:w="110"/>
            </w:tcMar>
          </w:tcPr>
          <w:p>
            <w:pPr>
              <w:spacing w:after="0"/>
            </w:pPr>
            <w:r>
              <w:t xml:space="preserve">Mizoram Single Window Agency</w:t>
            </w:r>
          </w:p>
        </w:tc>
      </w:tr>
      <w:tr>
        <w:trPr>
          <w:cantSplit/>
          <w:tblHeader w:val="false"/>
        </w:trPr>
        <w:tc>
          <w:tcPr>
            <w:tcMar>
              <w:top w:type="dxa" w:w="70"/>
              <w:left w:type="dxa" w:w="110"/>
              <w:bottom w:type="dxa" w:w="70"/>
              <w:right w:type="dxa" w:w="110"/>
            </w:tcMar>
          </w:tcPr>
          <w:p>
            <w:pPr>
              <w:spacing w:after="0"/>
            </w:pPr>
            <w:r>
              <w:t xml:space="preserve">Nagaland</w:t>
            </w:r>
          </w:p>
        </w:tc>
        <w:tc>
          <w:tcPr>
            <w:tcMar>
              <w:top w:type="dxa" w:w="70"/>
              <w:left w:type="dxa" w:w="110"/>
              <w:bottom w:type="dxa" w:w="70"/>
              <w:right w:type="dxa" w:w="110"/>
            </w:tcMar>
          </w:tcPr>
          <w:p>
            <w:pPr>
              <w:spacing w:after="0"/>
            </w:pPr>
            <w:r>
              <w:t xml:space="preserve">Nagaland Single Window Clearance</w:t>
            </w:r>
          </w:p>
        </w:tc>
      </w:tr>
      <w:tr>
        <w:trPr>
          <w:cantSplit/>
          <w:tblHeader w:val="false"/>
        </w:trPr>
        <w:tc>
          <w:tcPr>
            <w:tcMar>
              <w:top w:type="dxa" w:w="70"/>
              <w:left w:type="dxa" w:w="110"/>
              <w:bottom w:type="dxa" w:w="70"/>
              <w:right w:type="dxa" w:w="110"/>
            </w:tcMar>
          </w:tcPr>
          <w:p>
            <w:pPr>
              <w:spacing w:after="0"/>
            </w:pPr>
            <w:r>
              <w:t xml:space="preserve">Odisha</w:t>
            </w:r>
          </w:p>
        </w:tc>
        <w:tc>
          <w:tcPr>
            <w:tcMar>
              <w:top w:type="dxa" w:w="70"/>
              <w:left w:type="dxa" w:w="110"/>
              <w:bottom w:type="dxa" w:w="70"/>
              <w:right w:type="dxa" w:w="110"/>
            </w:tcMar>
          </w:tcPr>
          <w:p>
            <w:pPr>
              <w:spacing w:after="0"/>
            </w:pPr>
            <w:r>
              <w:t xml:space="preserve">GO SWIFT</w:t>
            </w:r>
          </w:p>
        </w:tc>
      </w:tr>
      <w:tr>
        <w:trPr>
          <w:cantSplit/>
          <w:tblHeader w:val="false"/>
        </w:trPr>
        <w:tc>
          <w:tcPr>
            <w:tcMar>
              <w:top w:type="dxa" w:w="70"/>
              <w:left w:type="dxa" w:w="110"/>
              <w:bottom w:type="dxa" w:w="70"/>
              <w:right w:type="dxa" w:w="110"/>
            </w:tcMar>
          </w:tcPr>
          <w:p>
            <w:pPr>
              <w:spacing w:after="0"/>
            </w:pPr>
            <w:r>
              <w:t xml:space="preserve">Punjab</w:t>
            </w:r>
          </w:p>
        </w:tc>
        <w:tc>
          <w:tcPr>
            <w:tcMar>
              <w:top w:type="dxa" w:w="70"/>
              <w:left w:type="dxa" w:w="110"/>
              <w:bottom w:type="dxa" w:w="70"/>
              <w:right w:type="dxa" w:w="110"/>
            </w:tcMar>
          </w:tcPr>
          <w:p>
            <w:pPr>
              <w:spacing w:after="0"/>
            </w:pPr>
            <w:r>
              <w:t xml:space="preserve">Invest Punjab Business First Portal</w:t>
            </w:r>
          </w:p>
        </w:tc>
      </w:tr>
      <w:tr>
        <w:trPr>
          <w:cantSplit/>
          <w:tblHeader w:val="false"/>
        </w:trPr>
        <w:tc>
          <w:tcPr>
            <w:tcMar>
              <w:top w:type="dxa" w:w="70"/>
              <w:left w:type="dxa" w:w="110"/>
              <w:bottom w:type="dxa" w:w="70"/>
              <w:right w:type="dxa" w:w="110"/>
            </w:tcMar>
          </w:tcPr>
          <w:p>
            <w:pPr>
              <w:spacing w:after="0"/>
            </w:pPr>
            <w:r>
              <w:t xml:space="preserve">Rajasthan</w:t>
            </w:r>
          </w:p>
        </w:tc>
        <w:tc>
          <w:tcPr>
            <w:tcMar>
              <w:top w:type="dxa" w:w="70"/>
              <w:left w:type="dxa" w:w="110"/>
              <w:bottom w:type="dxa" w:w="70"/>
              <w:right w:type="dxa" w:w="110"/>
            </w:tcMar>
          </w:tcPr>
          <w:p>
            <w:pPr>
              <w:spacing w:after="0"/>
            </w:pPr>
            <w:r>
              <w:t xml:space="preserve">Raj Nivesh (SSO-linked)</w:t>
            </w:r>
          </w:p>
        </w:tc>
      </w:tr>
      <w:tr>
        <w:trPr>
          <w:cantSplit/>
          <w:tblHeader w:val="false"/>
        </w:trPr>
        <w:tc>
          <w:tcPr>
            <w:tcMar>
              <w:top w:type="dxa" w:w="70"/>
              <w:left w:type="dxa" w:w="110"/>
              <w:bottom w:type="dxa" w:w="70"/>
              <w:right w:type="dxa" w:w="110"/>
            </w:tcMar>
          </w:tcPr>
          <w:p>
            <w:pPr>
              <w:spacing w:after="0"/>
            </w:pPr>
            <w:r>
              <w:t xml:space="preserve">Sikkim</w:t>
            </w:r>
          </w:p>
        </w:tc>
        <w:tc>
          <w:tcPr>
            <w:tcMar>
              <w:top w:type="dxa" w:w="70"/>
              <w:left w:type="dxa" w:w="110"/>
              <w:bottom w:type="dxa" w:w="70"/>
              <w:right w:type="dxa" w:w="110"/>
            </w:tcMar>
          </w:tcPr>
          <w:p>
            <w:pPr>
              <w:spacing w:after="0"/>
            </w:pPr>
            <w:r>
              <w:t xml:space="preserve">Sikkim Single Window Clearance</w:t>
            </w:r>
          </w:p>
        </w:tc>
      </w:tr>
      <w:tr>
        <w:trPr>
          <w:cantSplit/>
          <w:tblHeader w:val="false"/>
        </w:trPr>
        <w:tc>
          <w:tcPr>
            <w:tcMar>
              <w:top w:type="dxa" w:w="70"/>
              <w:left w:type="dxa" w:w="110"/>
              <w:bottom w:type="dxa" w:w="70"/>
              <w:right w:type="dxa" w:w="110"/>
            </w:tcMar>
          </w:tcPr>
          <w:p>
            <w:pPr>
              <w:spacing w:after="0"/>
            </w:pPr>
            <w:r>
              <w:t xml:space="preserve">Tamil Nadu</w:t>
            </w:r>
          </w:p>
        </w:tc>
        <w:tc>
          <w:tcPr>
            <w:tcMar>
              <w:top w:type="dxa" w:w="70"/>
              <w:left w:type="dxa" w:w="110"/>
              <w:bottom w:type="dxa" w:w="70"/>
              <w:right w:type="dxa" w:w="110"/>
            </w:tcMar>
          </w:tcPr>
          <w:p>
            <w:pPr>
              <w:spacing w:after="0"/>
            </w:pPr>
            <w:r>
              <w:t xml:space="preserve">Guidance Tamil Nadu Single Window Portal</w:t>
            </w:r>
          </w:p>
        </w:tc>
      </w:tr>
      <w:tr>
        <w:trPr>
          <w:cantSplit/>
          <w:tblHeader w:val="false"/>
        </w:trPr>
        <w:tc>
          <w:tcPr>
            <w:tcMar>
              <w:top w:type="dxa" w:w="70"/>
              <w:left w:type="dxa" w:w="110"/>
              <w:bottom w:type="dxa" w:w="70"/>
              <w:right w:type="dxa" w:w="110"/>
            </w:tcMar>
          </w:tcPr>
          <w:p>
            <w:pPr>
              <w:spacing w:after="0"/>
            </w:pPr>
            <w:r>
              <w:t xml:space="preserve">Telangana</w:t>
            </w:r>
          </w:p>
        </w:tc>
        <w:tc>
          <w:tcPr>
            <w:tcMar>
              <w:top w:type="dxa" w:w="70"/>
              <w:left w:type="dxa" w:w="110"/>
              <w:bottom w:type="dxa" w:w="70"/>
              <w:right w:type="dxa" w:w="110"/>
            </w:tcMar>
          </w:tcPr>
          <w:p>
            <w:pPr>
              <w:spacing w:after="0"/>
            </w:pPr>
            <w:r>
              <w:t xml:space="preserve">TS-iPASS (statutory right to time-bound clearance)</w:t>
            </w:r>
          </w:p>
        </w:tc>
      </w:tr>
      <w:tr>
        <w:trPr>
          <w:cantSplit/>
          <w:tblHeader w:val="false"/>
        </w:trPr>
        <w:tc>
          <w:tcPr>
            <w:tcMar>
              <w:top w:type="dxa" w:w="70"/>
              <w:left w:type="dxa" w:w="110"/>
              <w:bottom w:type="dxa" w:w="70"/>
              <w:right w:type="dxa" w:w="110"/>
            </w:tcMar>
          </w:tcPr>
          <w:p>
            <w:pPr>
              <w:spacing w:after="0"/>
            </w:pPr>
            <w:r>
              <w:t xml:space="preserve">Tripura</w:t>
            </w:r>
          </w:p>
        </w:tc>
        <w:tc>
          <w:tcPr>
            <w:tcMar>
              <w:top w:type="dxa" w:w="70"/>
              <w:left w:type="dxa" w:w="110"/>
              <w:bottom w:type="dxa" w:w="70"/>
              <w:right w:type="dxa" w:w="110"/>
            </w:tcMar>
          </w:tcPr>
          <w:p>
            <w:pPr>
              <w:spacing w:after="0"/>
            </w:pPr>
            <w:r>
              <w:t xml:space="preserve">Tripura Single Window Agency</w:t>
            </w:r>
          </w:p>
        </w:tc>
      </w:tr>
      <w:tr>
        <w:trPr>
          <w:cantSplit/>
          <w:tblHeader w:val="false"/>
        </w:trPr>
        <w:tc>
          <w:tcPr>
            <w:tcMar>
              <w:top w:type="dxa" w:w="70"/>
              <w:left w:type="dxa" w:w="110"/>
              <w:bottom w:type="dxa" w:w="70"/>
              <w:right w:type="dxa" w:w="110"/>
            </w:tcMar>
          </w:tcPr>
          <w:p>
            <w:pPr>
              <w:spacing w:after="0"/>
            </w:pPr>
            <w:r>
              <w:t xml:space="preserve">Uttar Pradesh</w:t>
            </w:r>
          </w:p>
        </w:tc>
        <w:tc>
          <w:tcPr>
            <w:tcMar>
              <w:top w:type="dxa" w:w="70"/>
              <w:left w:type="dxa" w:w="110"/>
              <w:bottom w:type="dxa" w:w="70"/>
              <w:right w:type="dxa" w:w="110"/>
            </w:tcMar>
          </w:tcPr>
          <w:p>
            <w:pPr>
              <w:spacing w:after="0"/>
            </w:pPr>
            <w:r>
              <w:t xml:space="preserve">Nivesh Mitra</w:t>
            </w:r>
          </w:p>
        </w:tc>
      </w:tr>
      <w:tr>
        <w:trPr>
          <w:cantSplit/>
          <w:tblHeader w:val="false"/>
        </w:trPr>
        <w:tc>
          <w:tcPr>
            <w:tcMar>
              <w:top w:type="dxa" w:w="70"/>
              <w:left w:type="dxa" w:w="110"/>
              <w:bottom w:type="dxa" w:w="70"/>
              <w:right w:type="dxa" w:w="110"/>
            </w:tcMar>
          </w:tcPr>
          <w:p>
            <w:pPr>
              <w:spacing w:after="0"/>
            </w:pPr>
            <w:r>
              <w:t xml:space="preserve">Uttarakhand</w:t>
            </w:r>
          </w:p>
        </w:tc>
        <w:tc>
          <w:tcPr>
            <w:tcMar>
              <w:top w:type="dxa" w:w="70"/>
              <w:left w:type="dxa" w:w="110"/>
              <w:bottom w:type="dxa" w:w="70"/>
              <w:right w:type="dxa" w:w="110"/>
            </w:tcMar>
          </w:tcPr>
          <w:p>
            <w:pPr>
              <w:spacing w:after="0"/>
            </w:pPr>
            <w:r>
              <w:t xml:space="preserve">Uttarakhand Single Window</w:t>
            </w:r>
          </w:p>
        </w:tc>
      </w:tr>
      <w:tr>
        <w:trPr>
          <w:cantSplit/>
          <w:tblHeader w:val="false"/>
        </w:trPr>
        <w:tc>
          <w:tcPr>
            <w:tcMar>
              <w:top w:type="dxa" w:w="70"/>
              <w:left w:type="dxa" w:w="110"/>
              <w:bottom w:type="dxa" w:w="70"/>
              <w:right w:type="dxa" w:w="110"/>
            </w:tcMar>
          </w:tcPr>
          <w:p>
            <w:pPr>
              <w:spacing w:after="0"/>
            </w:pPr>
            <w:r>
              <w:t xml:space="preserve">West Bengal</w:t>
            </w:r>
          </w:p>
        </w:tc>
        <w:tc>
          <w:tcPr>
            <w:tcMar>
              <w:top w:type="dxa" w:w="70"/>
              <w:left w:type="dxa" w:w="110"/>
              <w:bottom w:type="dxa" w:w="70"/>
              <w:right w:type="dxa" w:w="110"/>
            </w:tcMar>
          </w:tcPr>
          <w:p>
            <w:pPr>
              <w:spacing w:after="0"/>
            </w:pPr>
            <w:r>
              <w:t xml:space="preserve">Silpasathi</w:t>
            </w:r>
          </w:p>
        </w:tc>
      </w:tr>
      <w:tr>
        <w:trPr>
          <w:cantSplit/>
          <w:tblHeader w:val="false"/>
        </w:trPr>
        <w:tc>
          <w:tcPr>
            <w:tcMar>
              <w:top w:type="dxa" w:w="70"/>
              <w:left w:type="dxa" w:w="110"/>
              <w:bottom w:type="dxa" w:w="70"/>
              <w:right w:type="dxa" w:w="110"/>
            </w:tcMar>
          </w:tcPr>
          <w:p>
            <w:pPr>
              <w:spacing w:after="0"/>
            </w:pPr>
            <w:r>
              <w:t xml:space="preserve">Delhi</w:t>
            </w:r>
          </w:p>
        </w:tc>
        <w:tc>
          <w:tcPr>
            <w:tcMar>
              <w:top w:type="dxa" w:w="70"/>
              <w:left w:type="dxa" w:w="110"/>
              <w:bottom w:type="dxa" w:w="70"/>
              <w:right w:type="dxa" w:w="110"/>
            </w:tcMar>
          </w:tcPr>
          <w:p>
            <w:pPr>
              <w:spacing w:after="0"/>
            </w:pPr>
            <w:r>
              <w:t xml:space="preserve">Delhi e-District / Single Window</w:t>
            </w:r>
          </w:p>
        </w:tc>
      </w:tr>
      <w:tr>
        <w:trPr>
          <w:cantSplit/>
          <w:tblHeader w:val="false"/>
        </w:trPr>
        <w:tc>
          <w:tcPr>
            <w:tcMar>
              <w:top w:type="dxa" w:w="70"/>
              <w:left w:type="dxa" w:w="110"/>
              <w:bottom w:type="dxa" w:w="70"/>
              <w:right w:type="dxa" w:w="110"/>
            </w:tcMar>
          </w:tcPr>
          <w:p>
            <w:pPr>
              <w:spacing w:after="0"/>
            </w:pPr>
            <w:r>
              <w:t xml:space="preserve">Jammu &amp; Kashmir</w:t>
            </w:r>
          </w:p>
        </w:tc>
        <w:tc>
          <w:tcPr>
            <w:tcMar>
              <w:top w:type="dxa" w:w="70"/>
              <w:left w:type="dxa" w:w="110"/>
              <w:bottom w:type="dxa" w:w="70"/>
              <w:right w:type="dxa" w:w="110"/>
            </w:tcMar>
          </w:tcPr>
          <w:p>
            <w:pPr>
              <w:spacing w:after="0"/>
            </w:pPr>
            <w:r>
              <w:t xml:space="preserve">J&amp;K Single Window Clearance</w:t>
            </w:r>
          </w:p>
        </w:tc>
      </w:tr>
      <w:tr>
        <w:trPr>
          <w:cantSplit/>
          <w:tblHeader w:val="false"/>
        </w:trPr>
        <w:tc>
          <w:tcPr>
            <w:tcMar>
              <w:top w:type="dxa" w:w="70"/>
              <w:left w:type="dxa" w:w="110"/>
              <w:bottom w:type="dxa" w:w="70"/>
              <w:right w:type="dxa" w:w="110"/>
            </w:tcMar>
          </w:tcPr>
          <w:p>
            <w:pPr>
              <w:spacing w:after="0"/>
            </w:pPr>
            <w:r>
              <w:t xml:space="preserve">Puducherry</w:t>
            </w:r>
          </w:p>
        </w:tc>
        <w:tc>
          <w:tcPr>
            <w:tcMar>
              <w:top w:type="dxa" w:w="70"/>
              <w:left w:type="dxa" w:w="110"/>
              <w:bottom w:type="dxa" w:w="70"/>
              <w:right w:type="dxa" w:w="110"/>
            </w:tcMar>
          </w:tcPr>
          <w:p>
            <w:pPr>
              <w:spacing w:after="0"/>
            </w:pPr>
            <w:r>
              <w:t xml:space="preserve">Puducherry Single Window Portal</w:t>
            </w:r>
          </w:p>
        </w:tc>
      </w:tr>
      <w:tr>
        <w:trPr>
          <w:cantSplit/>
          <w:tblHeader w:val="false"/>
        </w:trPr>
        <w:tc>
          <w:tcPr>
            <w:tcMar>
              <w:top w:type="dxa" w:w="70"/>
              <w:left w:type="dxa" w:w="110"/>
              <w:bottom w:type="dxa" w:w="70"/>
              <w:right w:type="dxa" w:w="110"/>
            </w:tcMar>
          </w:tcPr>
          <w:p>
            <w:pPr>
              <w:spacing w:after="0"/>
            </w:pPr>
            <w:r>
              <w:t xml:space="preserve">Chandigarh</w:t>
            </w:r>
          </w:p>
        </w:tc>
        <w:tc>
          <w:tcPr>
            <w:tcMar>
              <w:top w:type="dxa" w:w="70"/>
              <w:left w:type="dxa" w:w="110"/>
              <w:bottom w:type="dxa" w:w="70"/>
              <w:right w:type="dxa" w:w="110"/>
            </w:tcMar>
          </w:tcPr>
          <w:p>
            <w:pPr>
              <w:spacing w:after="0"/>
            </w:pPr>
            <w:r>
              <w:t xml:space="preserve">Chandigarh Business Portal</w:t>
            </w:r>
          </w:p>
        </w:tc>
      </w:tr>
      <w:tr>
        <w:trPr>
          <w:cantSplit/>
          <w:tblHeader w:val="false"/>
        </w:trPr>
        <w:tc>
          <w:tcPr>
            <w:tcMar>
              <w:top w:type="dxa" w:w="70"/>
              <w:left w:type="dxa" w:w="110"/>
              <w:bottom w:type="dxa" w:w="70"/>
              <w:right w:type="dxa" w:w="110"/>
            </w:tcMar>
          </w:tcPr>
          <w:p>
            <w:pPr>
              <w:spacing w:after="0"/>
            </w:pPr>
            <w:r>
              <w:t xml:space="preserve">A&amp;N, Lakshadweep, Ladakh, DNH &amp; DD</w:t>
            </w:r>
          </w:p>
        </w:tc>
        <w:tc>
          <w:tcPr>
            <w:tcMar>
              <w:top w:type="dxa" w:w="70"/>
              <w:left w:type="dxa" w:w="110"/>
              <w:bottom w:type="dxa" w:w="70"/>
              <w:right w:type="dxa" w:w="110"/>
            </w:tcMar>
          </w:tcPr>
          <w:p>
            <w:pPr>
              <w:spacing w:after="0"/>
            </w:pPr>
            <w:r>
              <w:t xml:space="preserve">Administrator-run departmental portals; NSWS used as front-end</w:t>
            </w:r>
          </w:p>
        </w:tc>
      </w:tr>
    </w:tbl>
    <w:p>
      <w:pPr>
        <w:spacing w:after="40"/>
      </w:pPr>
    </w:p>
    <w:p>
      <w:r>
        <w:rPr>
          <w:b/>
          <w:bCs/>
        </w:rPr>
        <w:t xml:space="preserve">TS-iPASS deserves special mention</w:t>
      </w:r>
      <w:r>
        <w:t xml:space="preserve"> as the structurally strongest of these: it is not merely a portal but a statute that confers a </w:t>
      </w:r>
      <w:r>
        <w:rPr>
          <w:i/>
          <w:iCs/>
        </w:rPr>
        <w:t xml:space="preserve">right</w:t>
      </w:r>
      <w:r>
        <w:t xml:space="preserve"> to deemed approval if the department does not act within the stipulated period. Most other single-window systems are administrative conveniences without that legal teeth.</w:t>
      </w:r>
    </w:p>
    <w:p>
      <w:pPr>
        <w:pStyle w:val="Heading1"/>
        <w:keepNext/>
        <w:keepLines/>
        <w:pBdr>
          <w:bottom w:val="single" w:color="2157CF" w:sz="8" w:space="3"/>
        </w:pBdr>
      </w:pPr>
      <w:r>
        <w:t xml:space="preserve">3. Taxation</w:t>
      </w:r>
    </w:p>
    <w:p>
      <w:pPr>
        <w:pStyle w:val="Heading2"/>
        <w:keepNext/>
        <w:keepLines/>
      </w:pPr>
      <w:r>
        <w:t xml:space="preserve">3.1 GST — Uniform Rates, Divergent Administration</w:t>
      </w:r>
    </w:p>
    <w:p>
      <w:pPr>
        <w:pStyle w:val="Heading3"/>
        <w:keepNext/>
        <w:keepLines/>
      </w:pPr>
      <w:r>
        <w:t xml:space="preserve">3.1.1 The Uniform Layer</w:t>
      </w:r>
    </w:p>
    <w:p>
      <w:r>
        <w:t xml:space="preserve">Set centrally by the GST Council and identical nationwide:</w:t>
      </w:r>
    </w:p>
    <w:p>
      <w:pPr>
        <w:pStyle w:val="ListParagraph"/>
        <w:numPr>
          <w:ilvl w:val="0"/>
          <w:numId w:val="1"/>
        </w:numPr>
        <w:spacing w:after="60"/>
      </w:pPr>
      <w:r>
        <w:rPr>
          <w:b/>
          <w:bCs/>
        </w:rPr>
        <w:t xml:space="preserve">Rate slabs</w:t>
      </w:r>
      <w:r>
        <w:t xml:space="preserve"> and the classification of goods and services into them.</w:t>
      </w:r>
    </w:p>
    <w:p>
      <w:pPr>
        <w:pStyle w:val="ListParagraph"/>
        <w:numPr>
          <w:ilvl w:val="0"/>
          <w:numId w:val="1"/>
        </w:numPr>
        <w:spacing w:after="60"/>
      </w:pPr>
      <w:r>
        <w:rPr>
          <w:b/>
          <w:bCs/>
        </w:rPr>
        <w:t xml:space="preserve">CGST + SGST</w:t>
      </w:r>
      <w:r>
        <w:t xml:space="preserve"> for intra-state supply; </w:t>
      </w:r>
      <w:r>
        <w:rPr>
          <w:b/>
          <w:bCs/>
        </w:rPr>
        <w:t xml:space="preserve">IGST</w:t>
      </w:r>
      <w:r>
        <w:t xml:space="preserve"> for inter-state; </w:t>
      </w:r>
      <w:r>
        <w:rPr>
          <w:b/>
          <w:bCs/>
        </w:rPr>
        <w:t xml:space="preserve">UTGST</w:t>
      </w:r>
      <w:r>
        <w:t xml:space="preserve"> in UTs without a legislature.</w:t>
      </w:r>
    </w:p>
    <w:p>
      <w:pPr>
        <w:pStyle w:val="ListParagraph"/>
        <w:numPr>
          <w:ilvl w:val="0"/>
          <w:numId w:val="1"/>
        </w:numPr>
        <w:spacing w:after="60"/>
      </w:pPr>
      <w:r>
        <w:rPr>
          <w:b/>
          <w:bCs/>
        </w:rPr>
        <w:t xml:space="preserve">Return forms</w:t>
      </w:r>
      <w:r>
        <w:t xml:space="preserve"> — GSTR-1, GSTR-3B, GSTR-9, GSTR-9C.</w:t>
      </w:r>
    </w:p>
    <w:p>
      <w:pPr>
        <w:pStyle w:val="ListParagraph"/>
        <w:numPr>
          <w:ilvl w:val="0"/>
          <w:numId w:val="1"/>
        </w:numPr>
        <w:spacing w:after="60"/>
      </w:pPr>
      <w:r>
        <w:rPr>
          <w:b/>
          <w:bCs/>
        </w:rPr>
        <w:t xml:space="preserve">Input tax credit rules</w:t>
      </w:r>
      <w:r>
        <w:t xml:space="preserve">, e-invoicing thresholds, reverse charge list.</w:t>
      </w:r>
    </w:p>
    <w:p>
      <w:pPr>
        <w:pStyle w:val="ListParagraph"/>
        <w:numPr>
          <w:ilvl w:val="0"/>
          <w:numId w:val="1"/>
        </w:numPr>
        <w:spacing w:after="60"/>
      </w:pPr>
      <w:r>
        <w:rPr>
          <w:b/>
          <w:bCs/>
        </w:rPr>
        <w:t xml:space="preserve">Composition scheme</w:t>
      </w:r>
      <w:r>
        <w:t xml:space="preserve"> — ₹1.5 crore turnover for goods (₹75 lakh in special category states), ₹50 lakh for services.</w:t>
      </w:r>
    </w:p>
    <w:p>
      <w:pPr>
        <w:pStyle w:val="Heading3"/>
        <w:keepNext/>
        <w:keepLines/>
      </w:pPr>
      <w:r>
        <w:t xml:space="preserve">3.1.2 Where GST Still Varies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Variable</w:t>
            </w:r>
          </w:p>
        </w:tc>
        <w:tc>
          <w:tcPr>
            <w:shd w:fill="F0F4FE"/>
            <w:tcMar>
              <w:top w:type="dxa" w:w="70"/>
              <w:left w:type="dxa" w:w="110"/>
              <w:bottom w:type="dxa" w:w="70"/>
              <w:right w:type="dxa" w:w="110"/>
            </w:tcMar>
          </w:tcPr>
          <w:p>
            <w:pPr>
              <w:spacing w:after="0"/>
            </w:pPr>
            <w:r>
              <w:rPr>
                <w:b/>
                <w:bCs/>
                <w:color w:val="112D6A"/>
              </w:rPr>
              <w:t xml:space="preserve">Nature of Difference</w:t>
            </w:r>
          </w:p>
        </w:tc>
      </w:tr>
      <w:tr>
        <w:trPr>
          <w:cantSplit/>
          <w:tblHeader w:val="false"/>
        </w:trPr>
        <w:tc>
          <w:tcPr>
            <w:tcMar>
              <w:top w:type="dxa" w:w="70"/>
              <w:left w:type="dxa" w:w="110"/>
              <w:bottom w:type="dxa" w:w="70"/>
              <w:right w:type="dxa" w:w="110"/>
            </w:tcMar>
          </w:tcPr>
          <w:p>
            <w:pPr>
              <w:spacing w:after="0"/>
            </w:pPr>
            <w:r>
              <w:rPr>
                <w:b/>
                <w:bCs/>
              </w:rPr>
              <w:t xml:space="preserve">Registration threshold</w:t>
            </w:r>
          </w:p>
        </w:tc>
        <w:tc>
          <w:tcPr>
            <w:tcMar>
              <w:top w:type="dxa" w:w="70"/>
              <w:left w:type="dxa" w:w="110"/>
              <w:bottom w:type="dxa" w:w="70"/>
              <w:right w:type="dxa" w:w="110"/>
            </w:tcMar>
          </w:tcPr>
          <w:p>
            <w:pPr>
              <w:spacing w:after="0"/>
            </w:pPr>
            <w:r>
              <w:t xml:space="preserve">₹40 lakh (goods) / ₹20 lakh (services) in most states; ₹20 lakh / ₹10 lakh in special category states — Arunachal Pradesh, Manipur, Meghalaya, Mizoram, Nagaland, Sikkim, Tripura, Uttarakhand and Puducherry. Some of these opted up to the higher threshold; the position has changed several times.</w:t>
            </w:r>
          </w:p>
        </w:tc>
      </w:tr>
      <w:tr>
        <w:trPr>
          <w:cantSplit/>
          <w:tblHeader w:val="false"/>
        </w:trPr>
        <w:tc>
          <w:tcPr>
            <w:tcMar>
              <w:top w:type="dxa" w:w="70"/>
              <w:left w:type="dxa" w:w="110"/>
              <w:bottom w:type="dxa" w:w="70"/>
              <w:right w:type="dxa" w:w="110"/>
            </w:tcMar>
          </w:tcPr>
          <w:p>
            <w:pPr>
              <w:spacing w:after="0"/>
            </w:pPr>
            <w:r>
              <w:rPr>
                <w:b/>
                <w:bCs/>
              </w:rPr>
              <w:t xml:space="preserve">Intra-state e-way bill threshold</w:t>
            </w:r>
          </w:p>
        </w:tc>
        <w:tc>
          <w:tcPr>
            <w:tcMar>
              <w:top w:type="dxa" w:w="70"/>
              <w:left w:type="dxa" w:w="110"/>
              <w:bottom w:type="dxa" w:w="70"/>
              <w:right w:type="dxa" w:w="110"/>
            </w:tcMar>
          </w:tcPr>
          <w:p>
            <w:pPr>
              <w:spacing w:after="0"/>
            </w:pPr>
            <w:r>
              <w:t xml:space="preserve">Default ₹50,000, but states set their own for intra-state movement — several exempt intra-city movement, some raised the limit to ₹1 lakh, Delhi and West Bengal have their own carve-outs</w:t>
            </w:r>
          </w:p>
        </w:tc>
      </w:tr>
      <w:tr>
        <w:trPr>
          <w:cantSplit/>
          <w:tblHeader w:val="false"/>
        </w:trPr>
        <w:tc>
          <w:tcPr>
            <w:tcMar>
              <w:top w:type="dxa" w:w="70"/>
              <w:left w:type="dxa" w:w="110"/>
              <w:bottom w:type="dxa" w:w="70"/>
              <w:right w:type="dxa" w:w="110"/>
            </w:tcMar>
          </w:tcPr>
          <w:p>
            <w:pPr>
              <w:spacing w:after="0"/>
            </w:pPr>
            <w:r>
              <w:rPr>
                <w:b/>
                <w:bCs/>
              </w:rPr>
              <w:t xml:space="preserve">Administrative allocation</w:t>
            </w:r>
          </w:p>
        </w:tc>
        <w:tc>
          <w:tcPr>
            <w:tcMar>
              <w:top w:type="dxa" w:w="70"/>
              <w:left w:type="dxa" w:w="110"/>
              <w:bottom w:type="dxa" w:w="70"/>
              <w:right w:type="dxa" w:w="110"/>
            </w:tcMar>
          </w:tcPr>
          <w:p>
            <w:pPr>
              <w:spacing w:after="0"/>
            </w:pPr>
            <w:r>
              <w:t xml:space="preserve">Taxpayers are divided between central and state officers by a 90:10 split below ₹1.5 crore turnover and 50:50 above; which officer you get is a matter of allocation</w:t>
            </w:r>
          </w:p>
        </w:tc>
      </w:tr>
      <w:tr>
        <w:trPr>
          <w:cantSplit/>
          <w:tblHeader w:val="false"/>
        </w:trPr>
        <w:tc>
          <w:tcPr>
            <w:tcMar>
              <w:top w:type="dxa" w:w="70"/>
              <w:left w:type="dxa" w:w="110"/>
              <w:bottom w:type="dxa" w:w="70"/>
              <w:right w:type="dxa" w:w="110"/>
            </w:tcMar>
          </w:tcPr>
          <w:p>
            <w:pPr>
              <w:spacing w:after="0"/>
            </w:pPr>
            <w:r>
              <w:rPr>
                <w:b/>
                <w:bCs/>
              </w:rPr>
              <w:t xml:space="preserve">Audit and scrutiny intensity</w:t>
            </w:r>
          </w:p>
        </w:tc>
        <w:tc>
          <w:tcPr>
            <w:tcMar>
              <w:top w:type="dxa" w:w="70"/>
              <w:left w:type="dxa" w:w="110"/>
              <w:bottom w:type="dxa" w:w="70"/>
              <w:right w:type="dxa" w:w="110"/>
            </w:tcMar>
          </w:tcPr>
          <w:p>
            <w:pPr>
              <w:spacing w:after="0"/>
            </w:pPr>
            <w:r>
              <w:t xml:space="preserve">Entirely a function of the state commissionerate’s practice</w:t>
            </w:r>
          </w:p>
        </w:tc>
      </w:tr>
      <w:tr>
        <w:trPr>
          <w:cantSplit/>
          <w:tblHeader w:val="false"/>
        </w:trPr>
        <w:tc>
          <w:tcPr>
            <w:tcMar>
              <w:top w:type="dxa" w:w="70"/>
              <w:left w:type="dxa" w:w="110"/>
              <w:bottom w:type="dxa" w:w="70"/>
              <w:right w:type="dxa" w:w="110"/>
            </w:tcMar>
          </w:tcPr>
          <w:p>
            <w:pPr>
              <w:spacing w:after="0"/>
            </w:pPr>
            <w:r>
              <w:rPr>
                <w:b/>
                <w:bCs/>
              </w:rPr>
              <w:t xml:space="preserve">Refund processing time</w:t>
            </w:r>
          </w:p>
        </w:tc>
        <w:tc>
          <w:tcPr>
            <w:tcMar>
              <w:top w:type="dxa" w:w="70"/>
              <w:left w:type="dxa" w:w="110"/>
              <w:bottom w:type="dxa" w:w="70"/>
              <w:right w:type="dxa" w:w="110"/>
            </w:tcMar>
          </w:tcPr>
          <w:p>
            <w:pPr>
              <w:spacing w:after="0"/>
            </w:pPr>
            <w:r>
              <w:t xml:space="preserve">Notoriously variable — exporters report materially different turnaround by state</w:t>
            </w:r>
          </w:p>
        </w:tc>
      </w:tr>
      <w:tr>
        <w:trPr>
          <w:cantSplit/>
          <w:tblHeader w:val="false"/>
        </w:trPr>
        <w:tc>
          <w:tcPr>
            <w:tcMar>
              <w:top w:type="dxa" w:w="70"/>
              <w:left w:type="dxa" w:w="110"/>
              <w:bottom w:type="dxa" w:w="70"/>
              <w:right w:type="dxa" w:w="110"/>
            </w:tcMar>
          </w:tcPr>
          <w:p>
            <w:pPr>
              <w:spacing w:after="0"/>
            </w:pPr>
            <w:r>
              <w:rPr>
                <w:b/>
                <w:bCs/>
              </w:rPr>
              <w:t xml:space="preserve">UTGST vs SGST</w:t>
            </w:r>
          </w:p>
        </w:tc>
        <w:tc>
          <w:tcPr>
            <w:tcMar>
              <w:top w:type="dxa" w:w="70"/>
              <w:left w:type="dxa" w:w="110"/>
              <w:bottom w:type="dxa" w:w="70"/>
              <w:right w:type="dxa" w:w="110"/>
            </w:tcMar>
          </w:tcPr>
          <w:p>
            <w:pPr>
              <w:spacing w:after="0"/>
            </w:pPr>
            <w:r>
              <w:t xml:space="preserve">Delhi, Puducherry and J&amp;K levy SGST (they have legislatures); A&amp;N, Lakshadweep, Chandigarh, Ladakh and DNH &amp; DD levy UTGST</w:t>
            </w:r>
          </w:p>
        </w:tc>
      </w:tr>
      <w:tr>
        <w:trPr>
          <w:cantSplit/>
          <w:tblHeader w:val="false"/>
        </w:trPr>
        <w:tc>
          <w:tcPr>
            <w:tcMar>
              <w:top w:type="dxa" w:w="70"/>
              <w:left w:type="dxa" w:w="110"/>
              <w:bottom w:type="dxa" w:w="70"/>
              <w:right w:type="dxa" w:w="110"/>
            </w:tcMar>
          </w:tcPr>
          <w:p>
            <w:pPr>
              <w:spacing w:after="0"/>
            </w:pPr>
            <w:r>
              <w:rPr>
                <w:b/>
                <w:bCs/>
              </w:rPr>
              <w:t xml:space="preserve">State-specific advance rulings</w:t>
            </w:r>
          </w:p>
        </w:tc>
        <w:tc>
          <w:tcPr>
            <w:tcMar>
              <w:top w:type="dxa" w:w="70"/>
              <w:left w:type="dxa" w:w="110"/>
              <w:bottom w:type="dxa" w:w="70"/>
              <w:right w:type="dxa" w:w="110"/>
            </w:tcMar>
          </w:tcPr>
          <w:p>
            <w:pPr>
              <w:spacing w:after="0"/>
            </w:pPr>
            <w:r>
              <w:t xml:space="preserve">The AAR is constituted state-wise, and rulings routinely conflict between states on identical facts — a genuine source of legal uncertainty</w:t>
            </w:r>
          </w:p>
        </w:tc>
      </w:tr>
    </w:tbl>
    <w:p>
      <w:pPr>
        <w:spacing w:after="40"/>
      </w:pPr>
    </w:p>
    <w:p>
      <w:pPr>
        <w:pStyle w:val="Heading3"/>
        <w:keepNext/>
        <w:keepLines/>
      </w:pPr>
      <w:r>
        <w:t xml:space="preserve">3.1.3 What GST Replaced</w:t>
      </w:r>
    </w:p>
    <w:p>
      <w:r>
        <w:t xml:space="preserve">Understanding what GST subsumed clarifies what remains a state levy:</w:t>
      </w:r>
    </w:p>
    <w:p>
      <w:r>
        <w:rPr>
          <w:b/>
          <w:bCs/>
        </w:rPr>
        <w:t xml:space="preserve">Subsumed:</w:t>
      </w:r>
      <w:r>
        <w:t xml:space="preserve"> VAT/sales tax, central excise, service tax, entry tax, octroi, luxury tax, entertainment tax (except that levied by local bodies), purchase tax, CST.</w:t>
      </w:r>
    </w:p>
    <w:p>
      <w:r>
        <w:rPr>
          <w:b/>
          <w:bCs/>
        </w:rPr>
        <w:t xml:space="preserve">NOT subsumed and still purely state:</w:t>
      </w:r>
      <w:r>
        <w:t xml:space="preserve"> stamp duty, professional tax, property tax, electricity duty, motor vehicle tax, state excise on alcohol for human consumption, VAT on petrol, diesel, ATF, natural gas and crude oil, and land revenue.</w:t>
      </w:r>
    </w:p>
    <w:p>
      <w:r>
        <w:t xml:space="preserve">That last list is the entire remaining battleground of state fiscal autonomy, and it is exactly where compliance divergence is worst.</w:t>
      </w:r>
    </w:p>
    <w:p>
      <w:pPr>
        <w:pStyle w:val="Heading2"/>
        <w:keepNext/>
        <w:keepLines/>
      </w:pPr>
      <w:r>
        <w:t xml:space="preserve">3.2 Professional Tax — The Clearest Case of State Variation</w:t>
      </w:r>
    </w:p>
    <w:p>
      <w:pPr>
        <w:pStyle w:val="Heading3"/>
        <w:keepNext/>
        <w:keepLines/>
      </w:pPr>
      <w:r>
        <w:t xml:space="preserve">3.2.1 The Framework</w:t>
      </w:r>
    </w:p>
    <w:p>
      <w:r>
        <w:t xml:space="preserve">Levied under </w:t>
      </w:r>
      <w:r>
        <w:rPr>
          <w:b/>
          <w:bCs/>
        </w:rPr>
        <w:t xml:space="preserve">Article 276</w:t>
      </w:r>
      <w:r>
        <w:t xml:space="preserve">, constitutionally capped at </w:t>
      </w:r>
      <w:r>
        <w:rPr>
          <w:b/>
          <w:bCs/>
        </w:rPr>
        <w:t xml:space="preserve">₹2,500 per person per year</w:t>
      </w:r>
      <w:r>
        <w:t xml:space="preserve">. The cap has not been revised since 1988, which is why the tax has become largely symbolic in revenue terms but remains a live compliance obligation.</w:t>
      </w:r>
    </w:p>
    <w:p>
      <w:r>
        <w:t xml:space="preserve">Two registrations are usually required:</w:t>
      </w:r>
    </w:p>
    <w:p>
      <w:pPr>
        <w:pStyle w:val="ListParagraph"/>
        <w:numPr>
          <w:ilvl w:val="0"/>
          <w:numId w:val="1"/>
        </w:numPr>
        <w:spacing w:after="60"/>
      </w:pPr>
      <w:r>
        <w:rPr>
          <w:b/>
          <w:bCs/>
        </w:rPr>
        <w:t xml:space="preserve">PTEC (Professional Tax Enrolment Certificate)</w:t>
      </w:r>
      <w:r>
        <w:t xml:space="preserve"> — for the business entity’s own liability, and for directors/partners/proprietors.</w:t>
      </w:r>
    </w:p>
    <w:p>
      <w:pPr>
        <w:pStyle w:val="ListParagraph"/>
        <w:numPr>
          <w:ilvl w:val="0"/>
          <w:numId w:val="1"/>
        </w:numPr>
        <w:spacing w:after="60"/>
      </w:pPr>
      <w:r>
        <w:rPr>
          <w:b/>
          <w:bCs/>
        </w:rPr>
        <w:t xml:space="preserve">PTRC (Professional Tax Registration Certificate)</w:t>
      </w:r>
      <w:r>
        <w:t xml:space="preserve"> — authorising the employer to deduct tax from employee salaries and remit it.</w:t>
      </w:r>
    </w:p>
    <w:p>
      <w:pPr>
        <w:pStyle w:val="Heading3"/>
        <w:keepNext/>
        <w:keepLines/>
      </w:pPr>
      <w:r>
        <w:t xml:space="preserve">3.2.2 States and UTs That Levy Professional Tax</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State / UT</w:t>
            </w:r>
          </w:p>
        </w:tc>
        <w:tc>
          <w:tcPr>
            <w:shd w:fill="F0F4FE"/>
            <w:tcMar>
              <w:top w:type="dxa" w:w="70"/>
              <w:left w:type="dxa" w:w="110"/>
              <w:bottom w:type="dxa" w:w="70"/>
              <w:right w:type="dxa" w:w="110"/>
            </w:tcMar>
          </w:tcPr>
          <w:p>
            <w:pPr>
              <w:spacing w:after="0"/>
            </w:pPr>
            <w:r>
              <w:rPr>
                <w:b/>
                <w:bCs/>
                <w:color w:val="112D6A"/>
              </w:rPr>
              <w:t xml:space="preserve">Governing Statute</w:t>
            </w:r>
          </w:p>
        </w:tc>
        <w:tc>
          <w:tcPr>
            <w:shd w:fill="F0F4FE"/>
            <w:tcMar>
              <w:top w:type="dxa" w:w="70"/>
              <w:left w:type="dxa" w:w="110"/>
              <w:bottom w:type="dxa" w:w="70"/>
              <w:right w:type="dxa" w:w="110"/>
            </w:tcMar>
          </w:tcPr>
          <w:p>
            <w:pPr>
              <w:spacing w:after="0"/>
            </w:pPr>
            <w:r>
              <w:rPr>
                <w:b/>
                <w:bCs/>
                <w:color w:val="112D6A"/>
              </w:rPr>
              <w:t xml:space="preserve">Collecting Authority</w:t>
            </w:r>
          </w:p>
        </w:tc>
        <w:tc>
          <w:tcPr>
            <w:shd w:fill="F0F4FE"/>
            <w:tcMar>
              <w:top w:type="dxa" w:w="70"/>
              <w:left w:type="dxa" w:w="110"/>
              <w:bottom w:type="dxa" w:w="70"/>
              <w:right w:type="dxa" w:w="110"/>
            </w:tcMar>
          </w:tcPr>
          <w:p>
            <w:pPr>
              <w:spacing w:after="0"/>
            </w:pPr>
            <w:r>
              <w:rPr>
                <w:b/>
                <w:bCs/>
                <w:color w:val="112D6A"/>
              </w:rPr>
              <w:t xml:space="preserve">Payment Cycle</w:t>
            </w:r>
          </w:p>
        </w:tc>
      </w:tr>
      <w:tr>
        <w:trPr>
          <w:cantSplit/>
          <w:tblHeader w:val="false"/>
        </w:trPr>
        <w:tc>
          <w:tcPr>
            <w:tcMar>
              <w:top w:type="dxa" w:w="70"/>
              <w:left w:type="dxa" w:w="110"/>
              <w:bottom w:type="dxa" w:w="70"/>
              <w:right w:type="dxa" w:w="110"/>
            </w:tcMar>
          </w:tcPr>
          <w:p>
            <w:pPr>
              <w:spacing w:after="0"/>
            </w:pPr>
            <w:r>
              <w:t xml:space="preserve">Andhra Pradesh</w:t>
            </w:r>
          </w:p>
        </w:tc>
        <w:tc>
          <w:tcPr>
            <w:tcMar>
              <w:top w:type="dxa" w:w="70"/>
              <w:left w:type="dxa" w:w="110"/>
              <w:bottom w:type="dxa" w:w="70"/>
              <w:right w:type="dxa" w:w="110"/>
            </w:tcMar>
          </w:tcPr>
          <w:p>
            <w:pPr>
              <w:spacing w:after="0"/>
            </w:pPr>
            <w:r>
              <w:t xml:space="preserve">AP Tax on Professions, Trades, Callings &amp; Employments Act, 1987</w:t>
            </w:r>
          </w:p>
        </w:tc>
        <w:tc>
          <w:tcPr>
            <w:tcMar>
              <w:top w:type="dxa" w:w="70"/>
              <w:left w:type="dxa" w:w="110"/>
              <w:bottom w:type="dxa" w:w="70"/>
              <w:right w:type="dxa" w:w="110"/>
            </w:tcMar>
          </w:tcPr>
          <w:p>
            <w:pPr>
              <w:spacing w:after="0"/>
            </w:pPr>
            <w:r>
              <w:t xml:space="preserve">Commercial Taxes Dept</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Assam</w:t>
            </w:r>
          </w:p>
        </w:tc>
        <w:tc>
          <w:tcPr>
            <w:tcMar>
              <w:top w:type="dxa" w:w="70"/>
              <w:left w:type="dxa" w:w="110"/>
              <w:bottom w:type="dxa" w:w="70"/>
              <w:right w:type="dxa" w:w="110"/>
            </w:tcMar>
          </w:tcPr>
          <w:p>
            <w:pPr>
              <w:spacing w:after="0"/>
            </w:pPr>
            <w:r>
              <w:t xml:space="preserve">Assam Professions, Trades, Callings &amp; Employments Taxation Act, 1947</w:t>
            </w:r>
          </w:p>
        </w:tc>
        <w:tc>
          <w:tcPr>
            <w:tcMar>
              <w:top w:type="dxa" w:w="70"/>
              <w:left w:type="dxa" w:w="110"/>
              <w:bottom w:type="dxa" w:w="70"/>
              <w:right w:type="dxa" w:w="110"/>
            </w:tcMar>
          </w:tcPr>
          <w:p>
            <w:pPr>
              <w:spacing w:after="0"/>
            </w:pPr>
            <w:r>
              <w:t xml:space="preserve">Commissionerate of Taxes</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Bihar</w:t>
            </w:r>
          </w:p>
        </w:tc>
        <w:tc>
          <w:tcPr>
            <w:tcMar>
              <w:top w:type="dxa" w:w="70"/>
              <w:left w:type="dxa" w:w="110"/>
              <w:bottom w:type="dxa" w:w="70"/>
              <w:right w:type="dxa" w:w="110"/>
            </w:tcMar>
          </w:tcPr>
          <w:p>
            <w:pPr>
              <w:spacing w:after="0"/>
            </w:pPr>
            <w:r>
              <w:t xml:space="preserve">Bihar Tax on Professions, Trades, Callings &amp; Employments Act, 2011</w:t>
            </w:r>
          </w:p>
        </w:tc>
        <w:tc>
          <w:tcPr>
            <w:tcMar>
              <w:top w:type="dxa" w:w="70"/>
              <w:left w:type="dxa" w:w="110"/>
              <w:bottom w:type="dxa" w:w="70"/>
              <w:right w:type="dxa" w:w="110"/>
            </w:tcMar>
          </w:tcPr>
          <w:p>
            <w:pPr>
              <w:spacing w:after="0"/>
            </w:pPr>
            <w:r>
              <w:t xml:space="preserve">Commercial Taxes Dept</w:t>
            </w:r>
          </w:p>
        </w:tc>
        <w:tc>
          <w:tcPr>
            <w:tcMar>
              <w:top w:type="dxa" w:w="70"/>
              <w:left w:type="dxa" w:w="110"/>
              <w:bottom w:type="dxa" w:w="70"/>
              <w:right w:type="dxa" w:w="110"/>
            </w:tcMar>
          </w:tcPr>
          <w:p>
            <w:pPr>
              <w:spacing w:after="0"/>
            </w:pPr>
            <w:r>
              <w:t xml:space="preserve">Annual</w:t>
            </w:r>
          </w:p>
        </w:tc>
      </w:tr>
      <w:tr>
        <w:trPr>
          <w:cantSplit/>
          <w:tblHeader w:val="false"/>
        </w:trPr>
        <w:tc>
          <w:tcPr>
            <w:tcMar>
              <w:top w:type="dxa" w:w="70"/>
              <w:left w:type="dxa" w:w="110"/>
              <w:bottom w:type="dxa" w:w="70"/>
              <w:right w:type="dxa" w:w="110"/>
            </w:tcMar>
          </w:tcPr>
          <w:p>
            <w:pPr>
              <w:spacing w:after="0"/>
            </w:pPr>
            <w:r>
              <w:t xml:space="preserve">Gujarat</w:t>
            </w:r>
          </w:p>
        </w:tc>
        <w:tc>
          <w:tcPr>
            <w:tcMar>
              <w:top w:type="dxa" w:w="70"/>
              <w:left w:type="dxa" w:w="110"/>
              <w:bottom w:type="dxa" w:w="70"/>
              <w:right w:type="dxa" w:w="110"/>
            </w:tcMar>
          </w:tcPr>
          <w:p>
            <w:pPr>
              <w:spacing w:after="0"/>
            </w:pPr>
            <w:r>
              <w:t xml:space="preserve">Gujarat Panchayats, Municipalities &amp; State Tax on Professions Act, 1976</w:t>
            </w:r>
          </w:p>
        </w:tc>
        <w:tc>
          <w:tcPr>
            <w:tcMar>
              <w:top w:type="dxa" w:w="70"/>
              <w:left w:type="dxa" w:w="110"/>
              <w:bottom w:type="dxa" w:w="70"/>
              <w:right w:type="dxa" w:w="110"/>
            </w:tcMar>
          </w:tcPr>
          <w:p>
            <w:pPr>
              <w:spacing w:after="0"/>
            </w:pPr>
            <w:r>
              <w:t xml:space="preserve">Municipal bodies (collection devolved from 2022)</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Jharkhand</w:t>
            </w:r>
          </w:p>
        </w:tc>
        <w:tc>
          <w:tcPr>
            <w:tcMar>
              <w:top w:type="dxa" w:w="70"/>
              <w:left w:type="dxa" w:w="110"/>
              <w:bottom w:type="dxa" w:w="70"/>
              <w:right w:type="dxa" w:w="110"/>
            </w:tcMar>
          </w:tcPr>
          <w:p>
            <w:pPr>
              <w:spacing w:after="0"/>
            </w:pPr>
            <w:r>
              <w:t xml:space="preserve">Jharkhand Tax on Professions, Trades, Callings &amp; Employments Act, 2011</w:t>
            </w:r>
          </w:p>
        </w:tc>
        <w:tc>
          <w:tcPr>
            <w:tcMar>
              <w:top w:type="dxa" w:w="70"/>
              <w:left w:type="dxa" w:w="110"/>
              <w:bottom w:type="dxa" w:w="70"/>
              <w:right w:type="dxa" w:w="110"/>
            </w:tcMar>
          </w:tcPr>
          <w:p>
            <w:pPr>
              <w:spacing w:after="0"/>
            </w:pPr>
            <w:r>
              <w:t xml:space="preserve">Commercial Taxes Dept</w:t>
            </w:r>
          </w:p>
        </w:tc>
        <w:tc>
          <w:tcPr>
            <w:tcMar>
              <w:top w:type="dxa" w:w="70"/>
              <w:left w:type="dxa" w:w="110"/>
              <w:bottom w:type="dxa" w:w="70"/>
              <w:right w:type="dxa" w:w="110"/>
            </w:tcMar>
          </w:tcPr>
          <w:p>
            <w:pPr>
              <w:spacing w:after="0"/>
            </w:pPr>
            <w:r>
              <w:t xml:space="preserve">Annual</w:t>
            </w:r>
          </w:p>
        </w:tc>
      </w:tr>
      <w:tr>
        <w:trPr>
          <w:cantSplit/>
          <w:tblHeader w:val="false"/>
        </w:trPr>
        <w:tc>
          <w:tcPr>
            <w:tcMar>
              <w:top w:type="dxa" w:w="70"/>
              <w:left w:type="dxa" w:w="110"/>
              <w:bottom w:type="dxa" w:w="70"/>
              <w:right w:type="dxa" w:w="110"/>
            </w:tcMar>
          </w:tcPr>
          <w:p>
            <w:pPr>
              <w:spacing w:after="0"/>
            </w:pPr>
            <w:r>
              <w:t xml:space="preserve">Karnataka</w:t>
            </w:r>
          </w:p>
        </w:tc>
        <w:tc>
          <w:tcPr>
            <w:tcMar>
              <w:top w:type="dxa" w:w="70"/>
              <w:left w:type="dxa" w:w="110"/>
              <w:bottom w:type="dxa" w:w="70"/>
              <w:right w:type="dxa" w:w="110"/>
            </w:tcMar>
          </w:tcPr>
          <w:p>
            <w:pPr>
              <w:spacing w:after="0"/>
            </w:pPr>
            <w:r>
              <w:t xml:space="preserve">Karnataka Tax on Professions, Trades, Callings &amp; Employments Act, 1976</w:t>
            </w:r>
          </w:p>
        </w:tc>
        <w:tc>
          <w:tcPr>
            <w:tcMar>
              <w:top w:type="dxa" w:w="70"/>
              <w:left w:type="dxa" w:w="110"/>
              <w:bottom w:type="dxa" w:w="70"/>
              <w:right w:type="dxa" w:w="110"/>
            </w:tcMar>
          </w:tcPr>
          <w:p>
            <w:pPr>
              <w:spacing w:after="0"/>
            </w:pPr>
            <w:r>
              <w:t xml:space="preserve">Commercial Taxes Dept</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Kerala</w:t>
            </w:r>
          </w:p>
        </w:tc>
        <w:tc>
          <w:tcPr>
            <w:tcMar>
              <w:top w:type="dxa" w:w="70"/>
              <w:left w:type="dxa" w:w="110"/>
              <w:bottom w:type="dxa" w:w="70"/>
              <w:right w:type="dxa" w:w="110"/>
            </w:tcMar>
          </w:tcPr>
          <w:p>
            <w:pPr>
              <w:spacing w:after="0"/>
            </w:pPr>
            <w:r>
              <w:t xml:space="preserve">Kerala Municipality Act, 1994 / Panchayat Raj Act</w:t>
            </w:r>
          </w:p>
        </w:tc>
        <w:tc>
          <w:tcPr>
            <w:tcMar>
              <w:top w:type="dxa" w:w="70"/>
              <w:left w:type="dxa" w:w="110"/>
              <w:bottom w:type="dxa" w:w="70"/>
              <w:right w:type="dxa" w:w="110"/>
            </w:tcMar>
          </w:tcPr>
          <w:p>
            <w:pPr>
              <w:spacing w:after="0"/>
            </w:pPr>
            <w:r>
              <w:t xml:space="preserve">Local self-government institutions</w:t>
            </w:r>
          </w:p>
        </w:tc>
        <w:tc>
          <w:tcPr>
            <w:tcMar>
              <w:top w:type="dxa" w:w="70"/>
              <w:left w:type="dxa" w:w="110"/>
              <w:bottom w:type="dxa" w:w="70"/>
              <w:right w:type="dxa" w:w="110"/>
            </w:tcMar>
          </w:tcPr>
          <w:p>
            <w:pPr>
              <w:spacing w:after="0"/>
            </w:pPr>
            <w:r>
              <w:t xml:space="preserve">Half-yearly</w:t>
            </w:r>
          </w:p>
        </w:tc>
      </w:tr>
      <w:tr>
        <w:trPr>
          <w:cantSplit/>
          <w:tblHeader w:val="false"/>
        </w:trPr>
        <w:tc>
          <w:tcPr>
            <w:tcMar>
              <w:top w:type="dxa" w:w="70"/>
              <w:left w:type="dxa" w:w="110"/>
              <w:bottom w:type="dxa" w:w="70"/>
              <w:right w:type="dxa" w:w="110"/>
            </w:tcMar>
          </w:tcPr>
          <w:p>
            <w:pPr>
              <w:spacing w:after="0"/>
            </w:pPr>
            <w:r>
              <w:t xml:space="preserve">Madhya Pradesh</w:t>
            </w:r>
          </w:p>
        </w:tc>
        <w:tc>
          <w:tcPr>
            <w:tcMar>
              <w:top w:type="dxa" w:w="70"/>
              <w:left w:type="dxa" w:w="110"/>
              <w:bottom w:type="dxa" w:w="70"/>
              <w:right w:type="dxa" w:w="110"/>
            </w:tcMar>
          </w:tcPr>
          <w:p>
            <w:pPr>
              <w:spacing w:after="0"/>
            </w:pPr>
            <w:r>
              <w:t xml:space="preserve">MP Vritti Kar Adhiniyam, 1995</w:t>
            </w:r>
          </w:p>
        </w:tc>
        <w:tc>
          <w:tcPr>
            <w:tcMar>
              <w:top w:type="dxa" w:w="70"/>
              <w:left w:type="dxa" w:w="110"/>
              <w:bottom w:type="dxa" w:w="70"/>
              <w:right w:type="dxa" w:w="110"/>
            </w:tcMar>
          </w:tcPr>
          <w:p>
            <w:pPr>
              <w:spacing w:after="0"/>
            </w:pPr>
            <w:r>
              <w:t xml:space="preserve">Commercial Taxes Dept</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Maharashtra</w:t>
            </w:r>
          </w:p>
        </w:tc>
        <w:tc>
          <w:tcPr>
            <w:tcMar>
              <w:top w:type="dxa" w:w="70"/>
              <w:left w:type="dxa" w:w="110"/>
              <w:bottom w:type="dxa" w:w="70"/>
              <w:right w:type="dxa" w:w="110"/>
            </w:tcMar>
          </w:tcPr>
          <w:p>
            <w:pPr>
              <w:spacing w:after="0"/>
            </w:pPr>
            <w:r>
              <w:t xml:space="preserve">Maharashtra State Tax on Professions, Trades, Callings &amp; Employments Act, 1975</w:t>
            </w:r>
          </w:p>
        </w:tc>
        <w:tc>
          <w:tcPr>
            <w:tcMar>
              <w:top w:type="dxa" w:w="70"/>
              <w:left w:type="dxa" w:w="110"/>
              <w:bottom w:type="dxa" w:w="70"/>
              <w:right w:type="dxa" w:w="110"/>
            </w:tcMar>
          </w:tcPr>
          <w:p>
            <w:pPr>
              <w:spacing w:after="0"/>
            </w:pPr>
            <w:r>
              <w:t xml:space="preserve">State Tax Dept (uniform statewide)</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Manipur</w:t>
            </w:r>
          </w:p>
        </w:tc>
        <w:tc>
          <w:tcPr>
            <w:tcMar>
              <w:top w:type="dxa" w:w="70"/>
              <w:left w:type="dxa" w:w="110"/>
              <w:bottom w:type="dxa" w:w="70"/>
              <w:right w:type="dxa" w:w="110"/>
            </w:tcMar>
          </w:tcPr>
          <w:p>
            <w:pPr>
              <w:spacing w:after="0"/>
            </w:pPr>
            <w:r>
              <w:t xml:space="preserve">Manipur Professions, Trades, Callings &amp; Employments Taxation Act, 1981</w:t>
            </w:r>
          </w:p>
        </w:tc>
        <w:tc>
          <w:tcPr>
            <w:tcMar>
              <w:top w:type="dxa" w:w="70"/>
              <w:left w:type="dxa" w:w="110"/>
              <w:bottom w:type="dxa" w:w="70"/>
              <w:right w:type="dxa" w:w="110"/>
            </w:tcMar>
          </w:tcPr>
          <w:p>
            <w:pPr>
              <w:spacing w:after="0"/>
            </w:pPr>
            <w:r>
              <w:t xml:space="preserve">Taxation Dept</w:t>
            </w:r>
          </w:p>
        </w:tc>
        <w:tc>
          <w:tcPr>
            <w:tcMar>
              <w:top w:type="dxa" w:w="70"/>
              <w:left w:type="dxa" w:w="110"/>
              <w:bottom w:type="dxa" w:w="70"/>
              <w:right w:type="dxa" w:w="110"/>
            </w:tcMar>
          </w:tcPr>
          <w:p>
            <w:pPr>
              <w:spacing w:after="0"/>
            </w:pPr>
            <w:r>
              <w:t xml:space="preserve">Annual</w:t>
            </w:r>
          </w:p>
        </w:tc>
      </w:tr>
      <w:tr>
        <w:trPr>
          <w:cantSplit/>
          <w:tblHeader w:val="false"/>
        </w:trPr>
        <w:tc>
          <w:tcPr>
            <w:tcMar>
              <w:top w:type="dxa" w:w="70"/>
              <w:left w:type="dxa" w:w="110"/>
              <w:bottom w:type="dxa" w:w="70"/>
              <w:right w:type="dxa" w:w="110"/>
            </w:tcMar>
          </w:tcPr>
          <w:p>
            <w:pPr>
              <w:spacing w:after="0"/>
            </w:pPr>
            <w:r>
              <w:t xml:space="preserve">Meghalaya</w:t>
            </w:r>
          </w:p>
        </w:tc>
        <w:tc>
          <w:tcPr>
            <w:tcMar>
              <w:top w:type="dxa" w:w="70"/>
              <w:left w:type="dxa" w:w="110"/>
              <w:bottom w:type="dxa" w:w="70"/>
              <w:right w:type="dxa" w:w="110"/>
            </w:tcMar>
          </w:tcPr>
          <w:p>
            <w:pPr>
              <w:spacing w:after="0"/>
            </w:pPr>
            <w:r>
              <w:t xml:space="preserve">Meghalaya Professions, Trades, Callings &amp; Employments Taxation Act, 1947</w:t>
            </w:r>
          </w:p>
        </w:tc>
        <w:tc>
          <w:tcPr>
            <w:tcMar>
              <w:top w:type="dxa" w:w="70"/>
              <w:left w:type="dxa" w:w="110"/>
              <w:bottom w:type="dxa" w:w="70"/>
              <w:right w:type="dxa" w:w="110"/>
            </w:tcMar>
          </w:tcPr>
          <w:p>
            <w:pPr>
              <w:spacing w:after="0"/>
            </w:pPr>
            <w:r>
              <w:t xml:space="preserve">Taxation Dept</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Mizoram</w:t>
            </w:r>
          </w:p>
        </w:tc>
        <w:tc>
          <w:tcPr>
            <w:tcMar>
              <w:top w:type="dxa" w:w="70"/>
              <w:left w:type="dxa" w:w="110"/>
              <w:bottom w:type="dxa" w:w="70"/>
              <w:right w:type="dxa" w:w="110"/>
            </w:tcMar>
          </w:tcPr>
          <w:p>
            <w:pPr>
              <w:spacing w:after="0"/>
            </w:pPr>
            <w:r>
              <w:t xml:space="preserve">Mizoram Professions, Trades, Callings &amp; Employments Taxation Act, 1995</w:t>
            </w:r>
          </w:p>
        </w:tc>
        <w:tc>
          <w:tcPr>
            <w:tcMar>
              <w:top w:type="dxa" w:w="70"/>
              <w:left w:type="dxa" w:w="110"/>
              <w:bottom w:type="dxa" w:w="70"/>
              <w:right w:type="dxa" w:w="110"/>
            </w:tcMar>
          </w:tcPr>
          <w:p>
            <w:pPr>
              <w:spacing w:after="0"/>
            </w:pPr>
            <w:r>
              <w:t xml:space="preserve">Taxation Dept</w:t>
            </w:r>
          </w:p>
        </w:tc>
        <w:tc>
          <w:tcPr>
            <w:tcMar>
              <w:top w:type="dxa" w:w="70"/>
              <w:left w:type="dxa" w:w="110"/>
              <w:bottom w:type="dxa" w:w="70"/>
              <w:right w:type="dxa" w:w="110"/>
            </w:tcMar>
          </w:tcPr>
          <w:p>
            <w:pPr>
              <w:spacing w:after="0"/>
            </w:pPr>
            <w:r>
              <w:t xml:space="preserve">Annual</w:t>
            </w:r>
          </w:p>
        </w:tc>
      </w:tr>
      <w:tr>
        <w:trPr>
          <w:cantSplit/>
          <w:tblHeader w:val="false"/>
        </w:trPr>
        <w:tc>
          <w:tcPr>
            <w:tcMar>
              <w:top w:type="dxa" w:w="70"/>
              <w:left w:type="dxa" w:w="110"/>
              <w:bottom w:type="dxa" w:w="70"/>
              <w:right w:type="dxa" w:w="110"/>
            </w:tcMar>
          </w:tcPr>
          <w:p>
            <w:pPr>
              <w:spacing w:after="0"/>
            </w:pPr>
            <w:r>
              <w:t xml:space="preserve">Nagaland</w:t>
            </w:r>
          </w:p>
        </w:tc>
        <w:tc>
          <w:tcPr>
            <w:tcMar>
              <w:top w:type="dxa" w:w="70"/>
              <w:left w:type="dxa" w:w="110"/>
              <w:bottom w:type="dxa" w:w="70"/>
              <w:right w:type="dxa" w:w="110"/>
            </w:tcMar>
          </w:tcPr>
          <w:p>
            <w:pPr>
              <w:spacing w:after="0"/>
            </w:pPr>
            <w:r>
              <w:t xml:space="preserve">Nagaland Professions, Trades, Callings &amp; Employments Taxation Act, 1968</w:t>
            </w:r>
          </w:p>
        </w:tc>
        <w:tc>
          <w:tcPr>
            <w:tcMar>
              <w:top w:type="dxa" w:w="70"/>
              <w:left w:type="dxa" w:w="110"/>
              <w:bottom w:type="dxa" w:w="70"/>
              <w:right w:type="dxa" w:w="110"/>
            </w:tcMar>
          </w:tcPr>
          <w:p>
            <w:pPr>
              <w:spacing w:after="0"/>
            </w:pPr>
            <w:r>
              <w:t xml:space="preserve">Taxation Dept</w:t>
            </w:r>
          </w:p>
        </w:tc>
        <w:tc>
          <w:tcPr>
            <w:tcMar>
              <w:top w:type="dxa" w:w="70"/>
              <w:left w:type="dxa" w:w="110"/>
              <w:bottom w:type="dxa" w:w="70"/>
              <w:right w:type="dxa" w:w="110"/>
            </w:tcMar>
          </w:tcPr>
          <w:p>
            <w:pPr>
              <w:spacing w:after="0"/>
            </w:pPr>
            <w:r>
              <w:t xml:space="preserve">Annual</w:t>
            </w:r>
          </w:p>
        </w:tc>
      </w:tr>
      <w:tr>
        <w:trPr>
          <w:cantSplit/>
          <w:tblHeader w:val="false"/>
        </w:trPr>
        <w:tc>
          <w:tcPr>
            <w:tcMar>
              <w:top w:type="dxa" w:w="70"/>
              <w:left w:type="dxa" w:w="110"/>
              <w:bottom w:type="dxa" w:w="70"/>
              <w:right w:type="dxa" w:w="110"/>
            </w:tcMar>
          </w:tcPr>
          <w:p>
            <w:pPr>
              <w:spacing w:after="0"/>
            </w:pPr>
            <w:r>
              <w:t xml:space="preserve">Odisha</w:t>
            </w:r>
          </w:p>
        </w:tc>
        <w:tc>
          <w:tcPr>
            <w:tcMar>
              <w:top w:type="dxa" w:w="70"/>
              <w:left w:type="dxa" w:w="110"/>
              <w:bottom w:type="dxa" w:w="70"/>
              <w:right w:type="dxa" w:w="110"/>
            </w:tcMar>
          </w:tcPr>
          <w:p>
            <w:pPr>
              <w:spacing w:after="0"/>
            </w:pPr>
            <w:r>
              <w:t xml:space="preserve">Odisha State Tax on Professions, Trades, Callings &amp; Employments Act, 2000</w:t>
            </w:r>
          </w:p>
        </w:tc>
        <w:tc>
          <w:tcPr>
            <w:tcMar>
              <w:top w:type="dxa" w:w="70"/>
              <w:left w:type="dxa" w:w="110"/>
              <w:bottom w:type="dxa" w:w="70"/>
              <w:right w:type="dxa" w:w="110"/>
            </w:tcMar>
          </w:tcPr>
          <w:p>
            <w:pPr>
              <w:spacing w:after="0"/>
            </w:pPr>
            <w:r>
              <w:t xml:space="preserve">Commercial Taxes Dept</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Punjab</w:t>
            </w:r>
          </w:p>
        </w:tc>
        <w:tc>
          <w:tcPr>
            <w:tcMar>
              <w:top w:type="dxa" w:w="70"/>
              <w:left w:type="dxa" w:w="110"/>
              <w:bottom w:type="dxa" w:w="70"/>
              <w:right w:type="dxa" w:w="110"/>
            </w:tcMar>
          </w:tcPr>
          <w:p>
            <w:pPr>
              <w:spacing w:after="0"/>
            </w:pPr>
            <w:r>
              <w:t xml:space="preserve">Punjab State Development Tax Act, 2018</w:t>
            </w:r>
          </w:p>
        </w:tc>
        <w:tc>
          <w:tcPr>
            <w:tcMar>
              <w:top w:type="dxa" w:w="70"/>
              <w:left w:type="dxa" w:w="110"/>
              <w:bottom w:type="dxa" w:w="70"/>
              <w:right w:type="dxa" w:w="110"/>
            </w:tcMar>
          </w:tcPr>
          <w:p>
            <w:pPr>
              <w:spacing w:after="0"/>
            </w:pPr>
            <w:r>
              <w:t xml:space="preserve">Excise &amp; Taxation Dept</w:t>
            </w:r>
          </w:p>
        </w:tc>
        <w:tc>
          <w:tcPr>
            <w:tcMar>
              <w:top w:type="dxa" w:w="70"/>
              <w:left w:type="dxa" w:w="110"/>
              <w:bottom w:type="dxa" w:w="70"/>
              <w:right w:type="dxa" w:w="110"/>
            </w:tcMar>
          </w:tcPr>
          <w:p>
            <w:pPr>
              <w:spacing w:after="0"/>
            </w:pPr>
            <w:r>
              <w:t xml:space="preserve">Monthly (flat ₹200)</w:t>
            </w:r>
          </w:p>
        </w:tc>
      </w:tr>
      <w:tr>
        <w:trPr>
          <w:cantSplit/>
          <w:tblHeader w:val="false"/>
        </w:trPr>
        <w:tc>
          <w:tcPr>
            <w:tcMar>
              <w:top w:type="dxa" w:w="70"/>
              <w:left w:type="dxa" w:w="110"/>
              <w:bottom w:type="dxa" w:w="70"/>
              <w:right w:type="dxa" w:w="110"/>
            </w:tcMar>
          </w:tcPr>
          <w:p>
            <w:pPr>
              <w:spacing w:after="0"/>
            </w:pPr>
            <w:r>
              <w:t xml:space="preserve">Sikkim</w:t>
            </w:r>
          </w:p>
        </w:tc>
        <w:tc>
          <w:tcPr>
            <w:tcMar>
              <w:top w:type="dxa" w:w="70"/>
              <w:left w:type="dxa" w:w="110"/>
              <w:bottom w:type="dxa" w:w="70"/>
              <w:right w:type="dxa" w:w="110"/>
            </w:tcMar>
          </w:tcPr>
          <w:p>
            <w:pPr>
              <w:spacing w:after="0"/>
            </w:pPr>
            <w:r>
              <w:t xml:space="preserve">Sikkim Tax on Professions, Trades, Callings &amp; Employments Act, 2006</w:t>
            </w:r>
          </w:p>
        </w:tc>
        <w:tc>
          <w:tcPr>
            <w:tcMar>
              <w:top w:type="dxa" w:w="70"/>
              <w:left w:type="dxa" w:w="110"/>
              <w:bottom w:type="dxa" w:w="70"/>
              <w:right w:type="dxa" w:w="110"/>
            </w:tcMar>
          </w:tcPr>
          <w:p>
            <w:pPr>
              <w:spacing w:after="0"/>
            </w:pPr>
            <w:r>
              <w:t xml:space="preserve">Taxation Dept</w:t>
            </w:r>
          </w:p>
        </w:tc>
        <w:tc>
          <w:tcPr>
            <w:tcMar>
              <w:top w:type="dxa" w:w="70"/>
              <w:left w:type="dxa" w:w="110"/>
              <w:bottom w:type="dxa" w:w="70"/>
              <w:right w:type="dxa" w:w="110"/>
            </w:tcMar>
          </w:tcPr>
          <w:p>
            <w:pPr>
              <w:spacing w:after="0"/>
            </w:pPr>
            <w:r>
              <w:t xml:space="preserve">Quarterly</w:t>
            </w:r>
          </w:p>
        </w:tc>
      </w:tr>
      <w:tr>
        <w:trPr>
          <w:cantSplit/>
          <w:tblHeader w:val="false"/>
        </w:trPr>
        <w:tc>
          <w:tcPr>
            <w:tcMar>
              <w:top w:type="dxa" w:w="70"/>
              <w:left w:type="dxa" w:w="110"/>
              <w:bottom w:type="dxa" w:w="70"/>
              <w:right w:type="dxa" w:w="110"/>
            </w:tcMar>
          </w:tcPr>
          <w:p>
            <w:pPr>
              <w:spacing w:after="0"/>
            </w:pPr>
            <w:r>
              <w:t xml:space="preserve">Tamil Nadu</w:t>
            </w:r>
          </w:p>
        </w:tc>
        <w:tc>
          <w:tcPr>
            <w:tcMar>
              <w:top w:type="dxa" w:w="70"/>
              <w:left w:type="dxa" w:w="110"/>
              <w:bottom w:type="dxa" w:w="70"/>
              <w:right w:type="dxa" w:w="110"/>
            </w:tcMar>
          </w:tcPr>
          <w:p>
            <w:pPr>
              <w:spacing w:after="0"/>
            </w:pPr>
            <w:r>
              <w:t xml:space="preserve">Town Panchayats, Municipalities &amp; Municipal Corporations (Collection of Tax on Profession, Trades, Callings &amp; Employments) Rules, 1988</w:t>
            </w:r>
          </w:p>
        </w:tc>
        <w:tc>
          <w:tcPr>
            <w:tcMar>
              <w:top w:type="dxa" w:w="70"/>
              <w:left w:type="dxa" w:w="110"/>
              <w:bottom w:type="dxa" w:w="70"/>
              <w:right w:type="dxa" w:w="110"/>
            </w:tcMar>
          </w:tcPr>
          <w:p>
            <w:pPr>
              <w:spacing w:after="0"/>
            </w:pPr>
            <w:r>
              <w:t xml:space="preserve">Local body — Greater Chennai Corporation and other ULBs, slabs can differ between them</w:t>
            </w:r>
          </w:p>
        </w:tc>
        <w:tc>
          <w:tcPr>
            <w:tcMar>
              <w:top w:type="dxa" w:w="70"/>
              <w:left w:type="dxa" w:w="110"/>
              <w:bottom w:type="dxa" w:w="70"/>
              <w:right w:type="dxa" w:w="110"/>
            </w:tcMar>
          </w:tcPr>
          <w:p>
            <w:pPr>
              <w:spacing w:after="0"/>
            </w:pPr>
            <w:r>
              <w:t xml:space="preserve">Half-yearly</w:t>
            </w:r>
          </w:p>
        </w:tc>
      </w:tr>
      <w:tr>
        <w:trPr>
          <w:cantSplit/>
          <w:tblHeader w:val="false"/>
        </w:trPr>
        <w:tc>
          <w:tcPr>
            <w:tcMar>
              <w:top w:type="dxa" w:w="70"/>
              <w:left w:type="dxa" w:w="110"/>
              <w:bottom w:type="dxa" w:w="70"/>
              <w:right w:type="dxa" w:w="110"/>
            </w:tcMar>
          </w:tcPr>
          <w:p>
            <w:pPr>
              <w:spacing w:after="0"/>
            </w:pPr>
            <w:r>
              <w:t xml:space="preserve">Telangana</w:t>
            </w:r>
          </w:p>
        </w:tc>
        <w:tc>
          <w:tcPr>
            <w:tcMar>
              <w:top w:type="dxa" w:w="70"/>
              <w:left w:type="dxa" w:w="110"/>
              <w:bottom w:type="dxa" w:w="70"/>
              <w:right w:type="dxa" w:w="110"/>
            </w:tcMar>
          </w:tcPr>
          <w:p>
            <w:pPr>
              <w:spacing w:after="0"/>
            </w:pPr>
            <w:r>
              <w:t xml:space="preserve">Telangana Tax on Professions, Trades, Callings &amp; Employments Act, 1987</w:t>
            </w:r>
          </w:p>
        </w:tc>
        <w:tc>
          <w:tcPr>
            <w:tcMar>
              <w:top w:type="dxa" w:w="70"/>
              <w:left w:type="dxa" w:w="110"/>
              <w:bottom w:type="dxa" w:w="70"/>
              <w:right w:type="dxa" w:w="110"/>
            </w:tcMar>
          </w:tcPr>
          <w:p>
            <w:pPr>
              <w:spacing w:after="0"/>
            </w:pPr>
            <w:r>
              <w:t xml:space="preserve">Commercial Taxes Dept</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Tripura</w:t>
            </w:r>
          </w:p>
        </w:tc>
        <w:tc>
          <w:tcPr>
            <w:tcMar>
              <w:top w:type="dxa" w:w="70"/>
              <w:left w:type="dxa" w:w="110"/>
              <w:bottom w:type="dxa" w:w="70"/>
              <w:right w:type="dxa" w:w="110"/>
            </w:tcMar>
          </w:tcPr>
          <w:p>
            <w:pPr>
              <w:spacing w:after="0"/>
            </w:pPr>
            <w:r>
              <w:t xml:space="preserve">Tripura Professions, Trades, Callings &amp; Employments Taxation Act, 1997</w:t>
            </w:r>
          </w:p>
        </w:tc>
        <w:tc>
          <w:tcPr>
            <w:tcMar>
              <w:top w:type="dxa" w:w="70"/>
              <w:left w:type="dxa" w:w="110"/>
              <w:bottom w:type="dxa" w:w="70"/>
              <w:right w:type="dxa" w:w="110"/>
            </w:tcMar>
          </w:tcPr>
          <w:p>
            <w:pPr>
              <w:spacing w:after="0"/>
            </w:pPr>
            <w:r>
              <w:t xml:space="preserve">Taxation Dept</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West Bengal</w:t>
            </w:r>
          </w:p>
        </w:tc>
        <w:tc>
          <w:tcPr>
            <w:tcMar>
              <w:top w:type="dxa" w:w="70"/>
              <w:left w:type="dxa" w:w="110"/>
              <w:bottom w:type="dxa" w:w="70"/>
              <w:right w:type="dxa" w:w="110"/>
            </w:tcMar>
          </w:tcPr>
          <w:p>
            <w:pPr>
              <w:spacing w:after="0"/>
            </w:pPr>
            <w:r>
              <w:t xml:space="preserve">WB State Tax on Professions, Trades, Callings &amp; Employments Act, 1979</w:t>
            </w:r>
          </w:p>
        </w:tc>
        <w:tc>
          <w:tcPr>
            <w:tcMar>
              <w:top w:type="dxa" w:w="70"/>
              <w:left w:type="dxa" w:w="110"/>
              <w:bottom w:type="dxa" w:w="70"/>
              <w:right w:type="dxa" w:w="110"/>
            </w:tcMar>
          </w:tcPr>
          <w:p>
            <w:pPr>
              <w:spacing w:after="0"/>
            </w:pPr>
            <w:r>
              <w:t xml:space="preserve">Directorate of Commercial Taxes</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Puducherry</w:t>
            </w:r>
          </w:p>
        </w:tc>
        <w:tc>
          <w:tcPr>
            <w:tcMar>
              <w:top w:type="dxa" w:w="70"/>
              <w:left w:type="dxa" w:w="110"/>
              <w:bottom w:type="dxa" w:w="70"/>
              <w:right w:type="dxa" w:w="110"/>
            </w:tcMar>
          </w:tcPr>
          <w:p>
            <w:pPr>
              <w:spacing w:after="0"/>
            </w:pPr>
            <w:r>
              <w:t xml:space="preserve">Puducherry Village &amp; Commune Panchayats / Municipalities Acts</w:t>
            </w:r>
          </w:p>
        </w:tc>
        <w:tc>
          <w:tcPr>
            <w:tcMar>
              <w:top w:type="dxa" w:w="70"/>
              <w:left w:type="dxa" w:w="110"/>
              <w:bottom w:type="dxa" w:w="70"/>
              <w:right w:type="dxa" w:w="110"/>
            </w:tcMar>
          </w:tcPr>
          <w:p>
            <w:pPr>
              <w:spacing w:after="0"/>
            </w:pPr>
            <w:r>
              <w:t xml:space="preserve">Local bodies</w:t>
            </w:r>
          </w:p>
        </w:tc>
        <w:tc>
          <w:tcPr>
            <w:tcMar>
              <w:top w:type="dxa" w:w="70"/>
              <w:left w:type="dxa" w:w="110"/>
              <w:bottom w:type="dxa" w:w="70"/>
              <w:right w:type="dxa" w:w="110"/>
            </w:tcMar>
          </w:tcPr>
          <w:p>
            <w:pPr>
              <w:spacing w:after="0"/>
            </w:pPr>
            <w:r>
              <w:t xml:space="preserve">Half-yearly</w:t>
            </w:r>
          </w:p>
        </w:tc>
      </w:tr>
    </w:tbl>
    <w:p>
      <w:pPr>
        <w:spacing w:after="40"/>
      </w:pPr>
    </w:p>
    <w:p>
      <w:pPr>
        <w:pStyle w:val="Heading3"/>
        <w:keepNext/>
        <w:keepLines/>
      </w:pPr>
      <w:r>
        <w:t xml:space="preserve">3.2.3 States and UTs That Do NOT Levy Professional Tax</w:t>
      </w:r>
    </w:p>
    <w:p>
      <w:r>
        <w:t xml:space="preserve">Delhi, Haryana, Uttar Pradesh, Uttarakhand, Rajasthan, Himachal Pradesh, Goa, Chhattisgarh, Arunachal Pradesh, Jammu &amp; Kashmir, Ladakh, Chandigarh, Andaman &amp; Nicobar Islands, Lakshadweep, and Dadra &amp; Nagar Haveli and Daman &amp; Diu.</w:t>
      </w:r>
    </w:p>
    <w:p>
      <w:r>
        <w:t xml:space="preserve">Chhattisgarh is the notable case of a state that </w:t>
      </w:r>
      <w:r>
        <w:rPr>
          <w:b/>
          <w:bCs/>
        </w:rPr>
        <w:t xml:space="preserve">abolished</w:t>
      </w:r>
      <w:r>
        <w:t xml:space="preserve"> the levy (2011), demonstrating that the list is not static.</w:t>
      </w:r>
    </w:p>
    <w:p>
      <w:pPr>
        <w:pStyle w:val="Heading3"/>
        <w:keepNext/>
        <w:keepLines/>
      </w:pPr>
      <w:r>
        <w:t xml:space="preserve">3.2.4 Structural Differences Worth Noting</w:t>
      </w:r>
    </w:p>
    <w:p>
      <w:pPr>
        <w:pStyle w:val="ListParagraph"/>
        <w:numPr>
          <w:ilvl w:val="0"/>
          <w:numId w:val="1"/>
        </w:numPr>
        <w:spacing w:after="60"/>
      </w:pPr>
      <w:r>
        <w:rPr>
          <w:b/>
          <w:bCs/>
        </w:rPr>
        <w:t xml:space="preserve">Who collects</w:t>
      </w:r>
      <w:r>
        <w:t xml:space="preserve"> matters more than the amount. Where collection is devolved to local bodies (Tamil Nadu, Kerala, Gujarat, Puducherry), a multi-branch business must deal with each municipality separately. Where it is state-level (Maharashtra, Karnataka, West Bengal, Telangana), a single registration covers the state.</w:t>
      </w:r>
    </w:p>
    <w:p>
      <w:pPr>
        <w:pStyle w:val="ListParagraph"/>
        <w:numPr>
          <w:ilvl w:val="0"/>
          <w:numId w:val="1"/>
        </w:numPr>
        <w:spacing w:after="60"/>
      </w:pPr>
      <w:r>
        <w:rPr>
          <w:b/>
          <w:bCs/>
        </w:rPr>
        <w:t xml:space="preserve">Maharashtra’s structure</w:t>
      </w:r>
      <w:r>
        <w:t xml:space="preserve"> is distinctive: ₹200 per month for eleven months and ₹300 in February, reaching exactly the ₹2,500 ceiling.</w:t>
      </w:r>
    </w:p>
    <w:p>
      <w:pPr>
        <w:pStyle w:val="ListParagraph"/>
        <w:numPr>
          <w:ilvl w:val="0"/>
          <w:numId w:val="1"/>
        </w:numPr>
        <w:spacing w:after="60"/>
      </w:pPr>
      <w:r>
        <w:rPr>
          <w:b/>
          <w:bCs/>
        </w:rPr>
        <w:t xml:space="preserve">Punjab reframed</w:t>
      </w:r>
      <w:r>
        <w:t xml:space="preserve"> the levy as a “Development Tax” at a flat ₹200 per month applicable to income-tax payers, sidestepping the traditional slab structure.</w:t>
      </w:r>
    </w:p>
    <w:p>
      <w:pPr>
        <w:pStyle w:val="ListParagraph"/>
        <w:numPr>
          <w:ilvl w:val="0"/>
          <w:numId w:val="1"/>
        </w:numPr>
        <w:spacing w:after="60"/>
      </w:pPr>
      <w:r>
        <w:rPr>
          <w:b/>
          <w:bCs/>
        </w:rPr>
        <w:t xml:space="preserve">Exemptions</w:t>
      </w:r>
      <w:r>
        <w:t xml:space="preserve"> vary — senior citizens, persons with disabilities, parents of disabled children, armed forces personnel and certain agriculturists are exempt in many but not all levying states.</w:t>
      </w:r>
    </w:p>
    <w:p>
      <w:pPr>
        <w:pStyle w:val="Heading2"/>
        <w:keepNext/>
        <w:keepLines/>
      </w:pPr>
      <w:r>
        <w:t xml:space="preserve">3.3 Stamp Duty — State-Set and Highly Variable</w:t>
      </w:r>
    </w:p>
    <w:p>
      <w:pPr>
        <w:pStyle w:val="Heading3"/>
        <w:keepNext/>
        <w:keepLines/>
      </w:pPr>
      <w:r>
        <w:t xml:space="preserve">3.3.1 The Framework</w:t>
      </w:r>
    </w:p>
    <w:p>
      <w:r>
        <w:t xml:space="preserve">The </w:t>
      </w:r>
      <w:r>
        <w:rPr>
          <w:b/>
          <w:bCs/>
        </w:rPr>
        <w:t xml:space="preserve">Indian Stamp Act 1899</w:t>
      </w:r>
      <w:r>
        <w:t xml:space="preserve"> is a central Act, but Entry 44 of the Concurrent List and Entry 63 of the State List together mean that:</w:t>
      </w:r>
    </w:p>
    <w:p>
      <w:pPr>
        <w:pStyle w:val="ListParagraph"/>
        <w:numPr>
          <w:ilvl w:val="0"/>
          <w:numId w:val="1"/>
        </w:numPr>
        <w:spacing w:after="60"/>
      </w:pPr>
      <w:r>
        <w:t xml:space="preserve">The Centre fixes duty on a small list of instruments — bills of exchange, promissory notes, bills of lading, letters of credit, insurance policies, share transfers, debentures and proxies (rationalised by the Finance Act 2019 amendments, which centralised securities-market stamp duty collection through depositories).</w:t>
      </w:r>
    </w:p>
    <w:p>
      <w:pPr>
        <w:pStyle w:val="ListParagraph"/>
        <w:numPr>
          <w:ilvl w:val="0"/>
          <w:numId w:val="1"/>
        </w:numPr>
        <w:spacing w:after="60"/>
      </w:pPr>
      <w:r>
        <w:rPr>
          <w:b/>
          <w:bCs/>
        </w:rPr>
        <w:t xml:space="preserve">States fix duty on everything else</w:t>
      </w:r>
      <w:r>
        <w:t xml:space="preserve"> — conveyance, lease, mortgage, gift, partnership deed, power of attorney, and so on — either by amending the central Act or by enacting their own Stamp Act (Maharashtra, Karnataka, Kerala, Gujarat, Rajasthan and others have their own).</w:t>
      </w:r>
    </w:p>
    <w:p>
      <w:pPr>
        <w:pStyle w:val="Heading3"/>
        <w:keepNext/>
        <w:keepLines/>
      </w:pPr>
      <w:r>
        <w:t xml:space="preserve">3.3.2 Indicative Conveyance Duty on Urban Property</w:t>
      </w:r>
    </w:p>
    <w:p>
      <w:r>
        <w:t xml:space="preserve">Excludes registration fee (typically 1%, but 4% in Tamil Nadu) and local cesses unless stated.</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State / UT</w:t>
            </w:r>
          </w:p>
        </w:tc>
        <w:tc>
          <w:tcPr>
            <w:shd w:fill="F0F4FE"/>
            <w:tcMar>
              <w:top w:type="dxa" w:w="70"/>
              <w:left w:type="dxa" w:w="110"/>
              <w:bottom w:type="dxa" w:w="70"/>
              <w:right w:type="dxa" w:w="110"/>
            </w:tcMar>
          </w:tcPr>
          <w:p>
            <w:pPr>
              <w:spacing w:after="0"/>
            </w:pPr>
            <w:r>
              <w:rPr>
                <w:b/>
                <w:bCs/>
                <w:color w:val="112D6A"/>
              </w:rPr>
              <w:t xml:space="preserve">Indicative Stamp Duty</w:t>
            </w:r>
          </w:p>
        </w:tc>
        <w:tc>
          <w:tcPr>
            <w:shd w:fill="F0F4FE"/>
            <w:tcMar>
              <w:top w:type="dxa" w:w="70"/>
              <w:left w:type="dxa" w:w="110"/>
              <w:bottom w:type="dxa" w:w="70"/>
              <w:right w:type="dxa" w:w="110"/>
            </w:tcMar>
          </w:tcPr>
          <w:p>
            <w:pPr>
              <w:spacing w:after="0"/>
            </w:pPr>
            <w:r>
              <w:rPr>
                <w:b/>
                <w:bCs/>
                <w:color w:val="112D6A"/>
              </w:rPr>
              <w:t xml:space="preserve">Concessions and Notes</w:t>
            </w:r>
          </w:p>
        </w:tc>
      </w:tr>
      <w:tr>
        <w:trPr>
          <w:cantSplit/>
          <w:tblHeader w:val="false"/>
        </w:trPr>
        <w:tc>
          <w:tcPr>
            <w:tcMar>
              <w:top w:type="dxa" w:w="70"/>
              <w:left w:type="dxa" w:w="110"/>
              <w:bottom w:type="dxa" w:w="70"/>
              <w:right w:type="dxa" w:w="110"/>
            </w:tcMar>
          </w:tcPr>
          <w:p>
            <w:pPr>
              <w:spacing w:after="0"/>
            </w:pPr>
            <w:r>
              <w:t xml:space="preserve">Andhra Pradesh</w:t>
            </w:r>
          </w:p>
        </w:tc>
        <w:tc>
          <w:tcPr>
            <w:tcMar>
              <w:top w:type="dxa" w:w="70"/>
              <w:left w:type="dxa" w:w="110"/>
              <w:bottom w:type="dxa" w:w="70"/>
              <w:right w:type="dxa" w:w="110"/>
            </w:tcMar>
          </w:tcPr>
          <w:p>
            <w:pPr>
              <w:spacing w:after="0"/>
            </w:pPr>
            <w:r>
              <w:t xml:space="preserve">~5%</w:t>
            </w:r>
          </w:p>
        </w:tc>
        <w:tc>
          <w:tcPr>
            <w:tcMar>
              <w:top w:type="dxa" w:w="70"/>
              <w:left w:type="dxa" w:w="110"/>
              <w:bottom w:type="dxa" w:w="70"/>
              <w:right w:type="dxa" w:w="110"/>
            </w:tcMar>
          </w:tcPr>
          <w:p>
            <w:pPr>
              <w:spacing w:after="0"/>
            </w:pPr>
            <w:r>
              <w:t xml:space="preserve">Plus 1.5% transfer duty and 0.5% registration</w:t>
            </w:r>
          </w:p>
        </w:tc>
      </w:tr>
      <w:tr>
        <w:trPr>
          <w:cantSplit/>
          <w:tblHeader w:val="false"/>
        </w:trPr>
        <w:tc>
          <w:tcPr>
            <w:tcMar>
              <w:top w:type="dxa" w:w="70"/>
              <w:left w:type="dxa" w:w="110"/>
              <w:bottom w:type="dxa" w:w="70"/>
              <w:right w:type="dxa" w:w="110"/>
            </w:tcMar>
          </w:tcPr>
          <w:p>
            <w:pPr>
              <w:spacing w:after="0"/>
            </w:pPr>
            <w:r>
              <w:t xml:space="preserve">Arunachal Pradesh</w:t>
            </w:r>
          </w:p>
        </w:tc>
        <w:tc>
          <w:tcPr>
            <w:tcMar>
              <w:top w:type="dxa" w:w="70"/>
              <w:left w:type="dxa" w:w="110"/>
              <w:bottom w:type="dxa" w:w="70"/>
              <w:right w:type="dxa" w:w="110"/>
            </w:tcMar>
          </w:tcPr>
          <w:p>
            <w:pPr>
              <w:spacing w:after="0"/>
            </w:pPr>
            <w:r>
              <w:t xml:space="preserve">~6%</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Assam</w:t>
            </w:r>
          </w:p>
        </w:tc>
        <w:tc>
          <w:tcPr>
            <w:tcMar>
              <w:top w:type="dxa" w:w="70"/>
              <w:left w:type="dxa" w:w="110"/>
              <w:bottom w:type="dxa" w:w="70"/>
              <w:right w:type="dxa" w:w="110"/>
            </w:tcMar>
          </w:tcPr>
          <w:p>
            <w:pPr>
              <w:spacing w:after="0"/>
            </w:pPr>
            <w:r>
              <w:t xml:space="preserve">~6%</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Bihar</w:t>
            </w:r>
          </w:p>
        </w:tc>
        <w:tc>
          <w:tcPr>
            <w:tcMar>
              <w:top w:type="dxa" w:w="70"/>
              <w:left w:type="dxa" w:w="110"/>
              <w:bottom w:type="dxa" w:w="70"/>
              <w:right w:type="dxa" w:w="110"/>
            </w:tcMar>
          </w:tcPr>
          <w:p>
            <w:pPr>
              <w:spacing w:after="0"/>
            </w:pPr>
            <w:r>
              <w:t xml:space="preserve">~6%</w:t>
            </w:r>
          </w:p>
        </w:tc>
        <w:tc>
          <w:tcPr>
            <w:tcMar>
              <w:top w:type="dxa" w:w="70"/>
              <w:left w:type="dxa" w:w="110"/>
              <w:bottom w:type="dxa" w:w="70"/>
              <w:right w:type="dxa" w:w="110"/>
            </w:tcMar>
          </w:tcPr>
          <w:p>
            <w:pPr>
              <w:spacing w:after="0"/>
            </w:pPr>
            <w:r>
              <w:t xml:space="preserve">Lower where the buyer is female (male-to-female transfers)</w:t>
            </w:r>
          </w:p>
        </w:tc>
      </w:tr>
      <w:tr>
        <w:trPr>
          <w:cantSplit/>
          <w:tblHeader w:val="false"/>
        </w:trPr>
        <w:tc>
          <w:tcPr>
            <w:tcMar>
              <w:top w:type="dxa" w:w="70"/>
              <w:left w:type="dxa" w:w="110"/>
              <w:bottom w:type="dxa" w:w="70"/>
              <w:right w:type="dxa" w:w="110"/>
            </w:tcMar>
          </w:tcPr>
          <w:p>
            <w:pPr>
              <w:spacing w:after="0"/>
            </w:pPr>
            <w:r>
              <w:t xml:space="preserve">Chhattisgarh</w:t>
            </w:r>
          </w:p>
        </w:tc>
        <w:tc>
          <w:tcPr>
            <w:tcMar>
              <w:top w:type="dxa" w:w="70"/>
              <w:left w:type="dxa" w:w="110"/>
              <w:bottom w:type="dxa" w:w="70"/>
              <w:right w:type="dxa" w:w="110"/>
            </w:tcMar>
          </w:tcPr>
          <w:p>
            <w:pPr>
              <w:spacing w:after="0"/>
            </w:pPr>
            <w:r>
              <w:t xml:space="preserve">~5%</w:t>
            </w:r>
          </w:p>
        </w:tc>
        <w:tc>
          <w:tcPr>
            <w:tcMar>
              <w:top w:type="dxa" w:w="70"/>
              <w:left w:type="dxa" w:w="110"/>
              <w:bottom w:type="dxa" w:w="70"/>
              <w:right w:type="dxa" w:w="110"/>
            </w:tcMar>
          </w:tcPr>
          <w:p>
            <w:pPr>
              <w:spacing w:after="0"/>
            </w:pPr>
            <w:r>
              <w:t xml:space="preserve">Rebate for women buyers</w:t>
            </w:r>
          </w:p>
        </w:tc>
      </w:tr>
      <w:tr>
        <w:trPr>
          <w:cantSplit/>
          <w:tblHeader w:val="false"/>
        </w:trPr>
        <w:tc>
          <w:tcPr>
            <w:tcMar>
              <w:top w:type="dxa" w:w="70"/>
              <w:left w:type="dxa" w:w="110"/>
              <w:bottom w:type="dxa" w:w="70"/>
              <w:right w:type="dxa" w:w="110"/>
            </w:tcMar>
          </w:tcPr>
          <w:p>
            <w:pPr>
              <w:spacing w:after="0"/>
            </w:pPr>
            <w:r>
              <w:t xml:space="preserve">Goa</w:t>
            </w:r>
          </w:p>
        </w:tc>
        <w:tc>
          <w:tcPr>
            <w:tcMar>
              <w:top w:type="dxa" w:w="70"/>
              <w:left w:type="dxa" w:w="110"/>
              <w:bottom w:type="dxa" w:w="70"/>
              <w:right w:type="dxa" w:w="110"/>
            </w:tcMar>
          </w:tcPr>
          <w:p>
            <w:pPr>
              <w:spacing w:after="0"/>
            </w:pPr>
            <w:r>
              <w:t xml:space="preserve">3.5–5%, slab-based</w:t>
            </w:r>
          </w:p>
        </w:tc>
        <w:tc>
          <w:tcPr>
            <w:tcMar>
              <w:top w:type="dxa" w:w="70"/>
              <w:left w:type="dxa" w:w="110"/>
              <w:bottom w:type="dxa" w:w="70"/>
              <w:right w:type="dxa" w:w="110"/>
            </w:tcMar>
          </w:tcPr>
          <w:p>
            <w:pPr>
              <w:spacing w:after="0"/>
            </w:pPr>
            <w:r>
              <w:t xml:space="preserve">Rises with consideration value</w:t>
            </w:r>
          </w:p>
        </w:tc>
      </w:tr>
      <w:tr>
        <w:trPr>
          <w:cantSplit/>
          <w:tblHeader w:val="false"/>
        </w:trPr>
        <w:tc>
          <w:tcPr>
            <w:tcMar>
              <w:top w:type="dxa" w:w="70"/>
              <w:left w:type="dxa" w:w="110"/>
              <w:bottom w:type="dxa" w:w="70"/>
              <w:right w:type="dxa" w:w="110"/>
            </w:tcMar>
          </w:tcPr>
          <w:p>
            <w:pPr>
              <w:spacing w:after="0"/>
            </w:pPr>
            <w:r>
              <w:t xml:space="preserve">Gujarat</w:t>
            </w:r>
          </w:p>
        </w:tc>
        <w:tc>
          <w:tcPr>
            <w:tcMar>
              <w:top w:type="dxa" w:w="70"/>
              <w:left w:type="dxa" w:w="110"/>
              <w:bottom w:type="dxa" w:w="70"/>
              <w:right w:type="dxa" w:w="110"/>
            </w:tcMar>
          </w:tcPr>
          <w:p>
            <w:pPr>
              <w:spacing w:after="0"/>
            </w:pPr>
            <w:r>
              <w:t xml:space="preserve">~4.9% (basic 3.5% + surcharge)</w:t>
            </w:r>
          </w:p>
        </w:tc>
        <w:tc>
          <w:tcPr>
            <w:tcMar>
              <w:top w:type="dxa" w:w="70"/>
              <w:left w:type="dxa" w:w="110"/>
              <w:bottom w:type="dxa" w:w="70"/>
              <w:right w:type="dxa" w:w="110"/>
            </w:tcMar>
          </w:tcPr>
          <w:p>
            <w:pPr>
              <w:spacing w:after="0"/>
            </w:pPr>
            <w:r>
              <w:t xml:space="preserve">1% registration fee waived for sole female buyer</w:t>
            </w:r>
          </w:p>
        </w:tc>
      </w:tr>
      <w:tr>
        <w:trPr>
          <w:cantSplit/>
          <w:tblHeader w:val="false"/>
        </w:trPr>
        <w:tc>
          <w:tcPr>
            <w:tcMar>
              <w:top w:type="dxa" w:w="70"/>
              <w:left w:type="dxa" w:w="110"/>
              <w:bottom w:type="dxa" w:w="70"/>
              <w:right w:type="dxa" w:w="110"/>
            </w:tcMar>
          </w:tcPr>
          <w:p>
            <w:pPr>
              <w:spacing w:after="0"/>
            </w:pPr>
            <w:r>
              <w:t xml:space="preserve">Haryana</w:t>
            </w:r>
          </w:p>
        </w:tc>
        <w:tc>
          <w:tcPr>
            <w:tcMar>
              <w:top w:type="dxa" w:w="70"/>
              <w:left w:type="dxa" w:w="110"/>
              <w:bottom w:type="dxa" w:w="70"/>
              <w:right w:type="dxa" w:w="110"/>
            </w:tcMar>
          </w:tcPr>
          <w:p>
            <w:pPr>
              <w:spacing w:after="0"/>
            </w:pPr>
            <w:r>
              <w:t xml:space="preserve">5% rural / 7% urban</w:t>
            </w:r>
          </w:p>
        </w:tc>
        <w:tc>
          <w:tcPr>
            <w:tcMar>
              <w:top w:type="dxa" w:w="70"/>
              <w:left w:type="dxa" w:w="110"/>
              <w:bottom w:type="dxa" w:w="70"/>
              <w:right w:type="dxa" w:w="110"/>
            </w:tcMar>
          </w:tcPr>
          <w:p>
            <w:pPr>
              <w:spacing w:after="0"/>
            </w:pPr>
            <w:r>
              <w:t xml:space="preserve">1–2% concession for women</w:t>
            </w:r>
          </w:p>
        </w:tc>
      </w:tr>
      <w:tr>
        <w:trPr>
          <w:cantSplit/>
          <w:tblHeader w:val="false"/>
        </w:trPr>
        <w:tc>
          <w:tcPr>
            <w:tcMar>
              <w:top w:type="dxa" w:w="70"/>
              <w:left w:type="dxa" w:w="110"/>
              <w:bottom w:type="dxa" w:w="70"/>
              <w:right w:type="dxa" w:w="110"/>
            </w:tcMar>
          </w:tcPr>
          <w:p>
            <w:pPr>
              <w:spacing w:after="0"/>
            </w:pPr>
            <w:r>
              <w:t xml:space="preserve">Himachal Pradesh</w:t>
            </w:r>
          </w:p>
        </w:tc>
        <w:tc>
          <w:tcPr>
            <w:tcMar>
              <w:top w:type="dxa" w:w="70"/>
              <w:left w:type="dxa" w:w="110"/>
              <w:bottom w:type="dxa" w:w="70"/>
              <w:right w:type="dxa" w:w="110"/>
            </w:tcMar>
          </w:tcPr>
          <w:p>
            <w:pPr>
              <w:spacing w:after="0"/>
            </w:pPr>
            <w:r>
              <w:t xml:space="preserve">~5% (4% for women)</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Jharkhand</w:t>
            </w:r>
          </w:p>
        </w:tc>
        <w:tc>
          <w:tcPr>
            <w:tcMar>
              <w:top w:type="dxa" w:w="70"/>
              <w:left w:type="dxa" w:w="110"/>
              <w:bottom w:type="dxa" w:w="70"/>
              <w:right w:type="dxa" w:w="110"/>
            </w:tcMar>
          </w:tcPr>
          <w:p>
            <w:pPr>
              <w:spacing w:after="0"/>
            </w:pPr>
            <w:r>
              <w:t xml:space="preserve">~4%</w:t>
            </w:r>
          </w:p>
        </w:tc>
        <w:tc>
          <w:tcPr>
            <w:tcMar>
              <w:top w:type="dxa" w:w="70"/>
              <w:left w:type="dxa" w:w="110"/>
              <w:bottom w:type="dxa" w:w="70"/>
              <w:right w:type="dxa" w:w="110"/>
            </w:tcMar>
          </w:tcPr>
          <w:p>
            <w:pPr>
              <w:spacing w:after="0"/>
            </w:pPr>
            <w:r>
              <w:t xml:space="preserve">Plus 3% registration</w:t>
            </w:r>
          </w:p>
        </w:tc>
      </w:tr>
      <w:tr>
        <w:trPr>
          <w:cantSplit/>
          <w:tblHeader w:val="false"/>
        </w:trPr>
        <w:tc>
          <w:tcPr>
            <w:tcMar>
              <w:top w:type="dxa" w:w="70"/>
              <w:left w:type="dxa" w:w="110"/>
              <w:bottom w:type="dxa" w:w="70"/>
              <w:right w:type="dxa" w:w="110"/>
            </w:tcMar>
          </w:tcPr>
          <w:p>
            <w:pPr>
              <w:spacing w:after="0"/>
            </w:pPr>
            <w:r>
              <w:t xml:space="preserve">Karnataka</w:t>
            </w:r>
          </w:p>
        </w:tc>
        <w:tc>
          <w:tcPr>
            <w:tcMar>
              <w:top w:type="dxa" w:w="70"/>
              <w:left w:type="dxa" w:w="110"/>
              <w:bottom w:type="dxa" w:w="70"/>
              <w:right w:type="dxa" w:w="110"/>
            </w:tcMar>
          </w:tcPr>
          <w:p>
            <w:pPr>
              <w:spacing w:after="0"/>
            </w:pPr>
            <w:r>
              <w:t xml:space="preserve">2% below ₹20L, 3% ₹21–45L, 5% above ₹45L</w:t>
            </w:r>
          </w:p>
        </w:tc>
        <w:tc>
          <w:tcPr>
            <w:tcMar>
              <w:top w:type="dxa" w:w="70"/>
              <w:left w:type="dxa" w:w="110"/>
              <w:bottom w:type="dxa" w:w="70"/>
              <w:right w:type="dxa" w:w="110"/>
            </w:tcMar>
          </w:tcPr>
          <w:p>
            <w:pPr>
              <w:spacing w:after="0"/>
            </w:pPr>
            <w:r>
              <w:t xml:space="preserve">Plus cess and surcharge</w:t>
            </w:r>
          </w:p>
        </w:tc>
      </w:tr>
      <w:tr>
        <w:trPr>
          <w:cantSplit/>
          <w:tblHeader w:val="false"/>
        </w:trPr>
        <w:tc>
          <w:tcPr>
            <w:tcMar>
              <w:top w:type="dxa" w:w="70"/>
              <w:left w:type="dxa" w:w="110"/>
              <w:bottom w:type="dxa" w:w="70"/>
              <w:right w:type="dxa" w:w="110"/>
            </w:tcMar>
          </w:tcPr>
          <w:p>
            <w:pPr>
              <w:spacing w:after="0"/>
            </w:pPr>
            <w:r>
              <w:t xml:space="preserve">Kerala</w:t>
            </w:r>
          </w:p>
        </w:tc>
        <w:tc>
          <w:tcPr>
            <w:tcMar>
              <w:top w:type="dxa" w:w="70"/>
              <w:left w:type="dxa" w:w="110"/>
              <w:bottom w:type="dxa" w:w="70"/>
              <w:right w:type="dxa" w:w="110"/>
            </w:tcMar>
          </w:tcPr>
          <w:p>
            <w:pPr>
              <w:spacing w:after="0"/>
            </w:pPr>
            <w:r>
              <w:t xml:space="preserve">~8%</w:t>
            </w:r>
          </w:p>
        </w:tc>
        <w:tc>
          <w:tcPr>
            <w:tcMar>
              <w:top w:type="dxa" w:w="70"/>
              <w:left w:type="dxa" w:w="110"/>
              <w:bottom w:type="dxa" w:w="70"/>
              <w:right w:type="dxa" w:w="110"/>
            </w:tcMar>
          </w:tcPr>
          <w:p>
            <w:pPr>
              <w:spacing w:after="0"/>
            </w:pPr>
            <w:r>
              <w:t xml:space="preserve">Among the highest; plus 2% registration</w:t>
            </w:r>
          </w:p>
        </w:tc>
      </w:tr>
      <w:tr>
        <w:trPr>
          <w:cantSplit/>
          <w:tblHeader w:val="false"/>
        </w:trPr>
        <w:tc>
          <w:tcPr>
            <w:tcMar>
              <w:top w:type="dxa" w:w="70"/>
              <w:left w:type="dxa" w:w="110"/>
              <w:bottom w:type="dxa" w:w="70"/>
              <w:right w:type="dxa" w:w="110"/>
            </w:tcMar>
          </w:tcPr>
          <w:p>
            <w:pPr>
              <w:spacing w:after="0"/>
            </w:pPr>
            <w:r>
              <w:t xml:space="preserve">Madhya Pradesh</w:t>
            </w:r>
          </w:p>
        </w:tc>
        <w:tc>
          <w:tcPr>
            <w:tcMar>
              <w:top w:type="dxa" w:w="70"/>
              <w:left w:type="dxa" w:w="110"/>
              <w:bottom w:type="dxa" w:w="70"/>
              <w:right w:type="dxa" w:w="110"/>
            </w:tcMar>
          </w:tcPr>
          <w:p>
            <w:pPr>
              <w:spacing w:after="0"/>
            </w:pPr>
            <w:r>
              <w:t xml:space="preserve">~7.5% including cess</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Maharashtra</w:t>
            </w:r>
          </w:p>
        </w:tc>
        <w:tc>
          <w:tcPr>
            <w:tcMar>
              <w:top w:type="dxa" w:w="70"/>
              <w:left w:type="dxa" w:w="110"/>
              <w:bottom w:type="dxa" w:w="70"/>
              <w:right w:type="dxa" w:w="110"/>
            </w:tcMar>
          </w:tcPr>
          <w:p>
            <w:pPr>
              <w:spacing w:after="0"/>
            </w:pPr>
            <w:r>
              <w:t xml:space="preserve">5–7% including metro cess and LBT</w:t>
            </w:r>
          </w:p>
        </w:tc>
        <w:tc>
          <w:tcPr>
            <w:tcMar>
              <w:top w:type="dxa" w:w="70"/>
              <w:left w:type="dxa" w:w="110"/>
              <w:bottom w:type="dxa" w:w="70"/>
              <w:right w:type="dxa" w:w="110"/>
            </w:tcMar>
          </w:tcPr>
          <w:p>
            <w:pPr>
              <w:spacing w:after="0"/>
            </w:pPr>
            <w:r>
              <w:t xml:space="preserve">Mumbai ~6%; 1% concession for women</w:t>
            </w:r>
          </w:p>
        </w:tc>
      </w:tr>
      <w:tr>
        <w:trPr>
          <w:cantSplit/>
          <w:tblHeader w:val="false"/>
        </w:trPr>
        <w:tc>
          <w:tcPr>
            <w:tcMar>
              <w:top w:type="dxa" w:w="70"/>
              <w:left w:type="dxa" w:w="110"/>
              <w:bottom w:type="dxa" w:w="70"/>
              <w:right w:type="dxa" w:w="110"/>
            </w:tcMar>
          </w:tcPr>
          <w:p>
            <w:pPr>
              <w:spacing w:after="0"/>
            </w:pPr>
            <w:r>
              <w:t xml:space="preserve">Manipur</w:t>
            </w:r>
          </w:p>
        </w:tc>
        <w:tc>
          <w:tcPr>
            <w:tcMar>
              <w:top w:type="dxa" w:w="70"/>
              <w:left w:type="dxa" w:w="110"/>
              <w:bottom w:type="dxa" w:w="70"/>
              <w:right w:type="dxa" w:w="110"/>
            </w:tcMar>
          </w:tcPr>
          <w:p>
            <w:pPr>
              <w:spacing w:after="0"/>
            </w:pPr>
            <w:r>
              <w:t xml:space="preserve">~7%</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Meghalaya</w:t>
            </w:r>
          </w:p>
        </w:tc>
        <w:tc>
          <w:tcPr>
            <w:tcMar>
              <w:top w:type="dxa" w:w="70"/>
              <w:left w:type="dxa" w:w="110"/>
              <w:bottom w:type="dxa" w:w="70"/>
              <w:right w:type="dxa" w:w="110"/>
            </w:tcMar>
          </w:tcPr>
          <w:p>
            <w:pPr>
              <w:spacing w:after="0"/>
            </w:pPr>
            <w:r>
              <w:t xml:space="preserve">Slab-based up to ~9.9%</w:t>
            </w:r>
          </w:p>
        </w:tc>
        <w:tc>
          <w:tcPr>
            <w:tcMar>
              <w:top w:type="dxa" w:w="70"/>
              <w:left w:type="dxa" w:w="110"/>
              <w:bottom w:type="dxa" w:w="70"/>
              <w:right w:type="dxa" w:w="110"/>
            </w:tcMar>
          </w:tcPr>
          <w:p>
            <w:pPr>
              <w:spacing w:after="0"/>
            </w:pPr>
            <w:r>
              <w:t xml:space="preserve">Among the highest at top slabs</w:t>
            </w:r>
          </w:p>
        </w:tc>
      </w:tr>
      <w:tr>
        <w:trPr>
          <w:cantSplit/>
          <w:tblHeader w:val="false"/>
        </w:trPr>
        <w:tc>
          <w:tcPr>
            <w:tcMar>
              <w:top w:type="dxa" w:w="70"/>
              <w:left w:type="dxa" w:w="110"/>
              <w:bottom w:type="dxa" w:w="70"/>
              <w:right w:type="dxa" w:w="110"/>
            </w:tcMar>
          </w:tcPr>
          <w:p>
            <w:pPr>
              <w:spacing w:after="0"/>
            </w:pPr>
            <w:r>
              <w:t xml:space="preserve">Mizoram</w:t>
            </w:r>
          </w:p>
        </w:tc>
        <w:tc>
          <w:tcPr>
            <w:tcMar>
              <w:top w:type="dxa" w:w="70"/>
              <w:left w:type="dxa" w:w="110"/>
              <w:bottom w:type="dxa" w:w="70"/>
              <w:right w:type="dxa" w:w="110"/>
            </w:tcMar>
          </w:tcPr>
          <w:p>
            <w:pPr>
              <w:spacing w:after="0"/>
            </w:pPr>
            <w:r>
              <w:t xml:space="preserve">~9%</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Nagaland</w:t>
            </w:r>
          </w:p>
        </w:tc>
        <w:tc>
          <w:tcPr>
            <w:tcMar>
              <w:top w:type="dxa" w:w="70"/>
              <w:left w:type="dxa" w:w="110"/>
              <w:bottom w:type="dxa" w:w="70"/>
              <w:right w:type="dxa" w:w="110"/>
            </w:tcMar>
          </w:tcPr>
          <w:p>
            <w:pPr>
              <w:spacing w:after="0"/>
            </w:pPr>
            <w:r>
              <w:t xml:space="preserve">~8.25%</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Odisha</w:t>
            </w:r>
          </w:p>
        </w:tc>
        <w:tc>
          <w:tcPr>
            <w:tcMar>
              <w:top w:type="dxa" w:w="70"/>
              <w:left w:type="dxa" w:w="110"/>
              <w:bottom w:type="dxa" w:w="70"/>
              <w:right w:type="dxa" w:w="110"/>
            </w:tcMar>
          </w:tcPr>
          <w:p>
            <w:pPr>
              <w:spacing w:after="0"/>
            </w:pPr>
            <w:r>
              <w:t xml:space="preserve">~5% (4% for women)</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Punjab</w:t>
            </w:r>
          </w:p>
        </w:tc>
        <w:tc>
          <w:tcPr>
            <w:tcMar>
              <w:top w:type="dxa" w:w="70"/>
              <w:left w:type="dxa" w:w="110"/>
              <w:bottom w:type="dxa" w:w="70"/>
              <w:right w:type="dxa" w:w="110"/>
            </w:tcMar>
          </w:tcPr>
          <w:p>
            <w:pPr>
              <w:spacing w:after="0"/>
            </w:pPr>
            <w:r>
              <w:t xml:space="preserve">~7% including social infrastructure cess</w:t>
            </w:r>
          </w:p>
        </w:tc>
        <w:tc>
          <w:tcPr>
            <w:tcMar>
              <w:top w:type="dxa" w:w="70"/>
              <w:left w:type="dxa" w:w="110"/>
              <w:bottom w:type="dxa" w:w="70"/>
              <w:right w:type="dxa" w:w="110"/>
            </w:tcMar>
          </w:tcPr>
          <w:p>
            <w:pPr>
              <w:spacing w:after="0"/>
            </w:pPr>
            <w:r>
              <w:t xml:space="preserve">5% for women</w:t>
            </w:r>
          </w:p>
        </w:tc>
      </w:tr>
      <w:tr>
        <w:trPr>
          <w:cantSplit/>
          <w:tblHeader w:val="false"/>
        </w:trPr>
        <w:tc>
          <w:tcPr>
            <w:tcMar>
              <w:top w:type="dxa" w:w="70"/>
              <w:left w:type="dxa" w:w="110"/>
              <w:bottom w:type="dxa" w:w="70"/>
              <w:right w:type="dxa" w:w="110"/>
            </w:tcMar>
          </w:tcPr>
          <w:p>
            <w:pPr>
              <w:spacing w:after="0"/>
            </w:pPr>
            <w:r>
              <w:t xml:space="preserve">Rajasthan</w:t>
            </w:r>
          </w:p>
        </w:tc>
        <w:tc>
          <w:tcPr>
            <w:tcMar>
              <w:top w:type="dxa" w:w="70"/>
              <w:left w:type="dxa" w:w="110"/>
              <w:bottom w:type="dxa" w:w="70"/>
              <w:right w:type="dxa" w:w="110"/>
            </w:tcMar>
          </w:tcPr>
          <w:p>
            <w:pPr>
              <w:spacing w:after="0"/>
            </w:pPr>
            <w:r>
              <w:t xml:space="preserve">~6% (5% for women)</w:t>
            </w:r>
          </w:p>
        </w:tc>
        <w:tc>
          <w:tcPr>
            <w:tcMar>
              <w:top w:type="dxa" w:w="70"/>
              <w:left w:type="dxa" w:w="110"/>
              <w:bottom w:type="dxa" w:w="70"/>
              <w:right w:type="dxa" w:w="110"/>
            </w:tcMar>
          </w:tcPr>
          <w:p>
            <w:pPr>
              <w:spacing w:after="0"/>
            </w:pPr>
            <w:r>
              <w:t xml:space="preserve">Plus 20% labour cess on duty</w:t>
            </w:r>
          </w:p>
        </w:tc>
      </w:tr>
      <w:tr>
        <w:trPr>
          <w:cantSplit/>
          <w:tblHeader w:val="false"/>
        </w:trPr>
        <w:tc>
          <w:tcPr>
            <w:tcMar>
              <w:top w:type="dxa" w:w="70"/>
              <w:left w:type="dxa" w:w="110"/>
              <w:bottom w:type="dxa" w:w="70"/>
              <w:right w:type="dxa" w:w="110"/>
            </w:tcMar>
          </w:tcPr>
          <w:p>
            <w:pPr>
              <w:spacing w:after="0"/>
            </w:pPr>
            <w:r>
              <w:t xml:space="preserve">Sikkim</w:t>
            </w:r>
          </w:p>
        </w:tc>
        <w:tc>
          <w:tcPr>
            <w:tcMar>
              <w:top w:type="dxa" w:w="70"/>
              <w:left w:type="dxa" w:w="110"/>
              <w:bottom w:type="dxa" w:w="70"/>
              <w:right w:type="dxa" w:w="110"/>
            </w:tcMar>
          </w:tcPr>
          <w:p>
            <w:pPr>
              <w:spacing w:after="0"/>
            </w:pPr>
            <w:r>
              <w:t xml:space="preserve">~5% (higher for non-Sikkimese)</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Tamil Nadu</w:t>
            </w:r>
          </w:p>
        </w:tc>
        <w:tc>
          <w:tcPr>
            <w:tcMar>
              <w:top w:type="dxa" w:w="70"/>
              <w:left w:type="dxa" w:w="110"/>
              <w:bottom w:type="dxa" w:w="70"/>
              <w:right w:type="dxa" w:w="110"/>
            </w:tcMar>
          </w:tcPr>
          <w:p>
            <w:pPr>
              <w:spacing w:after="0"/>
            </w:pPr>
            <w:r>
              <w:t xml:space="preserve">~7%</w:t>
            </w:r>
          </w:p>
        </w:tc>
        <w:tc>
          <w:tcPr>
            <w:tcMar>
              <w:top w:type="dxa" w:w="70"/>
              <w:left w:type="dxa" w:w="110"/>
              <w:bottom w:type="dxa" w:w="70"/>
              <w:right w:type="dxa" w:w="110"/>
            </w:tcMar>
          </w:tcPr>
          <w:p>
            <w:pPr>
              <w:spacing w:after="0"/>
            </w:pPr>
            <w:r>
              <w:t xml:space="preserve">Plus </w:t>
            </w:r>
            <w:r>
              <w:rPr>
                <w:b/>
                <w:bCs/>
              </w:rPr>
              <w:t xml:space="preserve">4% registration fee</w:t>
            </w:r>
            <w:r>
              <w:t xml:space="preserve"> — highest combined burden in India</w:t>
            </w:r>
          </w:p>
        </w:tc>
      </w:tr>
      <w:tr>
        <w:trPr>
          <w:cantSplit/>
          <w:tblHeader w:val="false"/>
        </w:trPr>
        <w:tc>
          <w:tcPr>
            <w:tcMar>
              <w:top w:type="dxa" w:w="70"/>
              <w:left w:type="dxa" w:w="110"/>
              <w:bottom w:type="dxa" w:w="70"/>
              <w:right w:type="dxa" w:w="110"/>
            </w:tcMar>
          </w:tcPr>
          <w:p>
            <w:pPr>
              <w:spacing w:after="0"/>
            </w:pPr>
            <w:r>
              <w:t xml:space="preserve">Telangana</w:t>
            </w:r>
          </w:p>
        </w:tc>
        <w:tc>
          <w:tcPr>
            <w:tcMar>
              <w:top w:type="dxa" w:w="70"/>
              <w:left w:type="dxa" w:w="110"/>
              <w:bottom w:type="dxa" w:w="70"/>
              <w:right w:type="dxa" w:w="110"/>
            </w:tcMar>
          </w:tcPr>
          <w:p>
            <w:pPr>
              <w:spacing w:after="0"/>
            </w:pPr>
            <w:r>
              <w:t xml:space="preserve">~5%</w:t>
            </w:r>
          </w:p>
        </w:tc>
        <w:tc>
          <w:tcPr>
            <w:tcMar>
              <w:top w:type="dxa" w:w="70"/>
              <w:left w:type="dxa" w:w="110"/>
              <w:bottom w:type="dxa" w:w="70"/>
              <w:right w:type="dxa" w:w="110"/>
            </w:tcMar>
          </w:tcPr>
          <w:p>
            <w:pPr>
              <w:spacing w:after="0"/>
            </w:pPr>
            <w:r>
              <w:t xml:space="preserve">Plus 1.5% transfer duty and 0.5% registration</w:t>
            </w:r>
          </w:p>
        </w:tc>
      </w:tr>
      <w:tr>
        <w:trPr>
          <w:cantSplit/>
          <w:tblHeader w:val="false"/>
        </w:trPr>
        <w:tc>
          <w:tcPr>
            <w:tcMar>
              <w:top w:type="dxa" w:w="70"/>
              <w:left w:type="dxa" w:w="110"/>
              <w:bottom w:type="dxa" w:w="70"/>
              <w:right w:type="dxa" w:w="110"/>
            </w:tcMar>
          </w:tcPr>
          <w:p>
            <w:pPr>
              <w:spacing w:after="0"/>
            </w:pPr>
            <w:r>
              <w:t xml:space="preserve">Tripura</w:t>
            </w:r>
          </w:p>
        </w:tc>
        <w:tc>
          <w:tcPr>
            <w:tcMar>
              <w:top w:type="dxa" w:w="70"/>
              <w:left w:type="dxa" w:w="110"/>
              <w:bottom w:type="dxa" w:w="70"/>
              <w:right w:type="dxa" w:w="110"/>
            </w:tcMar>
          </w:tcPr>
          <w:p>
            <w:pPr>
              <w:spacing w:after="0"/>
            </w:pPr>
            <w:r>
              <w:t xml:space="preserve">~5%</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Uttar Pradesh</w:t>
            </w:r>
          </w:p>
        </w:tc>
        <w:tc>
          <w:tcPr>
            <w:tcMar>
              <w:top w:type="dxa" w:w="70"/>
              <w:left w:type="dxa" w:w="110"/>
              <w:bottom w:type="dxa" w:w="70"/>
              <w:right w:type="dxa" w:w="110"/>
            </w:tcMar>
          </w:tcPr>
          <w:p>
            <w:pPr>
              <w:spacing w:after="0"/>
            </w:pPr>
            <w:r>
              <w:t xml:space="preserve">~7%</w:t>
            </w:r>
          </w:p>
        </w:tc>
        <w:tc>
          <w:tcPr>
            <w:tcMar>
              <w:top w:type="dxa" w:w="70"/>
              <w:left w:type="dxa" w:w="110"/>
              <w:bottom w:type="dxa" w:w="70"/>
              <w:right w:type="dxa" w:w="110"/>
            </w:tcMar>
          </w:tcPr>
          <w:p>
            <w:pPr>
              <w:spacing w:after="0"/>
            </w:pPr>
            <w:r>
              <w:t xml:space="preserve">₹10,000 rebate for female buyers up to ₹10L consideration</w:t>
            </w:r>
          </w:p>
        </w:tc>
      </w:tr>
      <w:tr>
        <w:trPr>
          <w:cantSplit/>
          <w:tblHeader w:val="false"/>
        </w:trPr>
        <w:tc>
          <w:tcPr>
            <w:tcMar>
              <w:top w:type="dxa" w:w="70"/>
              <w:left w:type="dxa" w:w="110"/>
              <w:bottom w:type="dxa" w:w="70"/>
              <w:right w:type="dxa" w:w="110"/>
            </w:tcMar>
          </w:tcPr>
          <w:p>
            <w:pPr>
              <w:spacing w:after="0"/>
            </w:pPr>
            <w:r>
              <w:t xml:space="preserve">Uttarakhand</w:t>
            </w:r>
          </w:p>
        </w:tc>
        <w:tc>
          <w:tcPr>
            <w:tcMar>
              <w:top w:type="dxa" w:w="70"/>
              <w:left w:type="dxa" w:w="110"/>
              <w:bottom w:type="dxa" w:w="70"/>
              <w:right w:type="dxa" w:w="110"/>
            </w:tcMar>
          </w:tcPr>
          <w:p>
            <w:pPr>
              <w:spacing w:after="0"/>
            </w:pPr>
            <w:r>
              <w:t xml:space="preserve">~5% (3.75% for women)</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West Bengal</w:t>
            </w:r>
          </w:p>
        </w:tc>
        <w:tc>
          <w:tcPr>
            <w:tcMar>
              <w:top w:type="dxa" w:w="70"/>
              <w:left w:type="dxa" w:w="110"/>
              <w:bottom w:type="dxa" w:w="70"/>
              <w:right w:type="dxa" w:w="110"/>
            </w:tcMar>
          </w:tcPr>
          <w:p>
            <w:pPr>
              <w:spacing w:after="0"/>
            </w:pPr>
            <w:r>
              <w:t xml:space="preserve">5% rural / 6% urban, +1% above ₹1 crore</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Delhi</w:t>
            </w:r>
          </w:p>
        </w:tc>
        <w:tc>
          <w:tcPr>
            <w:tcMar>
              <w:top w:type="dxa" w:w="70"/>
              <w:left w:type="dxa" w:w="110"/>
              <w:bottom w:type="dxa" w:w="70"/>
              <w:right w:type="dxa" w:w="110"/>
            </w:tcMar>
          </w:tcPr>
          <w:p>
            <w:pPr>
              <w:spacing w:after="0"/>
            </w:pPr>
            <w:r>
              <w:t xml:space="preserve">6% men / 4% women / 5% joint</w:t>
            </w:r>
          </w:p>
        </w:tc>
        <w:tc>
          <w:tcPr>
            <w:tcMar>
              <w:top w:type="dxa" w:w="70"/>
              <w:left w:type="dxa" w:w="110"/>
              <w:bottom w:type="dxa" w:w="70"/>
              <w:right w:type="dxa" w:w="110"/>
            </w:tcMar>
          </w:tcPr>
          <w:p>
            <w:pPr>
              <w:spacing w:after="0"/>
            </w:pPr>
            <w:r>
              <w:t xml:space="preserve">Plus 1% registration</w:t>
            </w:r>
          </w:p>
        </w:tc>
      </w:tr>
      <w:tr>
        <w:trPr>
          <w:cantSplit/>
          <w:tblHeader w:val="false"/>
        </w:trPr>
        <w:tc>
          <w:tcPr>
            <w:tcMar>
              <w:top w:type="dxa" w:w="70"/>
              <w:left w:type="dxa" w:w="110"/>
              <w:bottom w:type="dxa" w:w="70"/>
              <w:right w:type="dxa" w:w="110"/>
            </w:tcMar>
          </w:tcPr>
          <w:p>
            <w:pPr>
              <w:spacing w:after="0"/>
            </w:pPr>
            <w:r>
              <w:t xml:space="preserve">Jammu &amp; Kashmir</w:t>
            </w:r>
          </w:p>
        </w:tc>
        <w:tc>
          <w:tcPr>
            <w:tcMar>
              <w:top w:type="dxa" w:w="70"/>
              <w:left w:type="dxa" w:w="110"/>
              <w:bottom w:type="dxa" w:w="70"/>
              <w:right w:type="dxa" w:w="110"/>
            </w:tcMar>
          </w:tcPr>
          <w:p>
            <w:pPr>
              <w:spacing w:after="0"/>
            </w:pPr>
            <w:r>
              <w:t xml:space="preserve">~5% (3% for women)</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Puducherry</w:t>
            </w:r>
          </w:p>
        </w:tc>
        <w:tc>
          <w:tcPr>
            <w:tcMar>
              <w:top w:type="dxa" w:w="70"/>
              <w:left w:type="dxa" w:w="110"/>
              <w:bottom w:type="dxa" w:w="70"/>
              <w:right w:type="dxa" w:w="110"/>
            </w:tcMar>
          </w:tcPr>
          <w:p>
            <w:pPr>
              <w:spacing w:after="0"/>
            </w:pPr>
            <w:r>
              <w:t xml:space="preserve">~7%</w:t>
            </w:r>
          </w:p>
        </w:tc>
        <w:tc>
          <w:tcPr>
            <w:tcMar>
              <w:top w:type="dxa" w:w="70"/>
              <w:left w:type="dxa" w:w="110"/>
              <w:bottom w:type="dxa" w:w="70"/>
              <w:right w:type="dxa" w:w="110"/>
            </w:tcMar>
          </w:tcPr>
          <w:p>
            <w:pPr>
              <w:spacing w:after="0"/>
            </w:pPr>
            <w:r>
              <w:t xml:space="preserve">Plus registration fee</w:t>
            </w:r>
          </w:p>
        </w:tc>
      </w:tr>
      <w:tr>
        <w:trPr>
          <w:cantSplit/>
          <w:tblHeader w:val="false"/>
        </w:trPr>
        <w:tc>
          <w:tcPr>
            <w:tcMar>
              <w:top w:type="dxa" w:w="70"/>
              <w:left w:type="dxa" w:w="110"/>
              <w:bottom w:type="dxa" w:w="70"/>
              <w:right w:type="dxa" w:w="110"/>
            </w:tcMar>
          </w:tcPr>
          <w:p>
            <w:pPr>
              <w:spacing w:after="0"/>
            </w:pPr>
            <w:r>
              <w:t xml:space="preserve">Chandigarh</w:t>
            </w:r>
          </w:p>
        </w:tc>
        <w:tc>
          <w:tcPr>
            <w:tcMar>
              <w:top w:type="dxa" w:w="70"/>
              <w:left w:type="dxa" w:w="110"/>
              <w:bottom w:type="dxa" w:w="70"/>
              <w:right w:type="dxa" w:w="110"/>
            </w:tcMar>
          </w:tcPr>
          <w:p>
            <w:pPr>
              <w:spacing w:after="0"/>
            </w:pPr>
            <w:r>
              <w:t xml:space="preserve">~6%</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Andaman &amp; Nicobar</w:t>
            </w:r>
          </w:p>
        </w:tc>
        <w:tc>
          <w:tcPr>
            <w:tcMar>
              <w:top w:type="dxa" w:w="70"/>
              <w:left w:type="dxa" w:w="110"/>
              <w:bottom w:type="dxa" w:w="70"/>
              <w:right w:type="dxa" w:w="110"/>
            </w:tcMar>
          </w:tcPr>
          <w:p>
            <w:pPr>
              <w:spacing w:after="0"/>
            </w:pPr>
            <w:r>
              <w:t xml:space="preserve">~5%</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DNH and Daman &amp; Diu</w:t>
            </w:r>
          </w:p>
        </w:tc>
        <w:tc>
          <w:tcPr>
            <w:tcMar>
              <w:top w:type="dxa" w:w="70"/>
              <w:left w:type="dxa" w:w="110"/>
              <w:bottom w:type="dxa" w:w="70"/>
              <w:right w:type="dxa" w:w="110"/>
            </w:tcMar>
          </w:tcPr>
          <w:p>
            <w:pPr>
              <w:spacing w:after="0"/>
            </w:pPr>
            <w:r>
              <w:t xml:space="preserve">~5%</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Ladakh</w:t>
            </w:r>
          </w:p>
        </w:tc>
        <w:tc>
          <w:tcPr>
            <w:tcMar>
              <w:top w:type="dxa" w:w="70"/>
              <w:left w:type="dxa" w:w="110"/>
              <w:bottom w:type="dxa" w:w="70"/>
              <w:right w:type="dxa" w:w="110"/>
            </w:tcMar>
          </w:tcPr>
          <w:p>
            <w:pPr>
              <w:spacing w:after="0"/>
            </w:pPr>
            <w:r>
              <w:t xml:space="preserve">~5%</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Lakshadweep</w:t>
            </w:r>
          </w:p>
        </w:tc>
        <w:tc>
          <w:tcPr>
            <w:tcMar>
              <w:top w:type="dxa" w:w="70"/>
              <w:left w:type="dxa" w:w="110"/>
              <w:bottom w:type="dxa" w:w="70"/>
              <w:right w:type="dxa" w:w="110"/>
            </w:tcMar>
          </w:tcPr>
          <w:p>
            <w:pPr>
              <w:spacing w:after="0"/>
            </w:pPr>
            <w:r>
              <w:t xml:space="preserve">Administrator notification</w:t>
            </w:r>
          </w:p>
        </w:tc>
        <w:tc>
          <w:tcPr>
            <w:tcMar>
              <w:top w:type="dxa" w:w="70"/>
              <w:left w:type="dxa" w:w="110"/>
              <w:bottom w:type="dxa" w:w="70"/>
              <w:right w:type="dxa" w:w="110"/>
            </w:tcMar>
          </w:tcPr>
          <w:p>
            <w:pPr>
              <w:spacing w:after="0"/>
            </w:pPr>
          </w:p>
        </w:tc>
      </w:tr>
    </w:tbl>
    <w:p>
      <w:pPr>
        <w:spacing w:after="40"/>
      </w:pPr>
    </w:p>
    <w:p>
      <w:pPr>
        <w:pStyle w:val="Heading3"/>
        <w:keepNext/>
        <w:keepLines/>
      </w:pPr>
      <w:r>
        <w:t xml:space="preserve">3.3.3 The Circle Rate Problem</w:t>
      </w:r>
    </w:p>
    <w:p>
      <w:r>
        <w:t xml:space="preserve">Stamp duty is charged on the </w:t>
      </w:r>
      <w:r>
        <w:rPr>
          <w:b/>
          <w:bCs/>
        </w:rPr>
        <w:t xml:space="preserve">higher of the transaction value and the government-notified guideline value</w:t>
      </w:r>
      <w:r>
        <w:t xml:space="preserve"> (called circle rate in the north, ready reckoner rate in Maharashtra, guidance value in Karnataka, guideline value in Tamil Nadu). These notified rates are revised at different intervals in different states — annually in some, after gaps of several years in others — and are set at the </w:t>
      </w:r>
      <w:r>
        <w:rPr>
          <w:i/>
          <w:iCs/>
        </w:rPr>
        <w:t xml:space="preserve">district or ward</w:t>
      </w:r>
      <w:r>
        <w:t xml:space="preserve"> level. Two adjacent plots can carry materially different duty because they fall in different survey zones.</w:t>
      </w:r>
    </w:p>
    <w:p>
      <w:pPr>
        <w:pStyle w:val="Heading3"/>
        <w:keepNext/>
        <w:keepLines/>
      </w:pPr>
      <w:r>
        <w:t xml:space="preserve">3.3.4 Business Instruments Beyond Property</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Instrument</w:t>
            </w:r>
          </w:p>
        </w:tc>
        <w:tc>
          <w:tcPr>
            <w:shd w:fill="F0F4FE"/>
            <w:tcMar>
              <w:top w:type="dxa" w:w="70"/>
              <w:left w:type="dxa" w:w="110"/>
              <w:bottom w:type="dxa" w:w="70"/>
              <w:right w:type="dxa" w:w="110"/>
            </w:tcMar>
          </w:tcPr>
          <w:p>
            <w:pPr>
              <w:spacing w:after="0"/>
            </w:pPr>
            <w:r>
              <w:rPr>
                <w:b/>
                <w:bCs/>
                <w:color w:val="112D6A"/>
              </w:rPr>
              <w:t xml:space="preserve">Typical Range</w:t>
            </w:r>
          </w:p>
        </w:tc>
        <w:tc>
          <w:tcPr>
            <w:shd w:fill="F0F4FE"/>
            <w:tcMar>
              <w:top w:type="dxa" w:w="70"/>
              <w:left w:type="dxa" w:w="110"/>
              <w:bottom w:type="dxa" w:w="70"/>
              <w:right w:type="dxa" w:w="110"/>
            </w:tcMar>
          </w:tcPr>
          <w:p>
            <w:pPr>
              <w:spacing w:after="0"/>
            </w:pPr>
            <w:r>
              <w:rPr>
                <w:b/>
                <w:bCs/>
                <w:color w:val="112D6A"/>
              </w:rPr>
              <w:t xml:space="preserve">Notes</w:t>
            </w:r>
          </w:p>
        </w:tc>
      </w:tr>
      <w:tr>
        <w:trPr>
          <w:cantSplit/>
          <w:tblHeader w:val="false"/>
        </w:trPr>
        <w:tc>
          <w:tcPr>
            <w:tcMar>
              <w:top w:type="dxa" w:w="70"/>
              <w:left w:type="dxa" w:w="110"/>
              <w:bottom w:type="dxa" w:w="70"/>
              <w:right w:type="dxa" w:w="110"/>
            </w:tcMar>
          </w:tcPr>
          <w:p>
            <w:pPr>
              <w:spacing w:after="0"/>
            </w:pPr>
            <w:r>
              <w:t xml:space="preserve">Lease / rent agreement</w:t>
            </w:r>
          </w:p>
        </w:tc>
        <w:tc>
          <w:tcPr>
            <w:tcMar>
              <w:top w:type="dxa" w:w="70"/>
              <w:left w:type="dxa" w:w="110"/>
              <w:bottom w:type="dxa" w:w="70"/>
              <w:right w:type="dxa" w:w="110"/>
            </w:tcMar>
          </w:tcPr>
          <w:p>
            <w:pPr>
              <w:spacing w:after="0"/>
            </w:pPr>
            <w:r>
              <w:t xml:space="preserve">0.25%–6% of average annual rent × term, or a slab</w:t>
            </w:r>
          </w:p>
        </w:tc>
        <w:tc>
          <w:tcPr>
            <w:tcMar>
              <w:top w:type="dxa" w:w="70"/>
              <w:left w:type="dxa" w:w="110"/>
              <w:bottom w:type="dxa" w:w="70"/>
              <w:right w:type="dxa" w:w="110"/>
            </w:tcMar>
          </w:tcPr>
          <w:p>
            <w:pPr>
              <w:spacing w:after="0"/>
            </w:pPr>
            <w:r>
              <w:t xml:space="preserve">Maharashtra and Karnataka use term-linked formulae; short leases attract far less</w:t>
            </w:r>
          </w:p>
        </w:tc>
      </w:tr>
      <w:tr>
        <w:trPr>
          <w:cantSplit/>
          <w:tblHeader w:val="false"/>
        </w:trPr>
        <w:tc>
          <w:tcPr>
            <w:tcMar>
              <w:top w:type="dxa" w:w="70"/>
              <w:left w:type="dxa" w:w="110"/>
              <w:bottom w:type="dxa" w:w="70"/>
              <w:right w:type="dxa" w:w="110"/>
            </w:tcMar>
          </w:tcPr>
          <w:p>
            <w:pPr>
              <w:spacing w:after="0"/>
            </w:pPr>
            <w:r>
              <w:t xml:space="preserve">Partnership deed</w:t>
            </w:r>
          </w:p>
        </w:tc>
        <w:tc>
          <w:tcPr>
            <w:tcMar>
              <w:top w:type="dxa" w:w="70"/>
              <w:left w:type="dxa" w:w="110"/>
              <w:bottom w:type="dxa" w:w="70"/>
              <w:right w:type="dxa" w:w="110"/>
            </w:tcMar>
          </w:tcPr>
          <w:p>
            <w:pPr>
              <w:spacing w:after="0"/>
            </w:pPr>
            <w:r>
              <w:t xml:space="preserve">Flat ₹100–₹5,000</w:t>
            </w:r>
          </w:p>
        </w:tc>
        <w:tc>
          <w:tcPr>
            <w:tcMar>
              <w:top w:type="dxa" w:w="70"/>
              <w:left w:type="dxa" w:w="110"/>
              <w:bottom w:type="dxa" w:w="70"/>
              <w:right w:type="dxa" w:w="110"/>
            </w:tcMar>
          </w:tcPr>
          <w:p>
            <w:pPr>
              <w:spacing w:after="0"/>
            </w:pPr>
            <w:r>
              <w:t xml:space="preserve">Varies widely</w:t>
            </w:r>
          </w:p>
        </w:tc>
      </w:tr>
      <w:tr>
        <w:trPr>
          <w:cantSplit/>
          <w:tblHeader w:val="false"/>
        </w:trPr>
        <w:tc>
          <w:tcPr>
            <w:tcMar>
              <w:top w:type="dxa" w:w="70"/>
              <w:left w:type="dxa" w:w="110"/>
              <w:bottom w:type="dxa" w:w="70"/>
              <w:right w:type="dxa" w:w="110"/>
            </w:tcMar>
          </w:tcPr>
          <w:p>
            <w:pPr>
              <w:spacing w:after="0"/>
            </w:pPr>
            <w:r>
              <w:t xml:space="preserve">Power of Attorney</w:t>
            </w:r>
          </w:p>
        </w:tc>
        <w:tc>
          <w:tcPr>
            <w:tcMar>
              <w:top w:type="dxa" w:w="70"/>
              <w:left w:type="dxa" w:w="110"/>
              <w:bottom w:type="dxa" w:w="70"/>
              <w:right w:type="dxa" w:w="110"/>
            </w:tcMar>
          </w:tcPr>
          <w:p>
            <w:pPr>
              <w:spacing w:after="0"/>
            </w:pPr>
            <w:r>
              <w:t xml:space="preserve">Flat, with much higher rates where it confers development or sale rights</w:t>
            </w:r>
          </w:p>
        </w:tc>
        <w:tc>
          <w:tcPr>
            <w:tcMar>
              <w:top w:type="dxa" w:w="70"/>
              <w:left w:type="dxa" w:w="110"/>
              <w:bottom w:type="dxa" w:w="70"/>
              <w:right w:type="dxa" w:w="110"/>
            </w:tcMar>
          </w:tcPr>
          <w:p>
            <w:pPr>
              <w:spacing w:after="0"/>
            </w:pPr>
            <w:r>
              <w:t xml:space="preserve">Several states impose near-conveyance duty on development POAs to prevent avoidance</w:t>
            </w:r>
          </w:p>
        </w:tc>
      </w:tr>
      <w:tr>
        <w:trPr>
          <w:cantSplit/>
          <w:tblHeader w:val="false"/>
        </w:trPr>
        <w:tc>
          <w:tcPr>
            <w:tcMar>
              <w:top w:type="dxa" w:w="70"/>
              <w:left w:type="dxa" w:w="110"/>
              <w:bottom w:type="dxa" w:w="70"/>
              <w:right w:type="dxa" w:w="110"/>
            </w:tcMar>
          </w:tcPr>
          <w:p>
            <w:pPr>
              <w:spacing w:after="0"/>
            </w:pPr>
            <w:r>
              <w:t xml:space="preserve">Mortgage deed</w:t>
            </w:r>
          </w:p>
        </w:tc>
        <w:tc>
          <w:tcPr>
            <w:tcMar>
              <w:top w:type="dxa" w:w="70"/>
              <w:left w:type="dxa" w:w="110"/>
              <w:bottom w:type="dxa" w:w="70"/>
              <w:right w:type="dxa" w:w="110"/>
            </w:tcMar>
          </w:tcPr>
          <w:p>
            <w:pPr>
              <w:spacing w:after="0"/>
            </w:pPr>
            <w:r>
              <w:t xml:space="preserve">0.1%–5%</w:t>
            </w:r>
          </w:p>
        </w:tc>
        <w:tc>
          <w:tcPr>
            <w:tcMar>
              <w:top w:type="dxa" w:w="70"/>
              <w:left w:type="dxa" w:w="110"/>
              <w:bottom w:type="dxa" w:w="70"/>
              <w:right w:type="dxa" w:w="110"/>
            </w:tcMar>
          </w:tcPr>
          <w:p>
            <w:pPr>
              <w:spacing w:after="0"/>
            </w:pPr>
            <w:r>
              <w:t xml:space="preserve">Often capped</w:t>
            </w:r>
          </w:p>
        </w:tc>
      </w:tr>
      <w:tr>
        <w:trPr>
          <w:cantSplit/>
          <w:tblHeader w:val="false"/>
        </w:trPr>
        <w:tc>
          <w:tcPr>
            <w:tcMar>
              <w:top w:type="dxa" w:w="70"/>
              <w:left w:type="dxa" w:w="110"/>
              <w:bottom w:type="dxa" w:w="70"/>
              <w:right w:type="dxa" w:w="110"/>
            </w:tcMar>
          </w:tcPr>
          <w:p>
            <w:pPr>
              <w:spacing w:after="0"/>
            </w:pPr>
            <w:r>
              <w:t xml:space="preserve">Share certificate</w:t>
            </w:r>
          </w:p>
        </w:tc>
        <w:tc>
          <w:tcPr>
            <w:tcMar>
              <w:top w:type="dxa" w:w="70"/>
              <w:left w:type="dxa" w:w="110"/>
              <w:bottom w:type="dxa" w:w="70"/>
              <w:right w:type="dxa" w:w="110"/>
            </w:tcMar>
          </w:tcPr>
          <w:p>
            <w:pPr>
              <w:spacing w:after="0"/>
            </w:pPr>
            <w:r>
              <w:t xml:space="preserve">0.005%–0.1%</w:t>
            </w:r>
          </w:p>
        </w:tc>
        <w:tc>
          <w:tcPr>
            <w:tcMar>
              <w:top w:type="dxa" w:w="70"/>
              <w:left w:type="dxa" w:w="110"/>
              <w:bottom w:type="dxa" w:w="70"/>
              <w:right w:type="dxa" w:w="110"/>
            </w:tcMar>
          </w:tcPr>
          <w:p>
            <w:pPr>
              <w:spacing w:after="0"/>
            </w:pPr>
            <w:r>
              <w:t xml:space="preserve">Now largely centralised through depositories</w:t>
            </w:r>
          </w:p>
        </w:tc>
      </w:tr>
      <w:tr>
        <w:trPr>
          <w:cantSplit/>
          <w:tblHeader w:val="false"/>
        </w:trPr>
        <w:tc>
          <w:tcPr>
            <w:tcMar>
              <w:top w:type="dxa" w:w="70"/>
              <w:left w:type="dxa" w:w="110"/>
              <w:bottom w:type="dxa" w:w="70"/>
              <w:right w:type="dxa" w:w="110"/>
            </w:tcMar>
          </w:tcPr>
          <w:p>
            <w:pPr>
              <w:spacing w:after="0"/>
            </w:pPr>
            <w:r>
              <w:t xml:space="preserve">Debenture issue</w:t>
            </w:r>
          </w:p>
        </w:tc>
        <w:tc>
          <w:tcPr>
            <w:tcMar>
              <w:top w:type="dxa" w:w="70"/>
              <w:left w:type="dxa" w:w="110"/>
              <w:bottom w:type="dxa" w:w="70"/>
              <w:right w:type="dxa" w:w="110"/>
            </w:tcMar>
          </w:tcPr>
          <w:p>
            <w:pPr>
              <w:spacing w:after="0"/>
            </w:pPr>
            <w:r>
              <w:t xml:space="preserve">Centralised 0.005%</w:t>
            </w:r>
          </w:p>
        </w:tc>
        <w:tc>
          <w:tcPr>
            <w:tcMar>
              <w:top w:type="dxa" w:w="70"/>
              <w:left w:type="dxa" w:w="110"/>
              <w:bottom w:type="dxa" w:w="70"/>
              <w:right w:type="dxa" w:w="110"/>
            </w:tcMar>
          </w:tcPr>
          <w:p>
            <w:pPr>
              <w:spacing w:after="0"/>
            </w:pPr>
            <w:r>
              <w:t xml:space="preserve">Post-2019 amendment</w:t>
            </w:r>
          </w:p>
        </w:tc>
      </w:tr>
      <w:tr>
        <w:trPr>
          <w:cantSplit/>
          <w:tblHeader w:val="false"/>
        </w:trPr>
        <w:tc>
          <w:tcPr>
            <w:tcMar>
              <w:top w:type="dxa" w:w="70"/>
              <w:left w:type="dxa" w:w="110"/>
              <w:bottom w:type="dxa" w:w="70"/>
              <w:right w:type="dxa" w:w="110"/>
            </w:tcMar>
          </w:tcPr>
          <w:p>
            <w:pPr>
              <w:spacing w:after="0"/>
            </w:pPr>
            <w:r>
              <w:t xml:space="preserve">LLP agreement</w:t>
            </w:r>
          </w:p>
        </w:tc>
        <w:tc>
          <w:tcPr>
            <w:tcMar>
              <w:top w:type="dxa" w:w="70"/>
              <w:left w:type="dxa" w:w="110"/>
              <w:bottom w:type="dxa" w:w="70"/>
              <w:right w:type="dxa" w:w="110"/>
            </w:tcMar>
          </w:tcPr>
          <w:p>
            <w:pPr>
              <w:spacing w:after="0"/>
            </w:pPr>
            <w:r>
              <w:t xml:space="preserve">State schedule, capital-linked</w:t>
            </w:r>
          </w:p>
        </w:tc>
        <w:tc>
          <w:tcPr>
            <w:tcMar>
              <w:top w:type="dxa" w:w="70"/>
              <w:left w:type="dxa" w:w="110"/>
              <w:bottom w:type="dxa" w:w="70"/>
              <w:right w:type="dxa" w:w="110"/>
            </w:tcMar>
          </w:tcPr>
          <w:p>
            <w:pPr>
              <w:spacing w:after="0"/>
            </w:pPr>
            <w:r>
              <w:t xml:space="preserve">Genuinely different across states</w:t>
            </w:r>
          </w:p>
        </w:tc>
      </w:tr>
      <w:tr>
        <w:trPr>
          <w:cantSplit/>
          <w:tblHeader w:val="false"/>
        </w:trPr>
        <w:tc>
          <w:tcPr>
            <w:tcMar>
              <w:top w:type="dxa" w:w="70"/>
              <w:left w:type="dxa" w:w="110"/>
              <w:bottom w:type="dxa" w:w="70"/>
              <w:right w:type="dxa" w:w="110"/>
            </w:tcMar>
          </w:tcPr>
          <w:p>
            <w:pPr>
              <w:spacing w:after="0"/>
            </w:pPr>
            <w:r>
              <w:t xml:space="preserve">Loan agreement</w:t>
            </w:r>
          </w:p>
        </w:tc>
        <w:tc>
          <w:tcPr>
            <w:tcMar>
              <w:top w:type="dxa" w:w="70"/>
              <w:left w:type="dxa" w:w="110"/>
              <w:bottom w:type="dxa" w:w="70"/>
              <w:right w:type="dxa" w:w="110"/>
            </w:tcMar>
          </w:tcPr>
          <w:p>
            <w:pPr>
              <w:spacing w:after="0"/>
            </w:pPr>
            <w:r>
              <w:t xml:space="preserve">Flat or 0.1%–0.5% with cap</w:t>
            </w:r>
          </w:p>
        </w:tc>
        <w:tc>
          <w:tcPr>
            <w:tcMar>
              <w:top w:type="dxa" w:w="70"/>
              <w:left w:type="dxa" w:w="110"/>
              <w:bottom w:type="dxa" w:w="70"/>
              <w:right w:type="dxa" w:w="110"/>
            </w:tcMar>
          </w:tcPr>
          <w:p>
            <w:pPr>
              <w:spacing w:after="0"/>
            </w:pPr>
          </w:p>
        </w:tc>
      </w:tr>
    </w:tbl>
    <w:p>
      <w:pPr>
        <w:spacing w:after="40"/>
      </w:pPr>
    </w:p>
    <w:p>
      <w:pPr>
        <w:pStyle w:val="Heading2"/>
        <w:keepNext/>
        <w:keepLines/>
      </w:pPr>
      <w:r>
        <w:t xml:space="preserve">3.4 Other State-Level Taxes and Levies</w:t>
      </w:r>
    </w:p>
    <w:p>
      <w:pPr>
        <w:pStyle w:val="Heading3"/>
        <w:keepNext/>
        <w:keepLines/>
      </w:pPr>
      <w:r>
        <w:t xml:space="preserve">3.4.1 Electricity Duty</w:t>
      </w:r>
    </w:p>
    <w:p>
      <w:r>
        <w:t xml:space="preserve">A state levy on top of the tariff, ranging from nil to double digits as a percentage of energy charges. Industrial policy in several states (Gujarat, Madhya Pradesh, Uttar Pradesh, Uttarakhand, the North-East) grants </w:t>
      </w:r>
      <w:r>
        <w:rPr>
          <w:b/>
          <w:bCs/>
        </w:rPr>
        <w:t xml:space="preserve">electricity duty exemption for five to ten years</w:t>
      </w:r>
      <w:r>
        <w:t xml:space="preserve"> to new industrial units — a genuine and often decisive location incentive. Tariffs themselves are set by each </w:t>
      </w:r>
      <w:r>
        <w:rPr>
          <w:b/>
          <w:bCs/>
        </w:rPr>
        <w:t xml:space="preserve">State Electricity Regulatory Commission (SERC)</w:t>
      </w:r>
      <w:r>
        <w:t xml:space="preserve">, so the per-unit industrial cost differs substantially: historically lowest in states with strong hydro or subsidised industrial slabs, highest in states cross-subsidising agriculture heavily.</w:t>
      </w:r>
    </w:p>
    <w:p>
      <w:pPr>
        <w:pStyle w:val="Heading3"/>
        <w:keepNext/>
        <w:keepLines/>
      </w:pPr>
      <w:r>
        <w:t xml:space="preserve">3.4.2 Motor Vehicle Road Tax</w:t>
      </w:r>
    </w:p>
    <w:p>
      <w:r>
        <w:t xml:space="preserve">A one-time lifetime tax on private vehicles and an annual/quarterly tax on commercial vehicles, set by each state as a percentage of invoice value. Ranges roughly from 6% to 20%+ depending on state, vehicle price band and fuel type. Karnataka, Maharashtra, Telangana and Kerala sit at the higher end; several North-Eastern states and UTs are markedly lower — which is why vehicle registration arbitrage is a recurring enforcement issue.</w:t>
      </w:r>
    </w:p>
    <w:p>
      <w:pPr>
        <w:pStyle w:val="Heading3"/>
        <w:keepNext/>
        <w:keepLines/>
      </w:pPr>
      <w:r>
        <w:t xml:space="preserve">3.4.3 Property Tax</w:t>
      </w:r>
    </w:p>
    <w:p>
      <w:r>
        <w:t xml:space="preserve">Assessed by the municipal corporation on one of three bases:</w:t>
      </w:r>
    </w:p>
    <w:p>
      <w:pPr>
        <w:pStyle w:val="ListParagraph"/>
        <w:numPr>
          <w:ilvl w:val="0"/>
          <w:numId w:val="1"/>
        </w:numPr>
        <w:spacing w:after="60"/>
      </w:pPr>
      <w:r>
        <w:rPr>
          <w:b/>
          <w:bCs/>
        </w:rPr>
        <w:t xml:space="preserve">Annual Rental Value (ARV)</w:t>
      </w:r>
      <w:r>
        <w:t xml:space="preserve"> — Chennai, Hyderabad, older Delhi system</w:t>
      </w:r>
    </w:p>
    <w:p>
      <w:pPr>
        <w:pStyle w:val="ListParagraph"/>
        <w:numPr>
          <w:ilvl w:val="0"/>
          <w:numId w:val="1"/>
        </w:numPr>
        <w:spacing w:after="60"/>
      </w:pPr>
      <w:r>
        <w:rPr>
          <w:b/>
          <w:bCs/>
        </w:rPr>
        <w:t xml:space="preserve">Capital Value System (CVS)</w:t>
      </w:r>
      <w:r>
        <w:t xml:space="preserve"> — Mumbai</w:t>
      </w:r>
    </w:p>
    <w:p>
      <w:pPr>
        <w:pStyle w:val="ListParagraph"/>
        <w:numPr>
          <w:ilvl w:val="0"/>
          <w:numId w:val="1"/>
        </w:numPr>
        <w:spacing w:after="60"/>
      </w:pPr>
      <w:r>
        <w:rPr>
          <w:b/>
          <w:bCs/>
        </w:rPr>
        <w:t xml:space="preserve">Unit Area System (UAS)</w:t>
      </w:r>
      <w:r>
        <w:t xml:space="preserve"> — Delhi, Bengaluru, Kolkata</w:t>
      </w:r>
    </w:p>
    <w:p>
      <w:r>
        <w:t xml:space="preserve">The base, the rate, the exemptions and the rebate for early payment all differ by city, not merely by state.</w:t>
      </w:r>
    </w:p>
    <w:p>
      <w:pPr>
        <w:pStyle w:val="Heading3"/>
        <w:keepNext/>
        <w:keepLines/>
      </w:pPr>
      <w:r>
        <w:t xml:space="preserve">3.4.4 Entertainment and Advertisement Tax</w:t>
      </w:r>
    </w:p>
    <w:p>
      <w:r>
        <w:t xml:space="preserve">Largely subsumed into GST, </w:t>
      </w:r>
      <w:r>
        <w:rPr>
          <w:b/>
          <w:bCs/>
        </w:rPr>
        <w:t xml:space="preserve">except</w:t>
      </w:r>
      <w:r>
        <w:t xml:space="preserve"> entertainment tax levied by local bodies, which was expressly preserved. Advertisement and hoarding tax remains a municipal levy with wide variation.</w:t>
      </w:r>
    </w:p>
    <w:p>
      <w:pPr>
        <w:pStyle w:val="Heading3"/>
        <w:keepNext/>
        <w:keepLines/>
      </w:pPr>
      <w:r>
        <w:t xml:space="preserve">3.4.5 Excise Duty on Alcohol and VAT on Fuel</w:t>
      </w:r>
    </w:p>
    <w:p>
      <w:r>
        <w:t xml:space="preserve">Both stand entirely outside GST and are the two largest own-tax revenue sources for most states. Fuel VAT ranges from roughly 15% to over 30%, which is why pump prices differ across state borders. Excise structures are covered in Section 6.</w:t>
      </w:r>
    </w:p>
    <w:p>
      <w:pPr>
        <w:pStyle w:val="Heading1"/>
        <w:keepNext/>
        <w:keepLines/>
        <w:pBdr>
          <w:bottom w:val="single" w:color="2157CF" w:sz="8" w:space="3"/>
        </w:pBdr>
      </w:pPr>
      <w:r>
        <w:t xml:space="preserve">4. Labour &amp; Employment</w:t>
      </w:r>
    </w:p>
    <w:p>
      <w:pPr>
        <w:pStyle w:val="Heading2"/>
        <w:keepNext/>
        <w:keepLines/>
      </w:pPr>
      <w:r>
        <w:t xml:space="preserve">4.1 The Central Layer</w:t>
      </w:r>
    </w:p>
    <w:p>
      <w:pPr>
        <w:pStyle w:val="Heading3"/>
        <w:keepNext/>
        <w:keepLines/>
      </w:pPr>
      <w:r>
        <w:t xml:space="preserve">4.1.1 The Four Labour Codes</w:t>
      </w:r>
    </w:p>
    <w:p>
      <w:r>
        <w:t xml:space="preserve">India consolidated 29 central labour laws into four codes: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Code</w:t>
            </w:r>
          </w:p>
        </w:tc>
        <w:tc>
          <w:tcPr>
            <w:shd w:fill="F0F4FE"/>
            <w:tcMar>
              <w:top w:type="dxa" w:w="70"/>
              <w:left w:type="dxa" w:w="110"/>
              <w:bottom w:type="dxa" w:w="70"/>
              <w:right w:type="dxa" w:w="110"/>
            </w:tcMar>
          </w:tcPr>
          <w:p>
            <w:pPr>
              <w:spacing w:after="0"/>
            </w:pPr>
            <w:r>
              <w:rPr>
                <w:b/>
                <w:bCs/>
                <w:color w:val="112D6A"/>
              </w:rPr>
              <w:t xml:space="preserve">Year</w:t>
            </w:r>
          </w:p>
        </w:tc>
        <w:tc>
          <w:tcPr>
            <w:shd w:fill="F0F4FE"/>
            <w:tcMar>
              <w:top w:type="dxa" w:w="70"/>
              <w:left w:type="dxa" w:w="110"/>
              <w:bottom w:type="dxa" w:w="70"/>
              <w:right w:type="dxa" w:w="110"/>
            </w:tcMar>
          </w:tcPr>
          <w:p>
            <w:pPr>
              <w:spacing w:after="0"/>
            </w:pPr>
            <w:r>
              <w:rPr>
                <w:b/>
                <w:bCs/>
                <w:color w:val="112D6A"/>
              </w:rPr>
              <w:t xml:space="preserve">Subsumes</w:t>
            </w:r>
          </w:p>
        </w:tc>
        <w:tc>
          <w:tcPr>
            <w:shd w:fill="F0F4FE"/>
            <w:tcMar>
              <w:top w:type="dxa" w:w="70"/>
              <w:left w:type="dxa" w:w="110"/>
              <w:bottom w:type="dxa" w:w="70"/>
              <w:right w:type="dxa" w:w="110"/>
            </w:tcMar>
          </w:tcPr>
          <w:p>
            <w:pPr>
              <w:spacing w:after="0"/>
            </w:pPr>
            <w:r>
              <w:rPr>
                <w:b/>
                <w:bCs/>
                <w:color w:val="112D6A"/>
              </w:rPr>
              <w:t xml:space="preserve">Key Business Impact</w:t>
            </w:r>
          </w:p>
        </w:tc>
      </w:tr>
      <w:tr>
        <w:trPr>
          <w:cantSplit/>
          <w:tblHeader w:val="false"/>
        </w:trPr>
        <w:tc>
          <w:tcPr>
            <w:tcMar>
              <w:top w:type="dxa" w:w="70"/>
              <w:left w:type="dxa" w:w="110"/>
              <w:bottom w:type="dxa" w:w="70"/>
              <w:right w:type="dxa" w:w="110"/>
            </w:tcMar>
          </w:tcPr>
          <w:p>
            <w:pPr>
              <w:spacing w:after="0"/>
            </w:pPr>
            <w:r>
              <w:rPr>
                <w:b/>
                <w:bCs/>
              </w:rPr>
              <w:t xml:space="preserve">Code on Wages</w:t>
            </w:r>
          </w:p>
        </w:tc>
        <w:tc>
          <w:tcPr>
            <w:tcMar>
              <w:top w:type="dxa" w:w="70"/>
              <w:left w:type="dxa" w:w="110"/>
              <w:bottom w:type="dxa" w:w="70"/>
              <w:right w:type="dxa" w:w="110"/>
            </w:tcMar>
          </w:tcPr>
          <w:p>
            <w:pPr>
              <w:spacing w:after="0"/>
            </w:pPr>
            <w:r>
              <w:t xml:space="preserve">2019</w:t>
            </w:r>
          </w:p>
        </w:tc>
        <w:tc>
          <w:tcPr>
            <w:tcMar>
              <w:top w:type="dxa" w:w="70"/>
              <w:left w:type="dxa" w:w="110"/>
              <w:bottom w:type="dxa" w:w="70"/>
              <w:right w:type="dxa" w:w="110"/>
            </w:tcMar>
          </w:tcPr>
          <w:p>
            <w:pPr>
              <w:spacing w:after="0"/>
            </w:pPr>
            <w:r>
              <w:t xml:space="preserve">Minimum Wages Act, Payment of Wages Act, Payment of Bonus Act, Equal Remuneration Act</w:t>
            </w:r>
          </w:p>
        </w:tc>
        <w:tc>
          <w:tcPr>
            <w:tcMar>
              <w:top w:type="dxa" w:w="70"/>
              <w:left w:type="dxa" w:w="110"/>
              <w:bottom w:type="dxa" w:w="70"/>
              <w:right w:type="dxa" w:w="110"/>
            </w:tcMar>
          </w:tcPr>
          <w:p>
            <w:pPr>
              <w:spacing w:after="0"/>
            </w:pPr>
            <w:r>
              <w:t xml:space="preserve">Universal minimum wage floor; statutory definition of “wages” capping allowances at 50% of total remuneration, which raises PF and gratuity cost</w:t>
            </w:r>
          </w:p>
        </w:tc>
      </w:tr>
      <w:tr>
        <w:trPr>
          <w:cantSplit/>
          <w:tblHeader w:val="false"/>
        </w:trPr>
        <w:tc>
          <w:tcPr>
            <w:tcMar>
              <w:top w:type="dxa" w:w="70"/>
              <w:left w:type="dxa" w:w="110"/>
              <w:bottom w:type="dxa" w:w="70"/>
              <w:right w:type="dxa" w:w="110"/>
            </w:tcMar>
          </w:tcPr>
          <w:p>
            <w:pPr>
              <w:spacing w:after="0"/>
            </w:pPr>
            <w:r>
              <w:rPr>
                <w:b/>
                <w:bCs/>
              </w:rPr>
              <w:t xml:space="preserve">Industrial Relations Code</w:t>
            </w:r>
          </w:p>
        </w:tc>
        <w:tc>
          <w:tcPr>
            <w:tcMar>
              <w:top w:type="dxa" w:w="70"/>
              <w:left w:type="dxa" w:w="110"/>
              <w:bottom w:type="dxa" w:w="70"/>
              <w:right w:type="dxa" w:w="110"/>
            </w:tcMar>
          </w:tcPr>
          <w:p>
            <w:pPr>
              <w:spacing w:after="0"/>
            </w:pPr>
            <w:r>
              <w:t xml:space="preserve">2020</w:t>
            </w:r>
          </w:p>
        </w:tc>
        <w:tc>
          <w:tcPr>
            <w:tcMar>
              <w:top w:type="dxa" w:w="70"/>
              <w:left w:type="dxa" w:w="110"/>
              <w:bottom w:type="dxa" w:w="70"/>
              <w:right w:type="dxa" w:w="110"/>
            </w:tcMar>
          </w:tcPr>
          <w:p>
            <w:pPr>
              <w:spacing w:after="0"/>
            </w:pPr>
            <w:r>
              <w:t xml:space="preserve">Trade Unions Act, Industrial Employment (Standing Orders) Act, Industrial Disputes Act</w:t>
            </w:r>
          </w:p>
        </w:tc>
        <w:tc>
          <w:tcPr>
            <w:tcMar>
              <w:top w:type="dxa" w:w="70"/>
              <w:left w:type="dxa" w:w="110"/>
              <w:bottom w:type="dxa" w:w="70"/>
              <w:right w:type="dxa" w:w="110"/>
            </w:tcMar>
          </w:tcPr>
          <w:p>
            <w:pPr>
              <w:spacing w:after="0"/>
            </w:pPr>
            <w:r>
              <w:t xml:space="preserve">Standing orders threshold raised to 300 workers; retrenchment/closure permission threshold raised to 300 (states may vary upward); fixed-term employment formalised with pro-rata gratuity</w:t>
            </w:r>
          </w:p>
        </w:tc>
      </w:tr>
      <w:tr>
        <w:trPr>
          <w:cantSplit/>
          <w:tblHeader w:val="false"/>
        </w:trPr>
        <w:tc>
          <w:tcPr>
            <w:tcMar>
              <w:top w:type="dxa" w:w="70"/>
              <w:left w:type="dxa" w:w="110"/>
              <w:bottom w:type="dxa" w:w="70"/>
              <w:right w:type="dxa" w:w="110"/>
            </w:tcMar>
          </w:tcPr>
          <w:p>
            <w:pPr>
              <w:spacing w:after="0"/>
            </w:pPr>
            <w:r>
              <w:rPr>
                <w:b/>
                <w:bCs/>
              </w:rPr>
              <w:t xml:space="preserve">Code on Social Security</w:t>
            </w:r>
          </w:p>
        </w:tc>
        <w:tc>
          <w:tcPr>
            <w:tcMar>
              <w:top w:type="dxa" w:w="70"/>
              <w:left w:type="dxa" w:w="110"/>
              <w:bottom w:type="dxa" w:w="70"/>
              <w:right w:type="dxa" w:w="110"/>
            </w:tcMar>
          </w:tcPr>
          <w:p>
            <w:pPr>
              <w:spacing w:after="0"/>
            </w:pPr>
            <w:r>
              <w:t xml:space="preserve">2020</w:t>
            </w:r>
          </w:p>
        </w:tc>
        <w:tc>
          <w:tcPr>
            <w:tcMar>
              <w:top w:type="dxa" w:w="70"/>
              <w:left w:type="dxa" w:w="110"/>
              <w:bottom w:type="dxa" w:w="70"/>
              <w:right w:type="dxa" w:w="110"/>
            </w:tcMar>
          </w:tcPr>
          <w:p>
            <w:pPr>
              <w:spacing w:after="0"/>
            </w:pPr>
            <w:r>
              <w:t xml:space="preserve">EPF Act, ESI Act, Maternity Benefit Act, Gratuity Act, Employees’ Compensation Act, Building &amp; Other Construction Workers Act, Unorganised Workers Act</w:t>
            </w:r>
          </w:p>
        </w:tc>
        <w:tc>
          <w:tcPr>
            <w:tcMar>
              <w:top w:type="dxa" w:w="70"/>
              <w:left w:type="dxa" w:w="110"/>
              <w:bottom w:type="dxa" w:w="70"/>
              <w:right w:type="dxa" w:w="110"/>
            </w:tcMar>
          </w:tcPr>
          <w:p>
            <w:pPr>
              <w:spacing w:after="0"/>
            </w:pPr>
            <w:r>
              <w:t xml:space="preserve">Extends social security to gig and platform workers; aggregator contribution of 1–2% of turnover</w:t>
            </w:r>
          </w:p>
        </w:tc>
      </w:tr>
      <w:tr>
        <w:trPr>
          <w:cantSplit/>
          <w:tblHeader w:val="false"/>
        </w:trPr>
        <w:tc>
          <w:tcPr>
            <w:tcMar>
              <w:top w:type="dxa" w:w="70"/>
              <w:left w:type="dxa" w:w="110"/>
              <w:bottom w:type="dxa" w:w="70"/>
              <w:right w:type="dxa" w:w="110"/>
            </w:tcMar>
          </w:tcPr>
          <w:p>
            <w:pPr>
              <w:spacing w:after="0"/>
            </w:pPr>
            <w:r>
              <w:rPr>
                <w:b/>
                <w:bCs/>
              </w:rPr>
              <w:t xml:space="preserve">Occupational Safety, Health &amp; Working Conditions Code</w:t>
            </w:r>
          </w:p>
        </w:tc>
        <w:tc>
          <w:tcPr>
            <w:tcMar>
              <w:top w:type="dxa" w:w="70"/>
              <w:left w:type="dxa" w:w="110"/>
              <w:bottom w:type="dxa" w:w="70"/>
              <w:right w:type="dxa" w:w="110"/>
            </w:tcMar>
          </w:tcPr>
          <w:p>
            <w:pPr>
              <w:spacing w:after="0"/>
            </w:pPr>
            <w:r>
              <w:t xml:space="preserve">2020</w:t>
            </w:r>
          </w:p>
        </w:tc>
        <w:tc>
          <w:tcPr>
            <w:tcMar>
              <w:top w:type="dxa" w:w="70"/>
              <w:left w:type="dxa" w:w="110"/>
              <w:bottom w:type="dxa" w:w="70"/>
              <w:right w:type="dxa" w:w="110"/>
            </w:tcMar>
          </w:tcPr>
          <w:p>
            <w:pPr>
              <w:spacing w:after="0"/>
            </w:pPr>
            <w:r>
              <w:t xml:space="preserve">Factories Act, Contract Labour Act, Inter-State Migrant Workmen Act, Mines Act, and 9 others</w:t>
            </w:r>
          </w:p>
        </w:tc>
        <w:tc>
          <w:tcPr>
            <w:tcMar>
              <w:top w:type="dxa" w:w="70"/>
              <w:left w:type="dxa" w:w="110"/>
              <w:bottom w:type="dxa" w:w="70"/>
              <w:right w:type="dxa" w:w="110"/>
            </w:tcMar>
          </w:tcPr>
          <w:p>
            <w:pPr>
              <w:spacing w:after="0"/>
            </w:pPr>
            <w:r>
              <w:t xml:space="preserve">Single registration and licence; contract labour threshold raised to 50; annual health checks; appointment letters mandatory</w:t>
            </w:r>
          </w:p>
        </w:tc>
      </w:tr>
    </w:tbl>
    <w:p>
      <w:pPr>
        <w:spacing w:after="40"/>
      </w:pPr>
    </w:p>
    <w:p>
      <w:r>
        <w:rPr>
          <w:b/>
          <w:bCs/>
        </w:rPr>
        <w:t xml:space="preserve">The critical point:</w:t>
      </w:r>
      <w:r>
        <w:t xml:space="preserve"> the codes require </w:t>
      </w:r>
      <w:r>
        <w:rPr>
          <w:b/>
          <w:bCs/>
        </w:rPr>
        <w:t xml:space="preserve">state rules</w:t>
      </w:r>
      <w:r>
        <w:t xml:space="preserve"> to become operational. Labour is a Concurrent subject, so each state must notify its own rules. Most states have published draft or final rules, but implementation has been staggered and incomplete. Until a given state notifies, the </w:t>
      </w:r>
      <w:r>
        <w:rPr>
          <w:i/>
          <w:iCs/>
        </w:rPr>
        <w:t xml:space="preserve">old</w:t>
      </w:r>
      <w:r>
        <w:t xml:space="preserve"> Acts continue to apply there. This means a national employer may simultaneously be governed by the Factories Act in one state and the OSH Code in another.</w:t>
      </w:r>
    </w:p>
    <w:p>
      <w:pPr>
        <w:pStyle w:val="Heading3"/>
        <w:keepNext/>
        <w:keepLines/>
      </w:pPr>
      <w:r>
        <w:t xml:space="preserve">4.1.2 Genuinely Uniform Central Obligations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Obligation</w:t>
            </w:r>
          </w:p>
        </w:tc>
        <w:tc>
          <w:tcPr>
            <w:shd w:fill="F0F4FE"/>
            <w:tcMar>
              <w:top w:type="dxa" w:w="70"/>
              <w:left w:type="dxa" w:w="110"/>
              <w:bottom w:type="dxa" w:w="70"/>
              <w:right w:type="dxa" w:w="110"/>
            </w:tcMar>
          </w:tcPr>
          <w:p>
            <w:pPr>
              <w:spacing w:after="0"/>
            </w:pPr>
            <w:r>
              <w:rPr>
                <w:b/>
                <w:bCs/>
                <w:color w:val="112D6A"/>
              </w:rPr>
              <w:t xml:space="preserve">Threshold</w:t>
            </w:r>
          </w:p>
        </w:tc>
        <w:tc>
          <w:tcPr>
            <w:shd w:fill="F0F4FE"/>
            <w:tcMar>
              <w:top w:type="dxa" w:w="70"/>
              <w:left w:type="dxa" w:w="110"/>
              <w:bottom w:type="dxa" w:w="70"/>
              <w:right w:type="dxa" w:w="110"/>
            </w:tcMar>
          </w:tcPr>
          <w:p>
            <w:pPr>
              <w:spacing w:after="0"/>
            </w:pPr>
            <w:r>
              <w:rPr>
                <w:b/>
                <w:bCs/>
                <w:color w:val="112D6A"/>
              </w:rPr>
              <w:t xml:space="preserve">Authority</w:t>
            </w:r>
          </w:p>
        </w:tc>
      </w:tr>
      <w:tr>
        <w:trPr>
          <w:cantSplit/>
          <w:tblHeader w:val="false"/>
        </w:trPr>
        <w:tc>
          <w:tcPr>
            <w:tcMar>
              <w:top w:type="dxa" w:w="70"/>
              <w:left w:type="dxa" w:w="110"/>
              <w:bottom w:type="dxa" w:w="70"/>
              <w:right w:type="dxa" w:w="110"/>
            </w:tcMar>
          </w:tcPr>
          <w:p>
            <w:pPr>
              <w:spacing w:after="0"/>
            </w:pPr>
            <w:r>
              <w:rPr>
                <w:b/>
                <w:bCs/>
              </w:rPr>
              <w:t xml:space="preserve">EPF</w:t>
            </w:r>
          </w:p>
        </w:tc>
        <w:tc>
          <w:tcPr>
            <w:tcMar>
              <w:top w:type="dxa" w:w="70"/>
              <w:left w:type="dxa" w:w="110"/>
              <w:bottom w:type="dxa" w:w="70"/>
              <w:right w:type="dxa" w:w="110"/>
            </w:tcMar>
          </w:tcPr>
          <w:p>
            <w:pPr>
              <w:spacing w:after="0"/>
            </w:pPr>
            <w:r>
              <w:t xml:space="preserve">20+ employees; voluntary below</w:t>
            </w:r>
          </w:p>
        </w:tc>
        <w:tc>
          <w:tcPr>
            <w:tcMar>
              <w:top w:type="dxa" w:w="70"/>
              <w:left w:type="dxa" w:w="110"/>
              <w:bottom w:type="dxa" w:w="70"/>
              <w:right w:type="dxa" w:w="110"/>
            </w:tcMar>
          </w:tcPr>
          <w:p>
            <w:pPr>
              <w:spacing w:after="0"/>
            </w:pPr>
            <w:r>
              <w:t xml:space="preserve">EPFO — 12% employee + 12% employer on basic+DA, wage ceiling ₹15,000</w:t>
            </w:r>
          </w:p>
        </w:tc>
      </w:tr>
      <w:tr>
        <w:trPr>
          <w:cantSplit/>
          <w:tblHeader w:val="false"/>
        </w:trPr>
        <w:tc>
          <w:tcPr>
            <w:tcMar>
              <w:top w:type="dxa" w:w="70"/>
              <w:left w:type="dxa" w:w="110"/>
              <w:bottom w:type="dxa" w:w="70"/>
              <w:right w:type="dxa" w:w="110"/>
            </w:tcMar>
          </w:tcPr>
          <w:p>
            <w:pPr>
              <w:spacing w:after="0"/>
            </w:pPr>
            <w:r>
              <w:rPr>
                <w:b/>
                <w:bCs/>
              </w:rPr>
              <w:t xml:space="preserve">ESI</w:t>
            </w:r>
          </w:p>
        </w:tc>
        <w:tc>
          <w:tcPr>
            <w:tcMar>
              <w:top w:type="dxa" w:w="70"/>
              <w:left w:type="dxa" w:w="110"/>
              <w:bottom w:type="dxa" w:w="70"/>
              <w:right w:type="dxa" w:w="110"/>
            </w:tcMar>
          </w:tcPr>
          <w:p>
            <w:pPr>
              <w:spacing w:after="0"/>
            </w:pPr>
            <w:r>
              <w:t xml:space="preserve">10 or 20+ employees depending on state notification, in notified areas, for employees earning up to ₹21,000</w:t>
            </w:r>
          </w:p>
        </w:tc>
        <w:tc>
          <w:tcPr>
            <w:tcMar>
              <w:top w:type="dxa" w:w="70"/>
              <w:left w:type="dxa" w:w="110"/>
              <w:bottom w:type="dxa" w:w="70"/>
              <w:right w:type="dxa" w:w="110"/>
            </w:tcMar>
          </w:tcPr>
          <w:p>
            <w:pPr>
              <w:spacing w:after="0"/>
            </w:pPr>
            <w:r>
              <w:t xml:space="preserve">ESIC — 0.75% employee + 3.25% employer</w:t>
            </w:r>
          </w:p>
        </w:tc>
      </w:tr>
      <w:tr>
        <w:trPr>
          <w:cantSplit/>
          <w:tblHeader w:val="false"/>
        </w:trPr>
        <w:tc>
          <w:tcPr>
            <w:tcMar>
              <w:top w:type="dxa" w:w="70"/>
              <w:left w:type="dxa" w:w="110"/>
              <w:bottom w:type="dxa" w:w="70"/>
              <w:right w:type="dxa" w:w="110"/>
            </w:tcMar>
          </w:tcPr>
          <w:p>
            <w:pPr>
              <w:spacing w:after="0"/>
            </w:pPr>
            <w:r>
              <w:rPr>
                <w:b/>
                <w:bCs/>
              </w:rPr>
              <w:t xml:space="preserve">Gratuity</w:t>
            </w:r>
          </w:p>
        </w:tc>
        <w:tc>
          <w:tcPr>
            <w:tcMar>
              <w:top w:type="dxa" w:w="70"/>
              <w:left w:type="dxa" w:w="110"/>
              <w:bottom w:type="dxa" w:w="70"/>
              <w:right w:type="dxa" w:w="110"/>
            </w:tcMar>
          </w:tcPr>
          <w:p>
            <w:pPr>
              <w:spacing w:after="0"/>
            </w:pPr>
            <w:r>
              <w:t xml:space="preserve">10+ employees; payable after 5 years’ service</w:t>
            </w:r>
          </w:p>
        </w:tc>
        <w:tc>
          <w:tcPr>
            <w:tcMar>
              <w:top w:type="dxa" w:w="70"/>
              <w:left w:type="dxa" w:w="110"/>
              <w:bottom w:type="dxa" w:w="70"/>
              <w:right w:type="dxa" w:w="110"/>
            </w:tcMar>
          </w:tcPr>
          <w:p>
            <w:pPr>
              <w:spacing w:after="0"/>
            </w:pPr>
            <w:r>
              <w:t xml:space="preserve">Central Act, state-level Controlling Authority</w:t>
            </w:r>
          </w:p>
        </w:tc>
      </w:tr>
      <w:tr>
        <w:trPr>
          <w:cantSplit/>
          <w:tblHeader w:val="false"/>
        </w:trPr>
        <w:tc>
          <w:tcPr>
            <w:tcMar>
              <w:top w:type="dxa" w:w="70"/>
              <w:left w:type="dxa" w:w="110"/>
              <w:bottom w:type="dxa" w:w="70"/>
              <w:right w:type="dxa" w:w="110"/>
            </w:tcMar>
          </w:tcPr>
          <w:p>
            <w:pPr>
              <w:spacing w:after="0"/>
            </w:pPr>
            <w:r>
              <w:rPr>
                <w:b/>
                <w:bCs/>
              </w:rPr>
              <w:t xml:space="preserve">Maternity Benefit</w:t>
            </w:r>
          </w:p>
        </w:tc>
        <w:tc>
          <w:tcPr>
            <w:tcMar>
              <w:top w:type="dxa" w:w="70"/>
              <w:left w:type="dxa" w:w="110"/>
              <w:bottom w:type="dxa" w:w="70"/>
              <w:right w:type="dxa" w:w="110"/>
            </w:tcMar>
          </w:tcPr>
          <w:p>
            <w:pPr>
              <w:spacing w:after="0"/>
            </w:pPr>
            <w:r>
              <w:t xml:space="preserve">All establishments with 10+ employees</w:t>
            </w:r>
          </w:p>
        </w:tc>
        <w:tc>
          <w:tcPr>
            <w:tcMar>
              <w:top w:type="dxa" w:w="70"/>
              <w:left w:type="dxa" w:w="110"/>
              <w:bottom w:type="dxa" w:w="70"/>
              <w:right w:type="dxa" w:w="110"/>
            </w:tcMar>
          </w:tcPr>
          <w:p>
            <w:pPr>
              <w:spacing w:after="0"/>
            </w:pPr>
            <w:r>
              <w:t xml:space="preserve">26 weeks paid leave; creche mandatory at 50+ employees</w:t>
            </w:r>
          </w:p>
        </w:tc>
      </w:tr>
      <w:tr>
        <w:trPr>
          <w:cantSplit/>
          <w:tblHeader w:val="false"/>
        </w:trPr>
        <w:tc>
          <w:tcPr>
            <w:tcMar>
              <w:top w:type="dxa" w:w="70"/>
              <w:left w:type="dxa" w:w="110"/>
              <w:bottom w:type="dxa" w:w="70"/>
              <w:right w:type="dxa" w:w="110"/>
            </w:tcMar>
          </w:tcPr>
          <w:p>
            <w:pPr>
              <w:spacing w:after="0"/>
            </w:pPr>
            <w:r>
              <w:rPr>
                <w:b/>
                <w:bCs/>
              </w:rPr>
              <w:t xml:space="preserve">POSH</w:t>
            </w:r>
          </w:p>
        </w:tc>
        <w:tc>
          <w:tcPr>
            <w:tcMar>
              <w:top w:type="dxa" w:w="70"/>
              <w:left w:type="dxa" w:w="110"/>
              <w:bottom w:type="dxa" w:w="70"/>
              <w:right w:type="dxa" w:w="110"/>
            </w:tcMar>
          </w:tcPr>
          <w:p>
            <w:pPr>
              <w:spacing w:after="0"/>
            </w:pPr>
            <w:r>
              <w:t xml:space="preserve">Internal Committee mandatory at 10+ employees</w:t>
            </w:r>
          </w:p>
        </w:tc>
        <w:tc>
          <w:tcPr>
            <w:tcMar>
              <w:top w:type="dxa" w:w="70"/>
              <w:left w:type="dxa" w:w="110"/>
              <w:bottom w:type="dxa" w:w="70"/>
              <w:right w:type="dxa" w:w="110"/>
            </w:tcMar>
          </w:tcPr>
          <w:p>
            <w:pPr>
              <w:spacing w:after="0"/>
            </w:pPr>
            <w:r>
              <w:t xml:space="preserve">District Officer appointed by state; Local Committee for smaller units</w:t>
            </w:r>
          </w:p>
        </w:tc>
      </w:tr>
      <w:tr>
        <w:trPr>
          <w:cantSplit/>
          <w:tblHeader w:val="false"/>
        </w:trPr>
        <w:tc>
          <w:tcPr>
            <w:tcMar>
              <w:top w:type="dxa" w:w="70"/>
              <w:left w:type="dxa" w:w="110"/>
              <w:bottom w:type="dxa" w:w="70"/>
              <w:right w:type="dxa" w:w="110"/>
            </w:tcMar>
          </w:tcPr>
          <w:p>
            <w:pPr>
              <w:spacing w:after="0"/>
            </w:pPr>
            <w:r>
              <w:rPr>
                <w:b/>
                <w:bCs/>
              </w:rPr>
              <w:t xml:space="preserve">Child labour prohibition</w:t>
            </w:r>
          </w:p>
        </w:tc>
        <w:tc>
          <w:tcPr>
            <w:tcMar>
              <w:top w:type="dxa" w:w="70"/>
              <w:left w:type="dxa" w:w="110"/>
              <w:bottom w:type="dxa" w:w="70"/>
              <w:right w:type="dxa" w:w="110"/>
            </w:tcMar>
          </w:tcPr>
          <w:p>
            <w:pPr>
              <w:spacing w:after="0"/>
            </w:pPr>
            <w:r>
              <w:t xml:space="preserve">Absolute below 14; hazardous occupations barred below 18</w:t>
            </w:r>
          </w:p>
        </w:tc>
        <w:tc>
          <w:tcPr>
            <w:tcMar>
              <w:top w:type="dxa" w:w="70"/>
              <w:left w:type="dxa" w:w="110"/>
              <w:bottom w:type="dxa" w:w="70"/>
              <w:right w:type="dxa" w:w="110"/>
            </w:tcMar>
          </w:tcPr>
          <w:p>
            <w:pPr>
              <w:spacing w:after="0"/>
            </w:pPr>
            <w:r>
              <w:t xml:space="preserve">Central Act, state enforcement</w:t>
            </w:r>
          </w:p>
        </w:tc>
      </w:tr>
      <w:tr>
        <w:trPr>
          <w:cantSplit/>
          <w:tblHeader w:val="false"/>
        </w:trPr>
        <w:tc>
          <w:tcPr>
            <w:tcMar>
              <w:top w:type="dxa" w:w="70"/>
              <w:left w:type="dxa" w:w="110"/>
              <w:bottom w:type="dxa" w:w="70"/>
              <w:right w:type="dxa" w:w="110"/>
            </w:tcMar>
          </w:tcPr>
          <w:p>
            <w:pPr>
              <w:spacing w:after="0"/>
            </w:pPr>
            <w:r>
              <w:rPr>
                <w:b/>
                <w:bCs/>
              </w:rPr>
              <w:t xml:space="preserve">Bonus</w:t>
            </w:r>
          </w:p>
        </w:tc>
        <w:tc>
          <w:tcPr>
            <w:tcMar>
              <w:top w:type="dxa" w:w="70"/>
              <w:left w:type="dxa" w:w="110"/>
              <w:bottom w:type="dxa" w:w="70"/>
              <w:right w:type="dxa" w:w="110"/>
            </w:tcMar>
          </w:tcPr>
          <w:p>
            <w:pPr>
              <w:spacing w:after="0"/>
            </w:pPr>
            <w:r>
              <w:t xml:space="preserve">Establishments with 20+ employees, to employees earning up to ₹21,000</w:t>
            </w:r>
          </w:p>
        </w:tc>
        <w:tc>
          <w:tcPr>
            <w:tcMar>
              <w:top w:type="dxa" w:w="70"/>
              <w:left w:type="dxa" w:w="110"/>
              <w:bottom w:type="dxa" w:w="70"/>
              <w:right w:type="dxa" w:w="110"/>
            </w:tcMar>
          </w:tcPr>
          <w:p>
            <w:pPr>
              <w:spacing w:after="0"/>
            </w:pPr>
            <w:r>
              <w:t xml:space="preserve">8.33%–20% of wages</w:t>
            </w:r>
          </w:p>
        </w:tc>
      </w:tr>
    </w:tbl>
    <w:p>
      <w:pPr>
        <w:spacing w:after="40"/>
      </w:pPr>
    </w:p>
    <w:p>
      <w:r>
        <w:t xml:space="preserve">ESI’s coverage is a subtle case: the Act is central, but </w:t>
      </w:r>
      <w:r>
        <w:rPr>
          <w:b/>
          <w:bCs/>
        </w:rPr>
        <w:t xml:space="preserve">which geographical areas are notified</w:t>
      </w:r>
      <w:r>
        <w:t xml:space="preserve"> as covered is done state by state and district by district, so an establishment in an unnotified area is outside ESI even if it meets the headcount test.</w:t>
      </w:r>
    </w:p>
    <w:p>
      <w:pPr>
        <w:pStyle w:val="Heading2"/>
        <w:keepNext/>
        <w:keepLines/>
      </w:pPr>
      <w:r>
        <w:t xml:space="preserve">4.2 Shops &amp; Establishments Acts — Complete State Table</w:t>
      </w:r>
    </w:p>
    <w:p>
      <w:r>
        <w:t xml:space="preserve">This is the single most state-divergent labour compliance. Every state has its own Act with its own registration form, fee, renewal cycle and record-keeping requirements.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State / UT</w:t>
            </w:r>
          </w:p>
        </w:tc>
        <w:tc>
          <w:tcPr>
            <w:shd w:fill="F0F4FE"/>
            <w:tcMar>
              <w:top w:type="dxa" w:w="70"/>
              <w:left w:type="dxa" w:w="110"/>
              <w:bottom w:type="dxa" w:w="70"/>
              <w:right w:type="dxa" w:w="110"/>
            </w:tcMar>
          </w:tcPr>
          <w:p>
            <w:pPr>
              <w:spacing w:after="0"/>
            </w:pPr>
            <w:r>
              <w:rPr>
                <w:b/>
                <w:bCs/>
                <w:color w:val="112D6A"/>
              </w:rPr>
              <w:t xml:space="preserve">Governing Act</w:t>
            </w:r>
          </w:p>
        </w:tc>
        <w:tc>
          <w:tcPr>
            <w:shd w:fill="F0F4FE"/>
            <w:tcMar>
              <w:top w:type="dxa" w:w="70"/>
              <w:left w:type="dxa" w:w="110"/>
              <w:bottom w:type="dxa" w:w="70"/>
              <w:right w:type="dxa" w:w="110"/>
            </w:tcMar>
          </w:tcPr>
          <w:p>
            <w:pPr>
              <w:spacing w:after="0"/>
            </w:pPr>
            <w:r>
              <w:rPr>
                <w:b/>
                <w:bCs/>
                <w:color w:val="112D6A"/>
              </w:rPr>
              <w:t xml:space="preserve">Applicability</w:t>
            </w:r>
          </w:p>
        </w:tc>
        <w:tc>
          <w:tcPr>
            <w:shd w:fill="F0F4FE"/>
            <w:tcMar>
              <w:top w:type="dxa" w:w="70"/>
              <w:left w:type="dxa" w:w="110"/>
              <w:bottom w:type="dxa" w:w="70"/>
              <w:right w:type="dxa" w:w="110"/>
            </w:tcMar>
          </w:tcPr>
          <w:p>
            <w:pPr>
              <w:spacing w:after="0"/>
            </w:pPr>
            <w:r>
              <w:rPr>
                <w:b/>
                <w:bCs/>
                <w:color w:val="112D6A"/>
              </w:rPr>
              <w:t xml:space="preserve">Registration Validity</w:t>
            </w:r>
          </w:p>
        </w:tc>
      </w:tr>
      <w:tr>
        <w:trPr>
          <w:cantSplit/>
          <w:tblHeader w:val="false"/>
        </w:trPr>
        <w:tc>
          <w:tcPr>
            <w:tcMar>
              <w:top w:type="dxa" w:w="70"/>
              <w:left w:type="dxa" w:w="110"/>
              <w:bottom w:type="dxa" w:w="70"/>
              <w:right w:type="dxa" w:w="110"/>
            </w:tcMar>
          </w:tcPr>
          <w:p>
            <w:pPr>
              <w:spacing w:after="0"/>
            </w:pPr>
            <w:r>
              <w:t xml:space="preserve">Andhra Pradesh</w:t>
            </w:r>
          </w:p>
        </w:tc>
        <w:tc>
          <w:tcPr>
            <w:tcMar>
              <w:top w:type="dxa" w:w="70"/>
              <w:left w:type="dxa" w:w="110"/>
              <w:bottom w:type="dxa" w:w="70"/>
              <w:right w:type="dxa" w:w="110"/>
            </w:tcMar>
          </w:tcPr>
          <w:p>
            <w:pPr>
              <w:spacing w:after="0"/>
            </w:pPr>
            <w:r>
              <w:t xml:space="preserve">AP Shops &amp; Establishments Act, 1988</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1–3 years, renewable</w:t>
            </w:r>
          </w:p>
        </w:tc>
      </w:tr>
      <w:tr>
        <w:trPr>
          <w:cantSplit/>
          <w:tblHeader w:val="false"/>
        </w:trPr>
        <w:tc>
          <w:tcPr>
            <w:tcMar>
              <w:top w:type="dxa" w:w="70"/>
              <w:left w:type="dxa" w:w="110"/>
              <w:bottom w:type="dxa" w:w="70"/>
              <w:right w:type="dxa" w:w="110"/>
            </w:tcMar>
          </w:tcPr>
          <w:p>
            <w:pPr>
              <w:spacing w:after="0"/>
            </w:pPr>
            <w:r>
              <w:t xml:space="preserve">Arunachal Pradesh</w:t>
            </w:r>
          </w:p>
        </w:tc>
        <w:tc>
          <w:tcPr>
            <w:tcMar>
              <w:top w:type="dxa" w:w="70"/>
              <w:left w:type="dxa" w:w="110"/>
              <w:bottom w:type="dxa" w:w="70"/>
              <w:right w:type="dxa" w:w="110"/>
            </w:tcMar>
          </w:tcPr>
          <w:p>
            <w:pPr>
              <w:spacing w:after="0"/>
            </w:pPr>
            <w:r>
              <w:t xml:space="preserve">Arunachal Pradesh Shops &amp; Establishments Act, 2004</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Assam</w:t>
            </w:r>
          </w:p>
        </w:tc>
        <w:tc>
          <w:tcPr>
            <w:tcMar>
              <w:top w:type="dxa" w:w="70"/>
              <w:left w:type="dxa" w:w="110"/>
              <w:bottom w:type="dxa" w:w="70"/>
              <w:right w:type="dxa" w:w="110"/>
            </w:tcMar>
          </w:tcPr>
          <w:p>
            <w:pPr>
              <w:spacing w:after="0"/>
            </w:pPr>
            <w:r>
              <w:t xml:space="preserve">Assam Shops &amp; Establishments Act, 1971</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Bihar</w:t>
            </w:r>
          </w:p>
        </w:tc>
        <w:tc>
          <w:tcPr>
            <w:tcMar>
              <w:top w:type="dxa" w:w="70"/>
              <w:left w:type="dxa" w:w="110"/>
              <w:bottom w:type="dxa" w:w="70"/>
              <w:right w:type="dxa" w:w="110"/>
            </w:tcMar>
          </w:tcPr>
          <w:p>
            <w:pPr>
              <w:spacing w:after="0"/>
            </w:pPr>
            <w:r>
              <w:t xml:space="preserve">Bihar Shops &amp; Establishments Act, 1953</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Chhattisgarh</w:t>
            </w:r>
          </w:p>
        </w:tc>
        <w:tc>
          <w:tcPr>
            <w:tcMar>
              <w:top w:type="dxa" w:w="70"/>
              <w:left w:type="dxa" w:w="110"/>
              <w:bottom w:type="dxa" w:w="70"/>
              <w:right w:type="dxa" w:w="110"/>
            </w:tcMar>
          </w:tcPr>
          <w:p>
            <w:pPr>
              <w:spacing w:after="0"/>
            </w:pPr>
            <w:r>
              <w:t xml:space="preserve">Chhattisgarh Shops &amp; Establishments Act, 1958</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Goa</w:t>
            </w:r>
          </w:p>
        </w:tc>
        <w:tc>
          <w:tcPr>
            <w:tcMar>
              <w:top w:type="dxa" w:w="70"/>
              <w:left w:type="dxa" w:w="110"/>
              <w:bottom w:type="dxa" w:w="70"/>
              <w:right w:type="dxa" w:w="110"/>
            </w:tcMar>
          </w:tcPr>
          <w:p>
            <w:pPr>
              <w:spacing w:after="0"/>
            </w:pPr>
            <w:r>
              <w:t xml:space="preserve">Goa, Daman &amp; Diu Shops &amp; Establishments Act, 1973</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Gujarat</w:t>
            </w:r>
          </w:p>
        </w:tc>
        <w:tc>
          <w:tcPr>
            <w:tcMar>
              <w:top w:type="dxa" w:w="70"/>
              <w:left w:type="dxa" w:w="110"/>
              <w:bottom w:type="dxa" w:w="70"/>
              <w:right w:type="dxa" w:w="110"/>
            </w:tcMar>
          </w:tcPr>
          <w:p>
            <w:pPr>
              <w:spacing w:after="0"/>
            </w:pPr>
            <w:r>
              <w:t xml:space="preserve">Gujarat Shops &amp; Establishments (Regulation of Employment &amp; Conditions of Service) Act, 2019</w:t>
            </w:r>
          </w:p>
        </w:tc>
        <w:tc>
          <w:tcPr>
            <w:tcMar>
              <w:top w:type="dxa" w:w="70"/>
              <w:left w:type="dxa" w:w="110"/>
              <w:bottom w:type="dxa" w:w="70"/>
              <w:right w:type="dxa" w:w="110"/>
            </w:tcMar>
          </w:tcPr>
          <w:p>
            <w:pPr>
              <w:spacing w:after="0"/>
            </w:pPr>
            <w:r>
              <w:rPr>
                <w:b/>
                <w:bCs/>
              </w:rPr>
              <w:t xml:space="preserve">Full Act at 10+ workers</w:t>
            </w:r>
            <w:r>
              <w:t xml:space="preserve">; below that, online intimation only</w:t>
            </w:r>
          </w:p>
        </w:tc>
        <w:tc>
          <w:tcPr>
            <w:tcMar>
              <w:top w:type="dxa" w:w="70"/>
              <w:left w:type="dxa" w:w="110"/>
              <w:bottom w:type="dxa" w:w="70"/>
              <w:right w:type="dxa" w:w="110"/>
            </w:tcMar>
          </w:tcPr>
          <w:p>
            <w:pPr>
              <w:spacing w:after="0"/>
            </w:pPr>
            <w:r>
              <w:t xml:space="preserve">Up to 10 years</w:t>
            </w:r>
          </w:p>
        </w:tc>
      </w:tr>
      <w:tr>
        <w:trPr>
          <w:cantSplit/>
          <w:tblHeader w:val="false"/>
        </w:trPr>
        <w:tc>
          <w:tcPr>
            <w:tcMar>
              <w:top w:type="dxa" w:w="70"/>
              <w:left w:type="dxa" w:w="110"/>
              <w:bottom w:type="dxa" w:w="70"/>
              <w:right w:type="dxa" w:w="110"/>
            </w:tcMar>
          </w:tcPr>
          <w:p>
            <w:pPr>
              <w:spacing w:after="0"/>
            </w:pPr>
            <w:r>
              <w:t xml:space="preserve">Haryana</w:t>
            </w:r>
          </w:p>
        </w:tc>
        <w:tc>
          <w:tcPr>
            <w:tcMar>
              <w:top w:type="dxa" w:w="70"/>
              <w:left w:type="dxa" w:w="110"/>
              <w:bottom w:type="dxa" w:w="70"/>
              <w:right w:type="dxa" w:w="110"/>
            </w:tcMar>
          </w:tcPr>
          <w:p>
            <w:pPr>
              <w:spacing w:after="0"/>
            </w:pPr>
            <w:r>
              <w:t xml:space="preserve">Punjab Shops &amp; Commercial Establishments Act, 1958 (as applicable)</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Himachal Pradesh</w:t>
            </w:r>
          </w:p>
        </w:tc>
        <w:tc>
          <w:tcPr>
            <w:tcMar>
              <w:top w:type="dxa" w:w="70"/>
              <w:left w:type="dxa" w:w="110"/>
              <w:bottom w:type="dxa" w:w="70"/>
              <w:right w:type="dxa" w:w="110"/>
            </w:tcMar>
          </w:tcPr>
          <w:p>
            <w:pPr>
              <w:spacing w:after="0"/>
            </w:pPr>
            <w:r>
              <w:t xml:space="preserve">HP Shops &amp; Commercial Establishments Act, 1969</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Jharkhand</w:t>
            </w:r>
          </w:p>
        </w:tc>
        <w:tc>
          <w:tcPr>
            <w:tcMar>
              <w:top w:type="dxa" w:w="70"/>
              <w:left w:type="dxa" w:w="110"/>
              <w:bottom w:type="dxa" w:w="70"/>
              <w:right w:type="dxa" w:w="110"/>
            </w:tcMar>
          </w:tcPr>
          <w:p>
            <w:pPr>
              <w:spacing w:after="0"/>
            </w:pPr>
            <w:r>
              <w:t xml:space="preserve">Bihar Shops &amp; Establishments Act, 1953 (as adopted)</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Karnataka</w:t>
            </w:r>
          </w:p>
        </w:tc>
        <w:tc>
          <w:tcPr>
            <w:tcMar>
              <w:top w:type="dxa" w:w="70"/>
              <w:left w:type="dxa" w:w="110"/>
              <w:bottom w:type="dxa" w:w="70"/>
              <w:right w:type="dxa" w:w="110"/>
            </w:tcMar>
          </w:tcPr>
          <w:p>
            <w:pPr>
              <w:spacing w:after="0"/>
            </w:pPr>
            <w:r>
              <w:t xml:space="preserve">Karnataka Shops &amp; Commercial Establishments Act, 1961</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1–5 years, multi-year option</w:t>
            </w:r>
          </w:p>
        </w:tc>
      </w:tr>
      <w:tr>
        <w:trPr>
          <w:cantSplit/>
          <w:tblHeader w:val="false"/>
        </w:trPr>
        <w:tc>
          <w:tcPr>
            <w:tcMar>
              <w:top w:type="dxa" w:w="70"/>
              <w:left w:type="dxa" w:w="110"/>
              <w:bottom w:type="dxa" w:w="70"/>
              <w:right w:type="dxa" w:w="110"/>
            </w:tcMar>
          </w:tcPr>
          <w:p>
            <w:pPr>
              <w:spacing w:after="0"/>
            </w:pPr>
            <w:r>
              <w:t xml:space="preserve">Kerala</w:t>
            </w:r>
          </w:p>
        </w:tc>
        <w:tc>
          <w:tcPr>
            <w:tcMar>
              <w:top w:type="dxa" w:w="70"/>
              <w:left w:type="dxa" w:w="110"/>
              <w:bottom w:type="dxa" w:w="70"/>
              <w:right w:type="dxa" w:w="110"/>
            </w:tcMar>
          </w:tcPr>
          <w:p>
            <w:pPr>
              <w:spacing w:after="0"/>
            </w:pPr>
            <w:r>
              <w:t xml:space="preserve">Kerala Shops &amp; Commercial Establishments Act, 1960</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Madhya Pradesh</w:t>
            </w:r>
          </w:p>
        </w:tc>
        <w:tc>
          <w:tcPr>
            <w:tcMar>
              <w:top w:type="dxa" w:w="70"/>
              <w:left w:type="dxa" w:w="110"/>
              <w:bottom w:type="dxa" w:w="70"/>
              <w:right w:type="dxa" w:w="110"/>
            </w:tcMar>
          </w:tcPr>
          <w:p>
            <w:pPr>
              <w:spacing w:after="0"/>
            </w:pPr>
            <w:r>
              <w:t xml:space="preserve">MP Shops &amp; Establishments Act, 1958</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Maharashtra</w:t>
            </w:r>
          </w:p>
        </w:tc>
        <w:tc>
          <w:tcPr>
            <w:tcMar>
              <w:top w:type="dxa" w:w="70"/>
              <w:left w:type="dxa" w:w="110"/>
              <w:bottom w:type="dxa" w:w="70"/>
              <w:right w:type="dxa" w:w="110"/>
            </w:tcMar>
          </w:tcPr>
          <w:p>
            <w:pPr>
              <w:spacing w:after="0"/>
            </w:pPr>
            <w:r>
              <w:t xml:space="preserve">Maharashtra Shops &amp; Establishments (Regulation of Employment &amp; Conditions of Service) Act, 2017</w:t>
            </w:r>
          </w:p>
        </w:tc>
        <w:tc>
          <w:tcPr>
            <w:tcMar>
              <w:top w:type="dxa" w:w="70"/>
              <w:left w:type="dxa" w:w="110"/>
              <w:bottom w:type="dxa" w:w="70"/>
              <w:right w:type="dxa" w:w="110"/>
            </w:tcMar>
          </w:tcPr>
          <w:p>
            <w:pPr>
              <w:spacing w:after="0"/>
            </w:pPr>
            <w:r>
              <w:rPr>
                <w:b/>
                <w:bCs/>
              </w:rPr>
              <w:t xml:space="preserve">Full Act at 10+ workers</w:t>
            </w:r>
            <w:r>
              <w:t xml:space="preserve">; below that, Form F intimation</w:t>
            </w:r>
          </w:p>
        </w:tc>
        <w:tc>
          <w:tcPr>
            <w:tcMar>
              <w:top w:type="dxa" w:w="70"/>
              <w:left w:type="dxa" w:w="110"/>
              <w:bottom w:type="dxa" w:w="70"/>
              <w:right w:type="dxa" w:w="110"/>
            </w:tcMar>
          </w:tcPr>
          <w:p>
            <w:pPr>
              <w:spacing w:after="0"/>
            </w:pPr>
            <w:r>
              <w:t xml:space="preserve">Up to 10 years</w:t>
            </w:r>
          </w:p>
        </w:tc>
      </w:tr>
      <w:tr>
        <w:trPr>
          <w:cantSplit/>
          <w:tblHeader w:val="false"/>
        </w:trPr>
        <w:tc>
          <w:tcPr>
            <w:tcMar>
              <w:top w:type="dxa" w:w="70"/>
              <w:left w:type="dxa" w:w="110"/>
              <w:bottom w:type="dxa" w:w="70"/>
              <w:right w:type="dxa" w:w="110"/>
            </w:tcMar>
          </w:tcPr>
          <w:p>
            <w:pPr>
              <w:spacing w:after="0"/>
            </w:pPr>
            <w:r>
              <w:t xml:space="preserve">Manipur</w:t>
            </w:r>
          </w:p>
        </w:tc>
        <w:tc>
          <w:tcPr>
            <w:tcMar>
              <w:top w:type="dxa" w:w="70"/>
              <w:left w:type="dxa" w:w="110"/>
              <w:bottom w:type="dxa" w:w="70"/>
              <w:right w:type="dxa" w:w="110"/>
            </w:tcMar>
          </w:tcPr>
          <w:p>
            <w:pPr>
              <w:spacing w:after="0"/>
            </w:pPr>
            <w:r>
              <w:t xml:space="preserve">Manipur Shops &amp; Establishments Act, 1972</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Meghalaya</w:t>
            </w:r>
          </w:p>
        </w:tc>
        <w:tc>
          <w:tcPr>
            <w:tcMar>
              <w:top w:type="dxa" w:w="70"/>
              <w:left w:type="dxa" w:w="110"/>
              <w:bottom w:type="dxa" w:w="70"/>
              <w:right w:type="dxa" w:w="110"/>
            </w:tcMar>
          </w:tcPr>
          <w:p>
            <w:pPr>
              <w:spacing w:after="0"/>
            </w:pPr>
            <w:r>
              <w:t xml:space="preserve">Meghalaya Shops &amp; Establishments Act, 2003</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Mizoram</w:t>
            </w:r>
          </w:p>
        </w:tc>
        <w:tc>
          <w:tcPr>
            <w:tcMar>
              <w:top w:type="dxa" w:w="70"/>
              <w:left w:type="dxa" w:w="110"/>
              <w:bottom w:type="dxa" w:w="70"/>
              <w:right w:type="dxa" w:w="110"/>
            </w:tcMar>
          </w:tcPr>
          <w:p>
            <w:pPr>
              <w:spacing w:after="0"/>
            </w:pPr>
            <w:r>
              <w:t xml:space="preserve">Mizoram Shops &amp; Establishments Act, 2007</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Nagaland</w:t>
            </w:r>
          </w:p>
        </w:tc>
        <w:tc>
          <w:tcPr>
            <w:tcMar>
              <w:top w:type="dxa" w:w="70"/>
              <w:left w:type="dxa" w:w="110"/>
              <w:bottom w:type="dxa" w:w="70"/>
              <w:right w:type="dxa" w:w="110"/>
            </w:tcMar>
          </w:tcPr>
          <w:p>
            <w:pPr>
              <w:spacing w:after="0"/>
            </w:pPr>
            <w:r>
              <w:t xml:space="preserve">Nagaland Shops &amp; Establishments Act</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Odisha</w:t>
            </w:r>
          </w:p>
        </w:tc>
        <w:tc>
          <w:tcPr>
            <w:tcMar>
              <w:top w:type="dxa" w:w="70"/>
              <w:left w:type="dxa" w:w="110"/>
              <w:bottom w:type="dxa" w:w="70"/>
              <w:right w:type="dxa" w:w="110"/>
            </w:tcMar>
          </w:tcPr>
          <w:p>
            <w:pPr>
              <w:spacing w:after="0"/>
            </w:pPr>
            <w:r>
              <w:t xml:space="preserve">Odisha Shops &amp; Commercial Establishments Act, 1956</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Punjab</w:t>
            </w:r>
          </w:p>
        </w:tc>
        <w:tc>
          <w:tcPr>
            <w:tcMar>
              <w:top w:type="dxa" w:w="70"/>
              <w:left w:type="dxa" w:w="110"/>
              <w:bottom w:type="dxa" w:w="70"/>
              <w:right w:type="dxa" w:w="110"/>
            </w:tcMar>
          </w:tcPr>
          <w:p>
            <w:pPr>
              <w:spacing w:after="0"/>
            </w:pPr>
            <w:r>
              <w:t xml:space="preserve">Punjab Shops &amp; Commercial Establishments Act, 1958</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Rajasthan</w:t>
            </w:r>
          </w:p>
        </w:tc>
        <w:tc>
          <w:tcPr>
            <w:tcMar>
              <w:top w:type="dxa" w:w="70"/>
              <w:left w:type="dxa" w:w="110"/>
              <w:bottom w:type="dxa" w:w="70"/>
              <w:right w:type="dxa" w:w="110"/>
            </w:tcMar>
          </w:tcPr>
          <w:p>
            <w:pPr>
              <w:spacing w:after="0"/>
            </w:pPr>
            <w:r>
              <w:t xml:space="preserve">Rajasthan Shops &amp; Commercial Establishments Act, 1958</w:t>
            </w:r>
          </w:p>
        </w:tc>
        <w:tc>
          <w:tcPr>
            <w:tcMar>
              <w:top w:type="dxa" w:w="70"/>
              <w:left w:type="dxa" w:w="110"/>
              <w:bottom w:type="dxa" w:w="70"/>
              <w:right w:type="dxa" w:w="110"/>
            </w:tcMar>
          </w:tcPr>
          <w:p>
            <w:pPr>
              <w:spacing w:after="0"/>
            </w:pPr>
            <w:r>
              <w:t xml:space="preserve">All establishments; IT/ITeS largely exempted by notification</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Sikkim</w:t>
            </w:r>
          </w:p>
        </w:tc>
        <w:tc>
          <w:tcPr>
            <w:tcMar>
              <w:top w:type="dxa" w:w="70"/>
              <w:left w:type="dxa" w:w="110"/>
              <w:bottom w:type="dxa" w:w="70"/>
              <w:right w:type="dxa" w:w="110"/>
            </w:tcMar>
          </w:tcPr>
          <w:p>
            <w:pPr>
              <w:spacing w:after="0"/>
            </w:pPr>
            <w:r>
              <w:t xml:space="preserve">Sikkim Shops &amp; Commercial Establishments Act, 1983</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Tamil Nadu</w:t>
            </w:r>
          </w:p>
        </w:tc>
        <w:tc>
          <w:tcPr>
            <w:tcMar>
              <w:top w:type="dxa" w:w="70"/>
              <w:left w:type="dxa" w:w="110"/>
              <w:bottom w:type="dxa" w:w="70"/>
              <w:right w:type="dxa" w:w="110"/>
            </w:tcMar>
          </w:tcPr>
          <w:p>
            <w:pPr>
              <w:spacing w:after="0"/>
            </w:pPr>
            <w:r>
              <w:t xml:space="preserve">Tamil Nadu Shops &amp; Establishments Act, 1947</w:t>
            </w:r>
          </w:p>
        </w:tc>
        <w:tc>
          <w:tcPr>
            <w:tcMar>
              <w:top w:type="dxa" w:w="70"/>
              <w:left w:type="dxa" w:w="110"/>
              <w:bottom w:type="dxa" w:w="70"/>
              <w:right w:type="dxa" w:w="110"/>
            </w:tcMar>
          </w:tcPr>
          <w:p>
            <w:pPr>
              <w:spacing w:after="0"/>
            </w:pPr>
            <w:r>
              <w:t xml:space="preserve">All establishments; </w:t>
            </w:r>
            <w:r>
              <w:rPr>
                <w:b/>
                <w:bCs/>
              </w:rPr>
              <w:t xml:space="preserve">register within 30 days</w:t>
            </w:r>
            <w:r>
              <w:t xml:space="preserve"> of commencing</w:t>
            </w:r>
          </w:p>
        </w:tc>
        <w:tc>
          <w:tcPr>
            <w:tcMar>
              <w:top w:type="dxa" w:w="70"/>
              <w:left w:type="dxa" w:w="110"/>
              <w:bottom w:type="dxa" w:w="70"/>
              <w:right w:type="dxa" w:w="110"/>
            </w:tcMar>
          </w:tcPr>
          <w:p>
            <w:pPr>
              <w:spacing w:after="0"/>
            </w:pPr>
            <w:r>
              <w:t xml:space="preserve">Renewed per local body rules</w:t>
            </w:r>
          </w:p>
        </w:tc>
      </w:tr>
      <w:tr>
        <w:trPr>
          <w:cantSplit/>
          <w:tblHeader w:val="false"/>
        </w:trPr>
        <w:tc>
          <w:tcPr>
            <w:tcMar>
              <w:top w:type="dxa" w:w="70"/>
              <w:left w:type="dxa" w:w="110"/>
              <w:bottom w:type="dxa" w:w="70"/>
              <w:right w:type="dxa" w:w="110"/>
            </w:tcMar>
          </w:tcPr>
          <w:p>
            <w:pPr>
              <w:spacing w:after="0"/>
            </w:pPr>
            <w:r>
              <w:t xml:space="preserve">Telangana</w:t>
            </w:r>
          </w:p>
        </w:tc>
        <w:tc>
          <w:tcPr>
            <w:tcMar>
              <w:top w:type="dxa" w:w="70"/>
              <w:left w:type="dxa" w:w="110"/>
              <w:bottom w:type="dxa" w:w="70"/>
              <w:right w:type="dxa" w:w="110"/>
            </w:tcMar>
          </w:tcPr>
          <w:p>
            <w:pPr>
              <w:spacing w:after="0"/>
            </w:pPr>
            <w:r>
              <w:t xml:space="preserve">Telangana Shops &amp; Establishments Act, 1988</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Multi-year option available</w:t>
            </w:r>
          </w:p>
        </w:tc>
      </w:tr>
      <w:tr>
        <w:trPr>
          <w:cantSplit/>
          <w:tblHeader w:val="false"/>
        </w:trPr>
        <w:tc>
          <w:tcPr>
            <w:tcMar>
              <w:top w:type="dxa" w:w="70"/>
              <w:left w:type="dxa" w:w="110"/>
              <w:bottom w:type="dxa" w:w="70"/>
              <w:right w:type="dxa" w:w="110"/>
            </w:tcMar>
          </w:tcPr>
          <w:p>
            <w:pPr>
              <w:spacing w:after="0"/>
            </w:pPr>
            <w:r>
              <w:t xml:space="preserve">Tripura</w:t>
            </w:r>
          </w:p>
        </w:tc>
        <w:tc>
          <w:tcPr>
            <w:tcMar>
              <w:top w:type="dxa" w:w="70"/>
              <w:left w:type="dxa" w:w="110"/>
              <w:bottom w:type="dxa" w:w="70"/>
              <w:right w:type="dxa" w:w="110"/>
            </w:tcMar>
          </w:tcPr>
          <w:p>
            <w:pPr>
              <w:spacing w:after="0"/>
            </w:pPr>
            <w:r>
              <w:t xml:space="preserve">Tripura Shops &amp; Establishments Act, 1970</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Uttar Pradesh</w:t>
            </w:r>
          </w:p>
        </w:tc>
        <w:tc>
          <w:tcPr>
            <w:tcMar>
              <w:top w:type="dxa" w:w="70"/>
              <w:left w:type="dxa" w:w="110"/>
              <w:bottom w:type="dxa" w:w="70"/>
              <w:right w:type="dxa" w:w="110"/>
            </w:tcMar>
          </w:tcPr>
          <w:p>
            <w:pPr>
              <w:spacing w:after="0"/>
            </w:pPr>
            <w:r>
              <w:t xml:space="preserve">UP Dookan Aur Vanijya Adhishthan Adhiniyam, 1962</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Uttarakhand</w:t>
            </w:r>
          </w:p>
        </w:tc>
        <w:tc>
          <w:tcPr>
            <w:tcMar>
              <w:top w:type="dxa" w:w="70"/>
              <w:left w:type="dxa" w:w="110"/>
              <w:bottom w:type="dxa" w:w="70"/>
              <w:right w:type="dxa" w:w="110"/>
            </w:tcMar>
          </w:tcPr>
          <w:p>
            <w:pPr>
              <w:spacing w:after="0"/>
            </w:pPr>
            <w:r>
              <w:t xml:space="preserve">UP Act 1962 as adopted, with Uttarakhand rules</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West Bengal</w:t>
            </w:r>
          </w:p>
        </w:tc>
        <w:tc>
          <w:tcPr>
            <w:tcMar>
              <w:top w:type="dxa" w:w="70"/>
              <w:left w:type="dxa" w:w="110"/>
              <w:bottom w:type="dxa" w:w="70"/>
              <w:right w:type="dxa" w:w="110"/>
            </w:tcMar>
          </w:tcPr>
          <w:p>
            <w:pPr>
              <w:spacing w:after="0"/>
            </w:pPr>
            <w:r>
              <w:t xml:space="preserve">WB Shops &amp; Establishments Act, 1963</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Delhi</w:t>
            </w:r>
          </w:p>
        </w:tc>
        <w:tc>
          <w:tcPr>
            <w:tcMar>
              <w:top w:type="dxa" w:w="70"/>
              <w:left w:type="dxa" w:w="110"/>
              <w:bottom w:type="dxa" w:w="70"/>
              <w:right w:type="dxa" w:w="110"/>
            </w:tcMar>
          </w:tcPr>
          <w:p>
            <w:pPr>
              <w:spacing w:after="0"/>
            </w:pPr>
            <w:r>
              <w:t xml:space="preserve">Delhi Shops &amp; Establishments Act, 1954</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Registration, no periodic renewal in practice</w:t>
            </w:r>
          </w:p>
        </w:tc>
      </w:tr>
      <w:tr>
        <w:trPr>
          <w:cantSplit/>
          <w:tblHeader w:val="false"/>
        </w:trPr>
        <w:tc>
          <w:tcPr>
            <w:tcMar>
              <w:top w:type="dxa" w:w="70"/>
              <w:left w:type="dxa" w:w="110"/>
              <w:bottom w:type="dxa" w:w="70"/>
              <w:right w:type="dxa" w:w="110"/>
            </w:tcMar>
          </w:tcPr>
          <w:p>
            <w:pPr>
              <w:spacing w:after="0"/>
            </w:pPr>
            <w:r>
              <w:t xml:space="preserve">Jammu &amp; Kashmir</w:t>
            </w:r>
          </w:p>
        </w:tc>
        <w:tc>
          <w:tcPr>
            <w:tcMar>
              <w:top w:type="dxa" w:w="70"/>
              <w:left w:type="dxa" w:w="110"/>
              <w:bottom w:type="dxa" w:w="70"/>
              <w:right w:type="dxa" w:w="110"/>
            </w:tcMar>
          </w:tcPr>
          <w:p>
            <w:pPr>
              <w:spacing w:after="0"/>
            </w:pPr>
            <w:r>
              <w:t xml:space="preserve">J&amp;K Shops &amp; Establishments Act, 1966</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Puducherry</w:t>
            </w:r>
          </w:p>
        </w:tc>
        <w:tc>
          <w:tcPr>
            <w:tcMar>
              <w:top w:type="dxa" w:w="70"/>
              <w:left w:type="dxa" w:w="110"/>
              <w:bottom w:type="dxa" w:w="70"/>
              <w:right w:type="dxa" w:w="110"/>
            </w:tcMar>
          </w:tcPr>
          <w:p>
            <w:pPr>
              <w:spacing w:after="0"/>
            </w:pPr>
            <w:r>
              <w:t xml:space="preserve">Puducherry Shops &amp; Establishments Act, 1964</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Chandigarh</w:t>
            </w:r>
          </w:p>
        </w:tc>
        <w:tc>
          <w:tcPr>
            <w:tcMar>
              <w:top w:type="dxa" w:w="70"/>
              <w:left w:type="dxa" w:w="110"/>
              <w:bottom w:type="dxa" w:w="70"/>
              <w:right w:type="dxa" w:w="110"/>
            </w:tcMar>
          </w:tcPr>
          <w:p>
            <w:pPr>
              <w:spacing w:after="0"/>
            </w:pPr>
            <w:r>
              <w:t xml:space="preserve">Punjab Act 1958 as extended</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Andaman &amp; Nicobar</w:t>
            </w:r>
          </w:p>
        </w:tc>
        <w:tc>
          <w:tcPr>
            <w:tcMar>
              <w:top w:type="dxa" w:w="70"/>
              <w:left w:type="dxa" w:w="110"/>
              <w:bottom w:type="dxa" w:w="70"/>
              <w:right w:type="dxa" w:w="110"/>
            </w:tcMar>
          </w:tcPr>
          <w:p>
            <w:pPr>
              <w:spacing w:after="0"/>
            </w:pPr>
            <w:r>
              <w:t xml:space="preserve">A&amp;N Islands Shops &amp; Establishments Regulation, 2004</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DNH and Daman &amp; Diu</w:t>
            </w:r>
          </w:p>
        </w:tc>
        <w:tc>
          <w:tcPr>
            <w:tcMar>
              <w:top w:type="dxa" w:w="70"/>
              <w:left w:type="dxa" w:w="110"/>
              <w:bottom w:type="dxa" w:w="70"/>
              <w:right w:type="dxa" w:w="110"/>
            </w:tcMar>
          </w:tcPr>
          <w:p>
            <w:pPr>
              <w:spacing w:after="0"/>
            </w:pPr>
            <w:r>
              <w:t xml:space="preserve">Goa, Daman &amp; Diu Act 1973 / DNH Regulation as applied</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Ladakh</w:t>
            </w:r>
          </w:p>
        </w:tc>
        <w:tc>
          <w:tcPr>
            <w:tcMar>
              <w:top w:type="dxa" w:w="70"/>
              <w:left w:type="dxa" w:w="110"/>
              <w:bottom w:type="dxa" w:w="70"/>
              <w:right w:type="dxa" w:w="110"/>
            </w:tcMar>
          </w:tcPr>
          <w:p>
            <w:pPr>
              <w:spacing w:after="0"/>
            </w:pPr>
            <w:r>
              <w:t xml:space="preserve">J&amp;K Act 1966 as applied post-2019</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r>
        <w:trPr>
          <w:cantSplit/>
          <w:tblHeader w:val="false"/>
        </w:trPr>
        <w:tc>
          <w:tcPr>
            <w:tcMar>
              <w:top w:type="dxa" w:w="70"/>
              <w:left w:type="dxa" w:w="110"/>
              <w:bottom w:type="dxa" w:w="70"/>
              <w:right w:type="dxa" w:w="110"/>
            </w:tcMar>
          </w:tcPr>
          <w:p>
            <w:pPr>
              <w:spacing w:after="0"/>
            </w:pPr>
            <w:r>
              <w:t xml:space="preserve">Lakshadweep</w:t>
            </w:r>
          </w:p>
        </w:tc>
        <w:tc>
          <w:tcPr>
            <w:tcMar>
              <w:top w:type="dxa" w:w="70"/>
              <w:left w:type="dxa" w:w="110"/>
              <w:bottom w:type="dxa" w:w="70"/>
              <w:right w:type="dxa" w:w="110"/>
            </w:tcMar>
          </w:tcPr>
          <w:p>
            <w:pPr>
              <w:spacing w:after="0"/>
            </w:pPr>
            <w:r>
              <w:t xml:space="preserve">Administrator notification</w:t>
            </w:r>
          </w:p>
        </w:tc>
        <w:tc>
          <w:tcPr>
            <w:tcMar>
              <w:top w:type="dxa" w:w="70"/>
              <w:left w:type="dxa" w:w="110"/>
              <w:bottom w:type="dxa" w:w="70"/>
              <w:right w:type="dxa" w:w="110"/>
            </w:tcMar>
          </w:tcPr>
          <w:p>
            <w:pPr>
              <w:spacing w:after="0"/>
            </w:pPr>
            <w:r>
              <w:t xml:space="preserve">All establishments</w:t>
            </w:r>
          </w:p>
        </w:tc>
        <w:tc>
          <w:tcPr>
            <w:tcMar>
              <w:top w:type="dxa" w:w="70"/>
              <w:left w:type="dxa" w:w="110"/>
              <w:bottom w:type="dxa" w:w="70"/>
              <w:right w:type="dxa" w:w="110"/>
            </w:tcMar>
          </w:tcPr>
          <w:p>
            <w:pPr>
              <w:spacing w:after="0"/>
            </w:pPr>
            <w:r>
              <w:t xml:space="preserve">Periodic renewal</w:t>
            </w:r>
          </w:p>
        </w:tc>
      </w:tr>
    </w:tbl>
    <w:p>
      <w:pPr>
        <w:spacing w:after="40"/>
      </w:pPr>
    </w:p>
    <w:p>
      <w:r>
        <w:rPr>
          <w:b/>
          <w:bCs/>
        </w:rPr>
        <w:t xml:space="preserve">The structural divide:</w:t>
      </w:r>
      <w:r>
        <w:t xml:space="preserve"> only </w:t>
      </w:r>
      <w:r>
        <w:rPr>
          <w:b/>
          <w:bCs/>
        </w:rPr>
        <w:t xml:space="preserve">Maharashtra and Gujarat</w:t>
      </w:r>
      <w:r>
        <w:t xml:space="preserve"> have adopted the 10-worker threshold model, where small establishments merely file an intimation instead of registering. Everywhere else, a two-person shop carries the same registration obligation as a 200-person office. This is the single biggest ease-of-doing-business difference in the table.</w:t>
      </w:r>
    </w:p>
    <w:p>
      <w:pPr>
        <w:pStyle w:val="Heading2"/>
        <w:keepNext/>
        <w:keepLines/>
      </w:pPr>
      <w:r>
        <w:t xml:space="preserve">4.3 Standard Provisions and Their Variation</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Aspect</w:t>
            </w:r>
          </w:p>
        </w:tc>
        <w:tc>
          <w:tcPr>
            <w:shd w:fill="F0F4FE"/>
            <w:tcMar>
              <w:top w:type="dxa" w:w="70"/>
              <w:left w:type="dxa" w:w="110"/>
              <w:bottom w:type="dxa" w:w="70"/>
              <w:right w:type="dxa" w:w="110"/>
            </w:tcMar>
          </w:tcPr>
          <w:p>
            <w:pPr>
              <w:spacing w:after="0"/>
            </w:pPr>
            <w:r>
              <w:rPr>
                <w:b/>
                <w:bCs/>
                <w:color w:val="112D6A"/>
              </w:rPr>
              <w:t xml:space="preserve">Typical Position</w:t>
            </w:r>
          </w:p>
        </w:tc>
        <w:tc>
          <w:tcPr>
            <w:shd w:fill="F0F4FE"/>
            <w:tcMar>
              <w:top w:type="dxa" w:w="70"/>
              <w:left w:type="dxa" w:w="110"/>
              <w:bottom w:type="dxa" w:w="70"/>
              <w:right w:type="dxa" w:w="110"/>
            </w:tcMar>
          </w:tcPr>
          <w:p>
            <w:pPr>
              <w:spacing w:after="0"/>
            </w:pPr>
            <w:r>
              <w:rPr>
                <w:b/>
                <w:bCs/>
                <w:color w:val="112D6A"/>
              </w:rPr>
              <w:t xml:space="preserve">Notable Variations</w:t>
            </w:r>
          </w:p>
        </w:tc>
      </w:tr>
      <w:tr>
        <w:trPr>
          <w:cantSplit/>
          <w:tblHeader w:val="false"/>
        </w:trPr>
        <w:tc>
          <w:tcPr>
            <w:tcMar>
              <w:top w:type="dxa" w:w="70"/>
              <w:left w:type="dxa" w:w="110"/>
              <w:bottom w:type="dxa" w:w="70"/>
              <w:right w:type="dxa" w:w="110"/>
            </w:tcMar>
          </w:tcPr>
          <w:p>
            <w:pPr>
              <w:spacing w:after="0"/>
            </w:pPr>
            <w:r>
              <w:rPr>
                <w:b/>
                <w:bCs/>
              </w:rPr>
              <w:t xml:space="preserve">Daily hours</w:t>
            </w:r>
          </w:p>
        </w:tc>
        <w:tc>
          <w:tcPr>
            <w:tcMar>
              <w:top w:type="dxa" w:w="70"/>
              <w:left w:type="dxa" w:w="110"/>
              <w:bottom w:type="dxa" w:w="70"/>
              <w:right w:type="dxa" w:w="110"/>
            </w:tcMar>
          </w:tcPr>
          <w:p>
            <w:pPr>
              <w:spacing w:after="0"/>
            </w:pPr>
            <w:r>
              <w:t xml:space="preserve">8–9 hours</w:t>
            </w:r>
          </w:p>
        </w:tc>
        <w:tc>
          <w:tcPr>
            <w:tcMar>
              <w:top w:type="dxa" w:w="70"/>
              <w:left w:type="dxa" w:w="110"/>
              <w:bottom w:type="dxa" w:w="70"/>
              <w:right w:type="dxa" w:w="110"/>
            </w:tcMar>
          </w:tcPr>
          <w:p>
            <w:pPr>
              <w:spacing w:after="0"/>
            </w:pPr>
            <w:r>
              <w:t xml:space="preserve">Some states cap at 9 including rest intervals; OSH Code permits 12-hour days with 48-hour weeks where states allow</w:t>
            </w:r>
          </w:p>
        </w:tc>
      </w:tr>
      <w:tr>
        <w:trPr>
          <w:cantSplit/>
          <w:tblHeader w:val="false"/>
        </w:trPr>
        <w:tc>
          <w:tcPr>
            <w:tcMar>
              <w:top w:type="dxa" w:w="70"/>
              <w:left w:type="dxa" w:w="110"/>
              <w:bottom w:type="dxa" w:w="70"/>
              <w:right w:type="dxa" w:w="110"/>
            </w:tcMar>
          </w:tcPr>
          <w:p>
            <w:pPr>
              <w:spacing w:after="0"/>
            </w:pPr>
            <w:r>
              <w:rPr>
                <w:b/>
                <w:bCs/>
              </w:rPr>
              <w:t xml:space="preserve">Weekly hours</w:t>
            </w:r>
          </w:p>
        </w:tc>
        <w:tc>
          <w:tcPr>
            <w:tcMar>
              <w:top w:type="dxa" w:w="70"/>
              <w:left w:type="dxa" w:w="110"/>
              <w:bottom w:type="dxa" w:w="70"/>
              <w:right w:type="dxa" w:w="110"/>
            </w:tcMar>
          </w:tcPr>
          <w:p>
            <w:pPr>
              <w:spacing w:after="0"/>
            </w:pPr>
            <w:r>
              <w:t xml:space="preserve">48</w:t>
            </w:r>
          </w:p>
        </w:tc>
        <w:tc>
          <w:tcPr>
            <w:tcMar>
              <w:top w:type="dxa" w:w="70"/>
              <w:left w:type="dxa" w:w="110"/>
              <w:bottom w:type="dxa" w:w="70"/>
              <w:right w:type="dxa" w:w="110"/>
            </w:tcMar>
          </w:tcPr>
          <w:p>
            <w:pPr>
              <w:spacing w:after="0"/>
            </w:pPr>
            <w:r>
              <w:t xml:space="preserve">Uniform in principle</w:t>
            </w:r>
          </w:p>
        </w:tc>
      </w:tr>
      <w:tr>
        <w:trPr>
          <w:cantSplit/>
          <w:tblHeader w:val="false"/>
        </w:trPr>
        <w:tc>
          <w:tcPr>
            <w:tcMar>
              <w:top w:type="dxa" w:w="70"/>
              <w:left w:type="dxa" w:w="110"/>
              <w:bottom w:type="dxa" w:w="70"/>
              <w:right w:type="dxa" w:w="110"/>
            </w:tcMar>
          </w:tcPr>
          <w:p>
            <w:pPr>
              <w:spacing w:after="0"/>
            </w:pPr>
            <w:r>
              <w:rPr>
                <w:b/>
                <w:bCs/>
              </w:rPr>
              <w:t xml:space="preserve">Overtime cap</w:t>
            </w:r>
          </w:p>
        </w:tc>
        <w:tc>
          <w:tcPr>
            <w:tcMar>
              <w:top w:type="dxa" w:w="70"/>
              <w:left w:type="dxa" w:w="110"/>
              <w:bottom w:type="dxa" w:w="70"/>
              <w:right w:type="dxa" w:w="110"/>
            </w:tcMar>
          </w:tcPr>
          <w:p>
            <w:pPr>
              <w:spacing w:after="0"/>
            </w:pPr>
            <w:r>
              <w:t xml:space="preserve">50–125 hours per quarter</w:t>
            </w:r>
          </w:p>
        </w:tc>
        <w:tc>
          <w:tcPr>
            <w:tcMar>
              <w:top w:type="dxa" w:w="70"/>
              <w:left w:type="dxa" w:w="110"/>
              <w:bottom w:type="dxa" w:w="70"/>
              <w:right w:type="dxa" w:w="110"/>
            </w:tcMar>
          </w:tcPr>
          <w:p>
            <w:pPr>
              <w:spacing w:after="0"/>
            </w:pPr>
            <w:r>
              <w:t xml:space="preserve">Karnataka, Tamil Nadu, Haryana and Maharashtra have raised caps by notification; several states permitted 115–125 hours during and after 2020</w:t>
            </w:r>
          </w:p>
        </w:tc>
      </w:tr>
      <w:tr>
        <w:trPr>
          <w:cantSplit/>
          <w:tblHeader w:val="false"/>
        </w:trPr>
        <w:tc>
          <w:tcPr>
            <w:tcMar>
              <w:top w:type="dxa" w:w="70"/>
              <w:left w:type="dxa" w:w="110"/>
              <w:bottom w:type="dxa" w:w="70"/>
              <w:right w:type="dxa" w:w="110"/>
            </w:tcMar>
          </w:tcPr>
          <w:p>
            <w:pPr>
              <w:spacing w:after="0"/>
            </w:pPr>
            <w:r>
              <w:rPr>
                <w:b/>
                <w:bCs/>
              </w:rPr>
              <w:t xml:space="preserve">Overtime rate</w:t>
            </w:r>
          </w:p>
        </w:tc>
        <w:tc>
          <w:tcPr>
            <w:tcMar>
              <w:top w:type="dxa" w:w="70"/>
              <w:left w:type="dxa" w:w="110"/>
              <w:bottom w:type="dxa" w:w="70"/>
              <w:right w:type="dxa" w:w="110"/>
            </w:tcMar>
          </w:tcPr>
          <w:p>
            <w:pPr>
              <w:spacing w:after="0"/>
            </w:pPr>
            <w:r>
              <w:t xml:space="preserve">Twice ordinary wages</w:t>
            </w:r>
          </w:p>
        </w:tc>
        <w:tc>
          <w:tcPr>
            <w:tcMar>
              <w:top w:type="dxa" w:w="70"/>
              <w:left w:type="dxa" w:w="110"/>
              <w:bottom w:type="dxa" w:w="70"/>
              <w:right w:type="dxa" w:w="110"/>
            </w:tcMar>
          </w:tcPr>
          <w:p>
            <w:pPr>
              <w:spacing w:after="0"/>
            </w:pPr>
            <w:r>
              <w:t xml:space="preserve">Broadly uniform</w:t>
            </w:r>
          </w:p>
        </w:tc>
      </w:tr>
      <w:tr>
        <w:trPr>
          <w:cantSplit/>
          <w:tblHeader w:val="false"/>
        </w:trPr>
        <w:tc>
          <w:tcPr>
            <w:tcMar>
              <w:top w:type="dxa" w:w="70"/>
              <w:left w:type="dxa" w:w="110"/>
              <w:bottom w:type="dxa" w:w="70"/>
              <w:right w:type="dxa" w:w="110"/>
            </w:tcMar>
          </w:tcPr>
          <w:p>
            <w:pPr>
              <w:spacing w:after="0"/>
            </w:pPr>
            <w:r>
              <w:rPr>
                <w:b/>
                <w:bCs/>
              </w:rPr>
              <w:t xml:space="preserve">Spread-over</w:t>
            </w:r>
          </w:p>
        </w:tc>
        <w:tc>
          <w:tcPr>
            <w:tcMar>
              <w:top w:type="dxa" w:w="70"/>
              <w:left w:type="dxa" w:w="110"/>
              <w:bottom w:type="dxa" w:w="70"/>
              <w:right w:type="dxa" w:w="110"/>
            </w:tcMar>
          </w:tcPr>
          <w:p>
            <w:pPr>
              <w:spacing w:after="0"/>
            </w:pPr>
            <w:r>
              <w:t xml:space="preserve">10.5–12 hours</w:t>
            </w:r>
          </w:p>
        </w:tc>
        <w:tc>
          <w:tcPr>
            <w:tcMar>
              <w:top w:type="dxa" w:w="70"/>
              <w:left w:type="dxa" w:w="110"/>
              <w:bottom w:type="dxa" w:w="70"/>
              <w:right w:type="dxa" w:w="110"/>
            </w:tcMar>
          </w:tcPr>
          <w:p>
            <w:pPr>
              <w:spacing w:after="0"/>
            </w:pPr>
            <w:r>
              <w:t xml:space="preserve">Varies</w:t>
            </w:r>
          </w:p>
        </w:tc>
      </w:tr>
      <w:tr>
        <w:trPr>
          <w:cantSplit/>
          <w:tblHeader w:val="false"/>
        </w:trPr>
        <w:tc>
          <w:tcPr>
            <w:tcMar>
              <w:top w:type="dxa" w:w="70"/>
              <w:left w:type="dxa" w:w="110"/>
              <w:bottom w:type="dxa" w:w="70"/>
              <w:right w:type="dxa" w:w="110"/>
            </w:tcMar>
          </w:tcPr>
          <w:p>
            <w:pPr>
              <w:spacing w:after="0"/>
            </w:pPr>
            <w:r>
              <w:rPr>
                <w:b/>
                <w:bCs/>
              </w:rPr>
              <w:t xml:space="preserve">Rest interval</w:t>
            </w:r>
          </w:p>
        </w:tc>
        <w:tc>
          <w:tcPr>
            <w:tcMar>
              <w:top w:type="dxa" w:w="70"/>
              <w:left w:type="dxa" w:w="110"/>
              <w:bottom w:type="dxa" w:w="70"/>
              <w:right w:type="dxa" w:w="110"/>
            </w:tcMar>
          </w:tcPr>
          <w:p>
            <w:pPr>
              <w:spacing w:after="0"/>
            </w:pPr>
            <w:r>
              <w:t xml:space="preserve">After 5 hours continuous work</w:t>
            </w:r>
          </w:p>
        </w:tc>
        <w:tc>
          <w:tcPr>
            <w:tcMar>
              <w:top w:type="dxa" w:w="70"/>
              <w:left w:type="dxa" w:w="110"/>
              <w:bottom w:type="dxa" w:w="70"/>
              <w:right w:type="dxa" w:w="110"/>
            </w:tcMar>
          </w:tcPr>
          <w:p>
            <w:pPr>
              <w:spacing w:after="0"/>
            </w:pPr>
            <w:r>
              <w:t xml:space="preserve">Broadly uniform</w:t>
            </w:r>
          </w:p>
        </w:tc>
      </w:tr>
      <w:tr>
        <w:trPr>
          <w:cantSplit/>
          <w:tblHeader w:val="false"/>
        </w:trPr>
        <w:tc>
          <w:tcPr>
            <w:tcMar>
              <w:top w:type="dxa" w:w="70"/>
              <w:left w:type="dxa" w:w="110"/>
              <w:bottom w:type="dxa" w:w="70"/>
              <w:right w:type="dxa" w:w="110"/>
            </w:tcMar>
          </w:tcPr>
          <w:p>
            <w:pPr>
              <w:spacing w:after="0"/>
            </w:pPr>
            <w:r>
              <w:rPr>
                <w:b/>
                <w:bCs/>
              </w:rPr>
              <w:t xml:space="preserve">Weekly holiday</w:t>
            </w:r>
          </w:p>
        </w:tc>
        <w:tc>
          <w:tcPr>
            <w:tcMar>
              <w:top w:type="dxa" w:w="70"/>
              <w:left w:type="dxa" w:w="110"/>
              <w:bottom w:type="dxa" w:w="70"/>
              <w:right w:type="dxa" w:w="110"/>
            </w:tcMar>
          </w:tcPr>
          <w:p>
            <w:pPr>
              <w:spacing w:after="0"/>
            </w:pPr>
            <w:r>
              <w:t xml:space="preserve">One per week, rotational allowed</w:t>
            </w:r>
          </w:p>
        </w:tc>
        <w:tc>
          <w:tcPr>
            <w:tcMar>
              <w:top w:type="dxa" w:w="70"/>
              <w:left w:type="dxa" w:w="110"/>
              <w:bottom w:type="dxa" w:w="70"/>
              <w:right w:type="dxa" w:w="110"/>
            </w:tcMar>
          </w:tcPr>
          <w:p>
            <w:pPr>
              <w:spacing w:after="0"/>
            </w:pPr>
            <w:r>
              <w:t xml:space="preserve">Some states mandate a fixed day for certain trades</w:t>
            </w:r>
          </w:p>
        </w:tc>
      </w:tr>
      <w:tr>
        <w:trPr>
          <w:cantSplit/>
          <w:tblHeader w:val="false"/>
        </w:trPr>
        <w:tc>
          <w:tcPr>
            <w:tcMar>
              <w:top w:type="dxa" w:w="70"/>
              <w:left w:type="dxa" w:w="110"/>
              <w:bottom w:type="dxa" w:w="70"/>
              <w:right w:type="dxa" w:w="110"/>
            </w:tcMar>
          </w:tcPr>
          <w:p>
            <w:pPr>
              <w:spacing w:after="0"/>
            </w:pPr>
            <w:r>
              <w:rPr>
                <w:b/>
                <w:bCs/>
              </w:rPr>
              <w:t xml:space="preserve">Opening/closing hours</w:t>
            </w:r>
          </w:p>
        </w:tc>
        <w:tc>
          <w:tcPr>
            <w:tcMar>
              <w:top w:type="dxa" w:w="70"/>
              <w:left w:type="dxa" w:w="110"/>
              <w:bottom w:type="dxa" w:w="70"/>
              <w:right w:type="dxa" w:w="110"/>
            </w:tcMar>
          </w:tcPr>
          <w:p>
            <w:pPr>
              <w:spacing w:after="0"/>
            </w:pPr>
            <w:r>
              <w:t xml:space="preserve">State-notified</w:t>
            </w:r>
          </w:p>
        </w:tc>
        <w:tc>
          <w:tcPr>
            <w:tcMar>
              <w:top w:type="dxa" w:w="70"/>
              <w:left w:type="dxa" w:w="110"/>
              <w:bottom w:type="dxa" w:w="70"/>
              <w:right w:type="dxa" w:w="110"/>
            </w:tcMar>
          </w:tcPr>
          <w:p>
            <w:pPr>
              <w:spacing w:after="0"/>
            </w:pPr>
            <w:r>
              <w:t xml:space="preserve">Maharashtra fixes separate hours for malls and shopping complexes; several states restrict late-night retail</w:t>
            </w:r>
          </w:p>
        </w:tc>
      </w:tr>
      <w:tr>
        <w:trPr>
          <w:cantSplit/>
          <w:tblHeader w:val="false"/>
        </w:trPr>
        <w:tc>
          <w:tcPr>
            <w:tcMar>
              <w:top w:type="dxa" w:w="70"/>
              <w:left w:type="dxa" w:w="110"/>
              <w:bottom w:type="dxa" w:w="70"/>
              <w:right w:type="dxa" w:w="110"/>
            </w:tcMar>
          </w:tcPr>
          <w:p>
            <w:pPr>
              <w:spacing w:after="0"/>
            </w:pPr>
            <w:r>
              <w:rPr>
                <w:b/>
                <w:bCs/>
              </w:rPr>
              <w:t xml:space="preserve">24x7 operation</w:t>
            </w:r>
          </w:p>
        </w:tc>
        <w:tc>
          <w:tcPr>
            <w:tcMar>
              <w:top w:type="dxa" w:w="70"/>
              <w:left w:type="dxa" w:w="110"/>
              <w:bottom w:type="dxa" w:w="70"/>
              <w:right w:type="dxa" w:w="110"/>
            </w:tcMar>
          </w:tcPr>
          <w:p>
            <w:pPr>
              <w:spacing w:after="0"/>
            </w:pPr>
            <w:r>
              <w:t xml:space="preserve">By exemption notification</w:t>
            </w:r>
          </w:p>
        </w:tc>
        <w:tc>
          <w:tcPr>
            <w:tcMar>
              <w:top w:type="dxa" w:w="70"/>
              <w:left w:type="dxa" w:w="110"/>
              <w:bottom w:type="dxa" w:w="70"/>
              <w:right w:type="dxa" w:w="110"/>
            </w:tcMar>
          </w:tcPr>
          <w:p>
            <w:pPr>
              <w:spacing w:after="0"/>
            </w:pPr>
            <w:r>
              <w:t xml:space="preserve">Granted in Tamil Nadu, Karnataka, Maharashtra, Telangana, Haryana, Andhra Pradesh, West Bengal and others — conditional on rotational weekly off, women’s safety, transport, CCTV and often a minimum headcount</w:t>
            </w:r>
          </w:p>
        </w:tc>
      </w:tr>
      <w:tr>
        <w:trPr>
          <w:cantSplit/>
          <w:tblHeader w:val="false"/>
        </w:trPr>
        <w:tc>
          <w:tcPr>
            <w:tcMar>
              <w:top w:type="dxa" w:w="70"/>
              <w:left w:type="dxa" w:w="110"/>
              <w:bottom w:type="dxa" w:w="70"/>
              <w:right w:type="dxa" w:w="110"/>
            </w:tcMar>
          </w:tcPr>
          <w:p>
            <w:pPr>
              <w:spacing w:after="0"/>
            </w:pPr>
            <w:r>
              <w:rPr>
                <w:b/>
                <w:bCs/>
              </w:rPr>
              <w:t xml:space="preserve">Women in night shifts</w:t>
            </w:r>
          </w:p>
        </w:tc>
        <w:tc>
          <w:tcPr>
            <w:tcMar>
              <w:top w:type="dxa" w:w="70"/>
              <w:left w:type="dxa" w:w="110"/>
              <w:bottom w:type="dxa" w:w="70"/>
              <w:right w:type="dxa" w:w="110"/>
            </w:tcMar>
          </w:tcPr>
          <w:p>
            <w:pPr>
              <w:spacing w:after="0"/>
            </w:pPr>
            <w:r>
              <w:t xml:space="preserve">Permitted with conditions in most large states</w:t>
            </w:r>
          </w:p>
        </w:tc>
        <w:tc>
          <w:tcPr>
            <w:tcMar>
              <w:top w:type="dxa" w:w="70"/>
              <w:left w:type="dxa" w:w="110"/>
              <w:bottom w:type="dxa" w:w="70"/>
              <w:right w:type="dxa" w:w="110"/>
            </w:tcMar>
          </w:tcPr>
          <w:p>
            <w:pPr>
              <w:spacing w:after="0"/>
            </w:pPr>
            <w:r>
              <w:t xml:space="preserve">Requires written consent, group of minimum women, transport, CCTV, internal committee; still restricted or notification-dependent in some smaller states</w:t>
            </w:r>
          </w:p>
        </w:tc>
      </w:tr>
      <w:tr>
        <w:trPr>
          <w:cantSplit/>
          <w:tblHeader w:val="false"/>
        </w:trPr>
        <w:tc>
          <w:tcPr>
            <w:tcMar>
              <w:top w:type="dxa" w:w="70"/>
              <w:left w:type="dxa" w:w="110"/>
              <w:bottom w:type="dxa" w:w="70"/>
              <w:right w:type="dxa" w:w="110"/>
            </w:tcMar>
          </w:tcPr>
          <w:p>
            <w:pPr>
              <w:spacing w:after="0"/>
            </w:pPr>
            <w:r>
              <w:rPr>
                <w:b/>
                <w:bCs/>
              </w:rPr>
              <w:t xml:space="preserve">Earned leave</w:t>
            </w:r>
          </w:p>
        </w:tc>
        <w:tc>
          <w:tcPr>
            <w:tcMar>
              <w:top w:type="dxa" w:w="70"/>
              <w:left w:type="dxa" w:w="110"/>
              <w:bottom w:type="dxa" w:w="70"/>
              <w:right w:type="dxa" w:w="110"/>
            </w:tcMar>
          </w:tcPr>
          <w:p>
            <w:pPr>
              <w:spacing w:after="0"/>
            </w:pPr>
            <w:r>
              <w:t xml:space="preserve">15–21 days per year after qualifying service</w:t>
            </w:r>
          </w:p>
        </w:tc>
        <w:tc>
          <w:tcPr>
            <w:tcMar>
              <w:top w:type="dxa" w:w="70"/>
              <w:left w:type="dxa" w:w="110"/>
              <w:bottom w:type="dxa" w:w="70"/>
              <w:right w:type="dxa" w:w="110"/>
            </w:tcMar>
          </w:tcPr>
          <w:p>
            <w:pPr>
              <w:spacing w:after="0"/>
            </w:pPr>
            <w:r>
              <w:t xml:space="preserve">Accrual formula differs (one day per 20 days worked being common)</w:t>
            </w:r>
          </w:p>
        </w:tc>
      </w:tr>
      <w:tr>
        <w:trPr>
          <w:cantSplit/>
          <w:tblHeader w:val="false"/>
        </w:trPr>
        <w:tc>
          <w:tcPr>
            <w:tcMar>
              <w:top w:type="dxa" w:w="70"/>
              <w:left w:type="dxa" w:w="110"/>
              <w:bottom w:type="dxa" w:w="70"/>
              <w:right w:type="dxa" w:w="110"/>
            </w:tcMar>
          </w:tcPr>
          <w:p>
            <w:pPr>
              <w:spacing w:after="0"/>
            </w:pPr>
            <w:r>
              <w:rPr>
                <w:b/>
                <w:bCs/>
              </w:rPr>
              <w:t xml:space="preserve">Casual/sick leave</w:t>
            </w:r>
          </w:p>
        </w:tc>
        <w:tc>
          <w:tcPr>
            <w:tcMar>
              <w:top w:type="dxa" w:w="70"/>
              <w:left w:type="dxa" w:w="110"/>
              <w:bottom w:type="dxa" w:w="70"/>
              <w:right w:type="dxa" w:w="110"/>
            </w:tcMar>
          </w:tcPr>
          <w:p>
            <w:pPr>
              <w:spacing w:after="0"/>
            </w:pPr>
            <w:r>
              <w:t xml:space="preserve">7–12 days</w:t>
            </w:r>
          </w:p>
        </w:tc>
        <w:tc>
          <w:tcPr>
            <w:tcMar>
              <w:top w:type="dxa" w:w="70"/>
              <w:left w:type="dxa" w:w="110"/>
              <w:bottom w:type="dxa" w:w="70"/>
              <w:right w:type="dxa" w:w="110"/>
            </w:tcMar>
          </w:tcPr>
          <w:p>
            <w:pPr>
              <w:spacing w:after="0"/>
            </w:pPr>
            <w:r>
              <w:t xml:space="preserve">Some states do not mandate separately</w:t>
            </w:r>
          </w:p>
        </w:tc>
      </w:tr>
      <w:tr>
        <w:trPr>
          <w:cantSplit/>
          <w:tblHeader w:val="false"/>
        </w:trPr>
        <w:tc>
          <w:tcPr>
            <w:tcMar>
              <w:top w:type="dxa" w:w="70"/>
              <w:left w:type="dxa" w:w="110"/>
              <w:bottom w:type="dxa" w:w="70"/>
              <w:right w:type="dxa" w:w="110"/>
            </w:tcMar>
          </w:tcPr>
          <w:p>
            <w:pPr>
              <w:spacing w:after="0"/>
            </w:pPr>
            <w:r>
              <w:rPr>
                <w:b/>
                <w:bCs/>
              </w:rPr>
              <w:t xml:space="preserve">Leave carry-forward</w:t>
            </w:r>
          </w:p>
        </w:tc>
        <w:tc>
          <w:tcPr>
            <w:tcMar>
              <w:top w:type="dxa" w:w="70"/>
              <w:left w:type="dxa" w:w="110"/>
              <w:bottom w:type="dxa" w:w="70"/>
              <w:right w:type="dxa" w:w="110"/>
            </w:tcMar>
          </w:tcPr>
          <w:p>
            <w:pPr>
              <w:spacing w:after="0"/>
            </w:pPr>
            <w:r>
              <w:t xml:space="preserve">30–45 days</w:t>
            </w:r>
          </w:p>
        </w:tc>
        <w:tc>
          <w:tcPr>
            <w:tcMar>
              <w:top w:type="dxa" w:w="70"/>
              <w:left w:type="dxa" w:w="110"/>
              <w:bottom w:type="dxa" w:w="70"/>
              <w:right w:type="dxa" w:w="110"/>
            </w:tcMar>
          </w:tcPr>
          <w:p>
            <w:pPr>
              <w:spacing w:after="0"/>
            </w:pPr>
            <w:r>
              <w:t xml:space="preserve">Maharashtra permits up to 45</w:t>
            </w:r>
          </w:p>
        </w:tc>
      </w:tr>
      <w:tr>
        <w:trPr>
          <w:cantSplit/>
          <w:tblHeader w:val="false"/>
        </w:trPr>
        <w:tc>
          <w:tcPr>
            <w:tcMar>
              <w:top w:type="dxa" w:w="70"/>
              <w:left w:type="dxa" w:w="110"/>
              <w:bottom w:type="dxa" w:w="70"/>
              <w:right w:type="dxa" w:w="110"/>
            </w:tcMar>
          </w:tcPr>
          <w:p>
            <w:pPr>
              <w:spacing w:after="0"/>
            </w:pPr>
            <w:r>
              <w:rPr>
                <w:b/>
                <w:bCs/>
              </w:rPr>
              <w:t xml:space="preserve">Young persons (15–18)</w:t>
            </w:r>
          </w:p>
        </w:tc>
        <w:tc>
          <w:tcPr>
            <w:tcMar>
              <w:top w:type="dxa" w:w="70"/>
              <w:left w:type="dxa" w:w="110"/>
              <w:bottom w:type="dxa" w:w="70"/>
              <w:right w:type="dxa" w:w="110"/>
            </w:tcMar>
          </w:tcPr>
          <w:p>
            <w:pPr>
              <w:spacing w:after="0"/>
            </w:pPr>
            <w:r>
              <w:t xml:space="preserve">Restricted hours, no night work</w:t>
            </w:r>
          </w:p>
        </w:tc>
        <w:tc>
          <w:tcPr>
            <w:tcMar>
              <w:top w:type="dxa" w:w="70"/>
              <w:left w:type="dxa" w:w="110"/>
              <w:bottom w:type="dxa" w:w="70"/>
              <w:right w:type="dxa" w:w="110"/>
            </w:tcMar>
          </w:tcPr>
          <w:p>
            <w:pPr>
              <w:spacing w:after="0"/>
            </w:pPr>
            <w:r>
              <w:t xml:space="preserve">Tamil Nadu caps at 42 hours/week</w:t>
            </w:r>
          </w:p>
        </w:tc>
      </w:tr>
      <w:tr>
        <w:trPr>
          <w:cantSplit/>
          <w:tblHeader w:val="false"/>
        </w:trPr>
        <w:tc>
          <w:tcPr>
            <w:tcMar>
              <w:top w:type="dxa" w:w="70"/>
              <w:left w:type="dxa" w:w="110"/>
              <w:bottom w:type="dxa" w:w="70"/>
              <w:right w:type="dxa" w:w="110"/>
            </w:tcMar>
          </w:tcPr>
          <w:p>
            <w:pPr>
              <w:spacing w:after="0"/>
            </w:pPr>
            <w:r>
              <w:rPr>
                <w:b/>
                <w:bCs/>
              </w:rPr>
              <w:t xml:space="preserve">Creche</w:t>
            </w:r>
          </w:p>
        </w:tc>
        <w:tc>
          <w:tcPr>
            <w:tcMar>
              <w:top w:type="dxa" w:w="70"/>
              <w:left w:type="dxa" w:w="110"/>
              <w:bottom w:type="dxa" w:w="70"/>
              <w:right w:type="dxa" w:w="110"/>
            </w:tcMar>
          </w:tcPr>
          <w:p>
            <w:pPr>
              <w:spacing w:after="0"/>
            </w:pPr>
            <w:r>
              <w:t xml:space="preserve">50+ workers</w:t>
            </w:r>
          </w:p>
        </w:tc>
        <w:tc>
          <w:tcPr>
            <w:tcMar>
              <w:top w:type="dxa" w:w="70"/>
              <w:left w:type="dxa" w:w="110"/>
              <w:bottom w:type="dxa" w:w="70"/>
              <w:right w:type="dxa" w:w="110"/>
            </w:tcMar>
          </w:tcPr>
          <w:p>
            <w:pPr>
              <w:spacing w:after="0"/>
            </w:pPr>
            <w:r>
              <w:t xml:space="preserve">Mandatory under the Maternity Benefit Act; state rules add layout and distance norms</w:t>
            </w:r>
          </w:p>
        </w:tc>
      </w:tr>
      <w:tr>
        <w:trPr>
          <w:cantSplit/>
          <w:tblHeader w:val="false"/>
        </w:trPr>
        <w:tc>
          <w:tcPr>
            <w:tcMar>
              <w:top w:type="dxa" w:w="70"/>
              <w:left w:type="dxa" w:w="110"/>
              <w:bottom w:type="dxa" w:w="70"/>
              <w:right w:type="dxa" w:w="110"/>
            </w:tcMar>
          </w:tcPr>
          <w:p>
            <w:pPr>
              <w:spacing w:after="0"/>
            </w:pPr>
            <w:r>
              <w:rPr>
                <w:b/>
                <w:bCs/>
              </w:rPr>
              <w:t xml:space="preserve">Enforcement officer</w:t>
            </w:r>
          </w:p>
        </w:tc>
        <w:tc>
          <w:tcPr>
            <w:tcMar>
              <w:top w:type="dxa" w:w="70"/>
              <w:left w:type="dxa" w:w="110"/>
              <w:bottom w:type="dxa" w:w="70"/>
              <w:right w:type="dxa" w:w="110"/>
            </w:tcMar>
          </w:tcPr>
          <w:p>
            <w:pPr>
              <w:spacing w:after="0"/>
            </w:pPr>
            <w:r>
              <w:t xml:space="preserve">“Inspector”</w:t>
            </w:r>
          </w:p>
        </w:tc>
        <w:tc>
          <w:tcPr>
            <w:tcMar>
              <w:top w:type="dxa" w:w="70"/>
              <w:left w:type="dxa" w:w="110"/>
              <w:bottom w:type="dxa" w:w="70"/>
              <w:right w:type="dxa" w:w="110"/>
            </w:tcMar>
          </w:tcPr>
          <w:p>
            <w:pPr>
              <w:spacing w:after="0"/>
            </w:pPr>
            <w:r>
              <w:t xml:space="preserve">Maharashtra and Gujarat renamed the role </w:t>
            </w:r>
            <w:r>
              <w:rPr>
                <w:b/>
                <w:bCs/>
              </w:rPr>
              <w:t xml:space="preserve">“Facilitator”</w:t>
            </w:r>
            <w:r>
              <w:t xml:space="preserve">, with an advisory as well as enforcement mandate</w:t>
            </w:r>
          </w:p>
        </w:tc>
      </w:tr>
      <w:tr>
        <w:trPr>
          <w:cantSplit/>
          <w:tblHeader w:val="false"/>
        </w:trPr>
        <w:tc>
          <w:tcPr>
            <w:tcMar>
              <w:top w:type="dxa" w:w="70"/>
              <w:left w:type="dxa" w:w="110"/>
              <w:bottom w:type="dxa" w:w="70"/>
              <w:right w:type="dxa" w:w="110"/>
            </w:tcMar>
          </w:tcPr>
          <w:p>
            <w:pPr>
              <w:spacing w:after="0"/>
            </w:pPr>
            <w:r>
              <w:rPr>
                <w:b/>
                <w:bCs/>
              </w:rPr>
              <w:t xml:space="preserve">Registers and records</w:t>
            </w:r>
          </w:p>
        </w:tc>
        <w:tc>
          <w:tcPr>
            <w:tcMar>
              <w:top w:type="dxa" w:w="70"/>
              <w:left w:type="dxa" w:w="110"/>
              <w:bottom w:type="dxa" w:w="70"/>
              <w:right w:type="dxa" w:w="110"/>
            </w:tcMar>
          </w:tcPr>
          <w:p>
            <w:pPr>
              <w:spacing w:after="0"/>
            </w:pPr>
            <w:r>
              <w:t xml:space="preserve">Attendance, wages, leave, overtime</w:t>
            </w:r>
          </w:p>
        </w:tc>
        <w:tc>
          <w:tcPr>
            <w:tcMar>
              <w:top w:type="dxa" w:w="70"/>
              <w:left w:type="dxa" w:w="110"/>
              <w:bottom w:type="dxa" w:w="70"/>
              <w:right w:type="dxa" w:w="110"/>
            </w:tcMar>
          </w:tcPr>
          <w:p>
            <w:pPr>
              <w:spacing w:after="0"/>
            </w:pPr>
            <w:r>
              <w:t xml:space="preserve">Form numbers and formats differ in every state; many now permit electronic records</w:t>
            </w:r>
          </w:p>
        </w:tc>
      </w:tr>
      <w:tr>
        <w:trPr>
          <w:cantSplit/>
          <w:tblHeader w:val="false"/>
        </w:trPr>
        <w:tc>
          <w:tcPr>
            <w:tcMar>
              <w:top w:type="dxa" w:w="70"/>
              <w:left w:type="dxa" w:w="110"/>
              <w:bottom w:type="dxa" w:w="70"/>
              <w:right w:type="dxa" w:w="110"/>
            </w:tcMar>
          </w:tcPr>
          <w:p>
            <w:pPr>
              <w:spacing w:after="0"/>
            </w:pPr>
            <w:r>
              <w:rPr>
                <w:b/>
                <w:bCs/>
              </w:rPr>
              <w:t xml:space="preserve">Display obligations</w:t>
            </w:r>
          </w:p>
        </w:tc>
        <w:tc>
          <w:tcPr>
            <w:tcMar>
              <w:top w:type="dxa" w:w="70"/>
              <w:left w:type="dxa" w:w="110"/>
              <w:bottom w:type="dxa" w:w="70"/>
              <w:right w:type="dxa" w:w="110"/>
            </w:tcMar>
          </w:tcPr>
          <w:p>
            <w:pPr>
              <w:spacing w:after="0"/>
            </w:pPr>
            <w:r>
              <w:t xml:space="preserve">Notice of weekly holiday, working hours, name board</w:t>
            </w:r>
          </w:p>
        </w:tc>
        <w:tc>
          <w:tcPr>
            <w:tcMar>
              <w:top w:type="dxa" w:w="70"/>
              <w:left w:type="dxa" w:w="110"/>
              <w:bottom w:type="dxa" w:w="70"/>
              <w:right w:type="dxa" w:w="110"/>
            </w:tcMar>
          </w:tcPr>
          <w:p>
            <w:pPr>
              <w:spacing w:after="0"/>
            </w:pPr>
            <w:r>
              <w:t xml:space="preserve">Several states mandate the name board be in the official state language — enforced actively in Tamil Nadu, Karnataka and Maharashtra</w:t>
            </w:r>
          </w:p>
        </w:tc>
      </w:tr>
    </w:tbl>
    <w:p>
      <w:pPr>
        <w:spacing w:after="40"/>
      </w:pPr>
    </w:p>
    <w:p>
      <w:pPr>
        <w:pStyle w:val="Heading2"/>
        <w:keepNext/>
        <w:keepLines/>
      </w:pPr>
      <w:r>
        <w:t xml:space="preserve">4.4 Labour Welfare Fund</w:t>
      </w:r>
    </w:p>
    <w:p>
      <w:r>
        <w:t xml:space="preserve">A small statutory contribution funding welfare activities, operated by a state Labour Welfare Board. It exists in only about half the states.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State / UT</w:t>
            </w:r>
          </w:p>
        </w:tc>
        <w:tc>
          <w:tcPr>
            <w:shd w:fill="F0F4FE"/>
            <w:tcMar>
              <w:top w:type="dxa" w:w="70"/>
              <w:left w:type="dxa" w:w="110"/>
              <w:bottom w:type="dxa" w:w="70"/>
              <w:right w:type="dxa" w:w="110"/>
            </w:tcMar>
          </w:tcPr>
          <w:p>
            <w:pPr>
              <w:spacing w:after="0"/>
            </w:pPr>
            <w:r>
              <w:rPr>
                <w:b/>
                <w:bCs/>
                <w:color w:val="112D6A"/>
              </w:rPr>
              <w:t xml:space="preserve">LWF Operational</w:t>
            </w:r>
          </w:p>
        </w:tc>
        <w:tc>
          <w:tcPr>
            <w:shd w:fill="F0F4FE"/>
            <w:tcMar>
              <w:top w:type="dxa" w:w="70"/>
              <w:left w:type="dxa" w:w="110"/>
              <w:bottom w:type="dxa" w:w="70"/>
              <w:right w:type="dxa" w:w="110"/>
            </w:tcMar>
          </w:tcPr>
          <w:p>
            <w:pPr>
              <w:spacing w:after="0"/>
            </w:pPr>
            <w:r>
              <w:rPr>
                <w:b/>
                <w:bCs/>
                <w:color w:val="112D6A"/>
              </w:rPr>
              <w:t xml:space="preserve">Typical Frequency</w:t>
            </w:r>
          </w:p>
        </w:tc>
      </w:tr>
      <w:tr>
        <w:trPr>
          <w:cantSplit/>
          <w:tblHeader w:val="false"/>
        </w:trPr>
        <w:tc>
          <w:tcPr>
            <w:tcMar>
              <w:top w:type="dxa" w:w="70"/>
              <w:left w:type="dxa" w:w="110"/>
              <w:bottom w:type="dxa" w:w="70"/>
              <w:right w:type="dxa" w:w="110"/>
            </w:tcMar>
          </w:tcPr>
          <w:p>
            <w:pPr>
              <w:spacing w:after="0"/>
            </w:pPr>
            <w:r>
              <w:t xml:space="preserve">Andhra Pradesh</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Annual (December)</w:t>
            </w:r>
          </w:p>
        </w:tc>
      </w:tr>
      <w:tr>
        <w:trPr>
          <w:cantSplit/>
          <w:tblHeader w:val="false"/>
        </w:trPr>
        <w:tc>
          <w:tcPr>
            <w:tcMar>
              <w:top w:type="dxa" w:w="70"/>
              <w:left w:type="dxa" w:w="110"/>
              <w:bottom w:type="dxa" w:w="70"/>
              <w:right w:type="dxa" w:w="110"/>
            </w:tcMar>
          </w:tcPr>
          <w:p>
            <w:pPr>
              <w:spacing w:after="0"/>
            </w:pPr>
            <w:r>
              <w:t xml:space="preserve">Chhattisgarh</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Half-yearly</w:t>
            </w:r>
          </w:p>
        </w:tc>
      </w:tr>
      <w:tr>
        <w:trPr>
          <w:cantSplit/>
          <w:tblHeader w:val="false"/>
        </w:trPr>
        <w:tc>
          <w:tcPr>
            <w:tcMar>
              <w:top w:type="dxa" w:w="70"/>
              <w:left w:type="dxa" w:w="110"/>
              <w:bottom w:type="dxa" w:w="70"/>
              <w:right w:type="dxa" w:w="110"/>
            </w:tcMar>
          </w:tcPr>
          <w:p>
            <w:pPr>
              <w:spacing w:after="0"/>
            </w:pPr>
            <w:r>
              <w:t xml:space="preserve">Delhi</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Half-yearly</w:t>
            </w:r>
          </w:p>
        </w:tc>
      </w:tr>
      <w:tr>
        <w:trPr>
          <w:cantSplit/>
          <w:tblHeader w:val="false"/>
        </w:trPr>
        <w:tc>
          <w:tcPr>
            <w:tcMar>
              <w:top w:type="dxa" w:w="70"/>
              <w:left w:type="dxa" w:w="110"/>
              <w:bottom w:type="dxa" w:w="70"/>
              <w:right w:type="dxa" w:w="110"/>
            </w:tcMar>
          </w:tcPr>
          <w:p>
            <w:pPr>
              <w:spacing w:after="0"/>
            </w:pPr>
            <w:r>
              <w:t xml:space="preserve">Goa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Half-yearly</w:t>
            </w:r>
          </w:p>
        </w:tc>
      </w:tr>
      <w:tr>
        <w:trPr>
          <w:cantSplit/>
          <w:tblHeader w:val="false"/>
        </w:trPr>
        <w:tc>
          <w:tcPr>
            <w:tcMar>
              <w:top w:type="dxa" w:w="70"/>
              <w:left w:type="dxa" w:w="110"/>
              <w:bottom w:type="dxa" w:w="70"/>
              <w:right w:type="dxa" w:w="110"/>
            </w:tcMar>
          </w:tcPr>
          <w:p>
            <w:pPr>
              <w:spacing w:after="0"/>
            </w:pPr>
            <w:r>
              <w:t xml:space="preserve">Gujarat</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Half-yearly</w:t>
            </w:r>
          </w:p>
        </w:tc>
      </w:tr>
      <w:tr>
        <w:trPr>
          <w:cantSplit/>
          <w:tblHeader w:val="false"/>
        </w:trPr>
        <w:tc>
          <w:tcPr>
            <w:tcMar>
              <w:top w:type="dxa" w:w="70"/>
              <w:left w:type="dxa" w:w="110"/>
              <w:bottom w:type="dxa" w:w="70"/>
              <w:right w:type="dxa" w:w="110"/>
            </w:tcMar>
          </w:tcPr>
          <w:p>
            <w:pPr>
              <w:spacing w:after="0"/>
            </w:pPr>
            <w:r>
              <w:t xml:space="preserve">Haryana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Karnataka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Annual (December)</w:t>
            </w:r>
          </w:p>
        </w:tc>
      </w:tr>
      <w:tr>
        <w:trPr>
          <w:cantSplit/>
          <w:tblHeader w:val="false"/>
        </w:trPr>
        <w:tc>
          <w:tcPr>
            <w:tcMar>
              <w:top w:type="dxa" w:w="70"/>
              <w:left w:type="dxa" w:w="110"/>
              <w:bottom w:type="dxa" w:w="70"/>
              <w:right w:type="dxa" w:w="110"/>
            </w:tcMar>
          </w:tcPr>
          <w:p>
            <w:pPr>
              <w:spacing w:after="0"/>
            </w:pPr>
            <w:r>
              <w:t xml:space="preserve">Kerala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Madhya Pradesh</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Half-yearly</w:t>
            </w:r>
          </w:p>
        </w:tc>
      </w:tr>
      <w:tr>
        <w:trPr>
          <w:cantSplit/>
          <w:tblHeader w:val="false"/>
        </w:trPr>
        <w:tc>
          <w:tcPr>
            <w:tcMar>
              <w:top w:type="dxa" w:w="70"/>
              <w:left w:type="dxa" w:w="110"/>
              <w:bottom w:type="dxa" w:w="70"/>
              <w:right w:type="dxa" w:w="110"/>
            </w:tcMar>
          </w:tcPr>
          <w:p>
            <w:pPr>
              <w:spacing w:after="0"/>
            </w:pPr>
            <w:r>
              <w:t xml:space="preserve">Maharashtra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Half-yearly (June and December)</w:t>
            </w:r>
          </w:p>
        </w:tc>
      </w:tr>
      <w:tr>
        <w:trPr>
          <w:cantSplit/>
          <w:tblHeader w:val="false"/>
        </w:trPr>
        <w:tc>
          <w:tcPr>
            <w:tcMar>
              <w:top w:type="dxa" w:w="70"/>
              <w:left w:type="dxa" w:w="110"/>
              <w:bottom w:type="dxa" w:w="70"/>
              <w:right w:type="dxa" w:w="110"/>
            </w:tcMar>
          </w:tcPr>
          <w:p>
            <w:pPr>
              <w:spacing w:after="0"/>
            </w:pPr>
            <w:r>
              <w:t xml:space="preserve">Odisha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Half-yearly</w:t>
            </w:r>
          </w:p>
        </w:tc>
      </w:tr>
      <w:tr>
        <w:trPr>
          <w:cantSplit/>
          <w:tblHeader w:val="false"/>
        </w:trPr>
        <w:tc>
          <w:tcPr>
            <w:tcMar>
              <w:top w:type="dxa" w:w="70"/>
              <w:left w:type="dxa" w:w="110"/>
              <w:bottom w:type="dxa" w:w="70"/>
              <w:right w:type="dxa" w:w="110"/>
            </w:tcMar>
          </w:tcPr>
          <w:p>
            <w:pPr>
              <w:spacing w:after="0"/>
            </w:pPr>
            <w:r>
              <w:t xml:space="preserve">Punjab</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Tamil Nadu</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Annual (December)</w:t>
            </w:r>
          </w:p>
        </w:tc>
      </w:tr>
      <w:tr>
        <w:trPr>
          <w:cantSplit/>
          <w:tblHeader w:val="false"/>
        </w:trPr>
        <w:tc>
          <w:tcPr>
            <w:tcMar>
              <w:top w:type="dxa" w:w="70"/>
              <w:left w:type="dxa" w:w="110"/>
              <w:bottom w:type="dxa" w:w="70"/>
              <w:right w:type="dxa" w:w="110"/>
            </w:tcMar>
          </w:tcPr>
          <w:p>
            <w:pPr>
              <w:spacing w:after="0"/>
            </w:pPr>
            <w:r>
              <w:t xml:space="preserve">Telangana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Annual (December)</w:t>
            </w:r>
          </w:p>
        </w:tc>
      </w:tr>
      <w:tr>
        <w:trPr>
          <w:cantSplit/>
          <w:tblHeader w:val="false"/>
        </w:trPr>
        <w:tc>
          <w:tcPr>
            <w:tcMar>
              <w:top w:type="dxa" w:w="70"/>
              <w:left w:type="dxa" w:w="110"/>
              <w:bottom w:type="dxa" w:w="70"/>
              <w:right w:type="dxa" w:w="110"/>
            </w:tcMar>
          </w:tcPr>
          <w:p>
            <w:pPr>
              <w:spacing w:after="0"/>
            </w:pPr>
            <w:r>
              <w:t xml:space="preserve">West Bengal</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Half-yearly (December)</w:t>
            </w:r>
          </w:p>
        </w:tc>
      </w:tr>
      <w:tr>
        <w:trPr>
          <w:cantSplit/>
          <w:tblHeader w:val="false"/>
        </w:trPr>
        <w:tc>
          <w:tcPr>
            <w:tcMar>
              <w:top w:type="dxa" w:w="70"/>
              <w:left w:type="dxa" w:w="110"/>
              <w:bottom w:type="dxa" w:w="70"/>
              <w:right w:type="dxa" w:w="110"/>
            </w:tcMar>
          </w:tcPr>
          <w:p>
            <w:pPr>
              <w:spacing w:after="0"/>
            </w:pPr>
            <w:r>
              <w:t xml:space="preserve">Chandigarh</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Monthly</w:t>
            </w:r>
          </w:p>
        </w:tc>
      </w:tr>
      <w:tr>
        <w:trPr>
          <w:cantSplit/>
          <w:tblHeader w:val="false"/>
        </w:trPr>
        <w:tc>
          <w:tcPr>
            <w:tcMar>
              <w:top w:type="dxa" w:w="70"/>
              <w:left w:type="dxa" w:w="110"/>
              <w:bottom w:type="dxa" w:w="70"/>
              <w:right w:type="dxa" w:w="110"/>
            </w:tcMar>
          </w:tcPr>
          <w:p>
            <w:pPr>
              <w:spacing w:after="0"/>
            </w:pPr>
            <w:r>
              <w:t xml:space="preserve">Other states and UTs</w:t>
            </w:r>
          </w:p>
        </w:tc>
        <w:tc>
          <w:tcPr>
            <w:tcMar>
              <w:top w:type="dxa" w:w="70"/>
              <w:left w:type="dxa" w:w="110"/>
              <w:bottom w:type="dxa" w:w="70"/>
              <w:right w:type="dxa" w:w="110"/>
            </w:tcMar>
          </w:tcPr>
          <w:p>
            <w:pPr>
              <w:spacing w:after="0"/>
            </w:pPr>
            <w:r>
              <w:t xml:space="preserve">Generally no LWF</w:t>
            </w:r>
          </w:p>
        </w:tc>
        <w:tc>
          <w:tcPr>
            <w:tcMar>
              <w:top w:type="dxa" w:w="70"/>
              <w:left w:type="dxa" w:w="110"/>
              <w:bottom w:type="dxa" w:w="70"/>
              <w:right w:type="dxa" w:w="110"/>
            </w:tcMar>
          </w:tcPr>
          <w:p>
            <w:pPr>
              <w:spacing w:after="0"/>
            </w:pPr>
            <w:r>
              <w:t xml:space="preserve">—</w:t>
            </w:r>
          </w:p>
        </w:tc>
      </w:tr>
    </w:tbl>
    <w:p>
      <w:pPr>
        <w:spacing w:after="40"/>
      </w:pPr>
    </w:p>
    <w:p>
      <w:r>
        <w:t xml:space="preserve">Contribution amounts range from a few rupees to a few hundred rupees per employee per cycle, with the employer contributing roughly double the employee share in most schemes. The amounts are trivial; the </w:t>
      </w:r>
      <w:r>
        <w:rPr>
          <w:b/>
          <w:bCs/>
        </w:rPr>
        <w:t xml:space="preserve">compliance risk is entirely about remembering the deadline</w:t>
      </w:r>
      <w:r>
        <w:t xml:space="preserve">, which differs in every operating state.</w:t>
      </w:r>
    </w:p>
    <w:p>
      <w:pPr>
        <w:pStyle w:val="Heading2"/>
        <w:keepNext/>
        <w:keepLines/>
      </w:pPr>
      <w:r>
        <w:t xml:space="preserve">4.5 Minimum Wages</w:t>
      </w:r>
    </w:p>
    <w:p>
      <w:r>
        <w:t xml:space="preserve">The most operationally burdensome state variation in Indian labour law. Each state notifies minimum wages:</w:t>
      </w:r>
    </w:p>
    <w:p>
      <w:pPr>
        <w:pStyle w:val="ListParagraph"/>
        <w:numPr>
          <w:ilvl w:val="0"/>
          <w:numId w:val="1"/>
        </w:numPr>
        <w:spacing w:after="60"/>
      </w:pPr>
      <w:r>
        <w:rPr>
          <w:b/>
          <w:bCs/>
        </w:rPr>
        <w:t xml:space="preserve">Separately for each scheduled employment</w:t>
      </w:r>
      <w:r>
        <w:t xml:space="preserve"> — a state may have 60 to 100+ scheduled employments (shops, hotels, construction, engineering, textiles, agriculture, security services, and so on).</w:t>
      </w:r>
    </w:p>
    <w:p>
      <w:pPr>
        <w:pStyle w:val="ListParagraph"/>
        <w:numPr>
          <w:ilvl w:val="0"/>
          <w:numId w:val="1"/>
        </w:numPr>
        <w:spacing w:after="60"/>
      </w:pPr>
      <w:r>
        <w:rPr>
          <w:b/>
          <w:bCs/>
        </w:rPr>
        <w:t xml:space="preserve">Separately for each skill level</w:t>
      </w:r>
      <w:r>
        <w:t xml:space="preserve"> — unskilled, semi-skilled, skilled, highly skilled, and often clerical/supervisory.</w:t>
      </w:r>
    </w:p>
    <w:p>
      <w:pPr>
        <w:pStyle w:val="ListParagraph"/>
        <w:numPr>
          <w:ilvl w:val="0"/>
          <w:numId w:val="1"/>
        </w:numPr>
        <w:spacing w:after="60"/>
      </w:pPr>
      <w:r>
        <w:rPr>
          <w:b/>
          <w:bCs/>
        </w:rPr>
        <w:t xml:space="preserve">Separately for each zone</w:t>
      </w:r>
      <w:r>
        <w:t xml:space="preserve"> — commonly Zone A (metro/urban), Zone B (municipal), Zone C (rural), with three to four zones typical.</w:t>
      </w:r>
    </w:p>
    <w:p>
      <w:pPr>
        <w:pStyle w:val="ListParagraph"/>
        <w:numPr>
          <w:ilvl w:val="0"/>
          <w:numId w:val="1"/>
        </w:numPr>
        <w:spacing w:after="60"/>
      </w:pPr>
      <w:r>
        <w:rPr>
          <w:b/>
          <w:bCs/>
        </w:rPr>
        <w:t xml:space="preserve">Revised typically twice a year</w:t>
      </w:r>
      <w:r>
        <w:t xml:space="preserve"> through a Variable Dearness Allowance linked to the consumer price index, usually effective 1 April and 1 October.</w:t>
      </w:r>
    </w:p>
    <w:p>
      <w:r>
        <w:t xml:space="preserve">Delhi, Haryana and Kerala consistently sit at the upper end; several central and north-eastern states at the lower end. The </w:t>
      </w:r>
      <w:r>
        <w:rPr>
          <w:b/>
          <w:bCs/>
        </w:rPr>
        <w:t xml:space="preserve">Code on Wages</w:t>
      </w:r>
      <w:r>
        <w:t xml:space="preserve"> introduces a national floor wage below which no state may go, but the floor operates as a minimum, not a harmoniser — states remain free to set higher rates and continue to do so.</w:t>
      </w:r>
    </w:p>
    <w:p>
      <w:r>
        <w:t xml:space="preserve">For a multi-state employer this means tracking, at minimum, one notification per state per half-year, cross-referenced against employment category and zone. It is the compliance item most frequently missed.</w:t>
      </w:r>
    </w:p>
    <w:p>
      <w:pPr>
        <w:pStyle w:val="Heading2"/>
        <w:keepNext/>
        <w:keepLines/>
      </w:pPr>
      <w:r>
        <w:t xml:space="preserve">4.6 Factories Act, 1948</w:t>
      </w:r>
    </w:p>
    <w:p>
      <w:r>
        <w:t xml:space="preserve">Central Act, </w:t>
      </w:r>
      <w:r>
        <w:rPr>
          <w:b/>
          <w:bCs/>
        </w:rPr>
        <w:t xml:space="preserve">state-administered</w:t>
      </w:r>
      <w:r>
        <w:t xml:space="preserve"> — the archetype of the third compliance pattern.</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Element</w:t>
            </w:r>
          </w:p>
        </w:tc>
        <w:tc>
          <w:tcPr>
            <w:shd w:fill="F0F4FE"/>
            <w:tcMar>
              <w:top w:type="dxa" w:w="70"/>
              <w:left w:type="dxa" w:w="110"/>
              <w:bottom w:type="dxa" w:w="70"/>
              <w:right w:type="dxa" w:w="110"/>
            </w:tcMar>
          </w:tcPr>
          <w:p>
            <w:pPr>
              <w:spacing w:after="0"/>
            </w:pPr>
            <w:r>
              <w:rPr>
                <w:b/>
                <w:bCs/>
                <w:color w:val="112D6A"/>
              </w:rPr>
              <w:t xml:space="preserve">Central</w:t>
            </w:r>
          </w:p>
        </w:tc>
        <w:tc>
          <w:tcPr>
            <w:shd w:fill="F0F4FE"/>
            <w:tcMar>
              <w:top w:type="dxa" w:w="70"/>
              <w:left w:type="dxa" w:w="110"/>
              <w:bottom w:type="dxa" w:w="70"/>
              <w:right w:type="dxa" w:w="110"/>
            </w:tcMar>
          </w:tcPr>
          <w:p>
            <w:pPr>
              <w:spacing w:after="0"/>
            </w:pPr>
            <w:r>
              <w:rPr>
                <w:b/>
                <w:bCs/>
                <w:color w:val="112D6A"/>
              </w:rPr>
              <w:t xml:space="preserve">State</w:t>
            </w:r>
          </w:p>
        </w:tc>
      </w:tr>
      <w:tr>
        <w:trPr>
          <w:cantSplit/>
          <w:tblHeader w:val="false"/>
        </w:trPr>
        <w:tc>
          <w:tcPr>
            <w:tcMar>
              <w:top w:type="dxa" w:w="70"/>
              <w:left w:type="dxa" w:w="110"/>
              <w:bottom w:type="dxa" w:w="70"/>
              <w:right w:type="dxa" w:w="110"/>
            </w:tcMar>
          </w:tcPr>
          <w:p>
            <w:pPr>
              <w:spacing w:after="0"/>
            </w:pPr>
            <w:r>
              <w:t xml:space="preserve">Definition of “factory”</w:t>
            </w:r>
          </w:p>
        </w:tc>
        <w:tc>
          <w:tcPr>
            <w:tcMar>
              <w:top w:type="dxa" w:w="70"/>
              <w:left w:type="dxa" w:w="110"/>
              <w:bottom w:type="dxa" w:w="70"/>
              <w:right w:type="dxa" w:w="110"/>
            </w:tcMar>
          </w:tcPr>
          <w:p>
            <w:pPr>
              <w:spacing w:after="0"/>
            </w:pPr>
            <w:r>
              <w:t xml:space="preserve">10 workers with power / 20 without</w:t>
            </w:r>
          </w:p>
        </w:tc>
        <w:tc>
          <w:tcPr>
            <w:tcMar>
              <w:top w:type="dxa" w:w="70"/>
              <w:left w:type="dxa" w:w="110"/>
              <w:bottom w:type="dxa" w:w="70"/>
              <w:right w:type="dxa" w:w="110"/>
            </w:tcMar>
          </w:tcPr>
          <w:p>
            <w:pPr>
              <w:spacing w:after="0"/>
            </w:pPr>
            <w:r>
              <w:rPr>
                <w:b/>
                <w:bCs/>
              </w:rPr>
              <w:t xml:space="preserve">Several states raised these to 20 and 40</w:t>
            </w:r>
            <w:r>
              <w:t xml:space="preserve"> by state amendment (Maharashtra, Gujarat, Rajasthan, Karnataka, Assam and others)</w:t>
            </w:r>
          </w:p>
        </w:tc>
      </w:tr>
      <w:tr>
        <w:trPr>
          <w:cantSplit/>
          <w:tblHeader w:val="false"/>
        </w:trPr>
        <w:tc>
          <w:tcPr>
            <w:tcMar>
              <w:top w:type="dxa" w:w="70"/>
              <w:left w:type="dxa" w:w="110"/>
              <w:bottom w:type="dxa" w:w="70"/>
              <w:right w:type="dxa" w:w="110"/>
            </w:tcMar>
          </w:tcPr>
          <w:p>
            <w:pPr>
              <w:spacing w:after="0"/>
            </w:pPr>
            <w:r>
              <w:t xml:space="preserve">Licensing</w:t>
            </w:r>
          </w:p>
        </w:tc>
        <w:tc>
          <w:tcPr>
            <w:tcMar>
              <w:top w:type="dxa" w:w="70"/>
              <w:left w:type="dxa" w:w="110"/>
              <w:bottom w:type="dxa" w:w="70"/>
              <w:right w:type="dxa" w:w="110"/>
            </w:tcMar>
          </w:tcPr>
          <w:p>
            <w:pPr>
              <w:spacing w:after="0"/>
            </w:pPr>
            <w:r>
              <w:t xml:space="preserve">—</w:t>
            </w:r>
          </w:p>
        </w:tc>
        <w:tc>
          <w:tcPr>
            <w:tcMar>
              <w:top w:type="dxa" w:w="70"/>
              <w:left w:type="dxa" w:w="110"/>
              <w:bottom w:type="dxa" w:w="70"/>
              <w:right w:type="dxa" w:w="110"/>
            </w:tcMar>
          </w:tcPr>
          <w:p>
            <w:pPr>
              <w:spacing w:after="0"/>
            </w:pPr>
            <w:r>
              <w:t xml:space="preserve">State Factories Department / Directorate of Industrial Safety and Health (DISH)</w:t>
            </w:r>
          </w:p>
        </w:tc>
      </w:tr>
      <w:tr>
        <w:trPr>
          <w:cantSplit/>
          <w:tblHeader w:val="false"/>
        </w:trPr>
        <w:tc>
          <w:tcPr>
            <w:tcMar>
              <w:top w:type="dxa" w:w="70"/>
              <w:left w:type="dxa" w:w="110"/>
              <w:bottom w:type="dxa" w:w="70"/>
              <w:right w:type="dxa" w:w="110"/>
            </w:tcMar>
          </w:tcPr>
          <w:p>
            <w:pPr>
              <w:spacing w:after="0"/>
            </w:pPr>
            <w:r>
              <w:t xml:space="preserve">Plan approval before construction</w:t>
            </w:r>
          </w:p>
        </w:tc>
        <w:tc>
          <w:tcPr>
            <w:tcMar>
              <w:top w:type="dxa" w:w="70"/>
              <w:left w:type="dxa" w:w="110"/>
              <w:bottom w:type="dxa" w:w="70"/>
              <w:right w:type="dxa" w:w="110"/>
            </w:tcMar>
          </w:tcPr>
          <w:p>
            <w:pPr>
              <w:spacing w:after="0"/>
            </w:pPr>
            <w:r>
              <w:t xml:space="preserve">Required</w:t>
            </w:r>
          </w:p>
        </w:tc>
        <w:tc>
          <w:tcPr>
            <w:tcMar>
              <w:top w:type="dxa" w:w="70"/>
              <w:left w:type="dxa" w:w="110"/>
              <w:bottom w:type="dxa" w:w="70"/>
              <w:right w:type="dxa" w:w="110"/>
            </w:tcMar>
          </w:tcPr>
          <w:p>
            <w:pPr>
              <w:spacing w:after="0"/>
            </w:pPr>
            <w:r>
              <w:t xml:space="preserve">State rules prescribe the drawings, fee and process</w:t>
            </w:r>
          </w:p>
        </w:tc>
      </w:tr>
      <w:tr>
        <w:trPr>
          <w:cantSplit/>
          <w:tblHeader w:val="false"/>
        </w:trPr>
        <w:tc>
          <w:tcPr>
            <w:tcMar>
              <w:top w:type="dxa" w:w="70"/>
              <w:left w:type="dxa" w:w="110"/>
              <w:bottom w:type="dxa" w:w="70"/>
              <w:right w:type="dxa" w:w="110"/>
            </w:tcMar>
          </w:tcPr>
          <w:p>
            <w:pPr>
              <w:spacing w:after="0"/>
            </w:pPr>
            <w:r>
              <w:t xml:space="preserve">Licence fee</w:t>
            </w:r>
          </w:p>
        </w:tc>
        <w:tc>
          <w:tcPr>
            <w:tcMar>
              <w:top w:type="dxa" w:w="70"/>
              <w:left w:type="dxa" w:w="110"/>
              <w:bottom w:type="dxa" w:w="70"/>
              <w:right w:type="dxa" w:w="110"/>
            </w:tcMar>
          </w:tcPr>
          <w:p>
            <w:pPr>
              <w:spacing w:after="0"/>
            </w:pPr>
            <w:r>
              <w:t xml:space="preserve">—</w:t>
            </w:r>
          </w:p>
        </w:tc>
        <w:tc>
          <w:tcPr>
            <w:tcMar>
              <w:top w:type="dxa" w:w="70"/>
              <w:left w:type="dxa" w:w="110"/>
              <w:bottom w:type="dxa" w:w="70"/>
              <w:right w:type="dxa" w:w="110"/>
            </w:tcMar>
          </w:tcPr>
          <w:p>
            <w:pPr>
              <w:spacing w:after="0"/>
            </w:pPr>
            <w:r>
              <w:t xml:space="preserve">State-set, usually on a slab of horsepower and worker count</w:t>
            </w:r>
          </w:p>
        </w:tc>
      </w:tr>
      <w:tr>
        <w:trPr>
          <w:cantSplit/>
          <w:tblHeader w:val="false"/>
        </w:trPr>
        <w:tc>
          <w:tcPr>
            <w:tcMar>
              <w:top w:type="dxa" w:w="70"/>
              <w:left w:type="dxa" w:w="110"/>
              <w:bottom w:type="dxa" w:w="70"/>
              <w:right w:type="dxa" w:w="110"/>
            </w:tcMar>
          </w:tcPr>
          <w:p>
            <w:pPr>
              <w:spacing w:after="0"/>
            </w:pPr>
            <w:r>
              <w:t xml:space="preserve">Renewal cycle</w:t>
            </w:r>
          </w:p>
        </w:tc>
        <w:tc>
          <w:tcPr>
            <w:tcMar>
              <w:top w:type="dxa" w:w="70"/>
              <w:left w:type="dxa" w:w="110"/>
              <w:bottom w:type="dxa" w:w="70"/>
              <w:right w:type="dxa" w:w="110"/>
            </w:tcMar>
          </w:tcPr>
          <w:p>
            <w:pPr>
              <w:spacing w:after="0"/>
            </w:pPr>
            <w:r>
              <w:t xml:space="preserve">—</w:t>
            </w:r>
          </w:p>
        </w:tc>
        <w:tc>
          <w:tcPr>
            <w:tcMar>
              <w:top w:type="dxa" w:w="70"/>
              <w:left w:type="dxa" w:w="110"/>
              <w:bottom w:type="dxa" w:w="70"/>
              <w:right w:type="dxa" w:w="110"/>
            </w:tcMar>
          </w:tcPr>
          <w:p>
            <w:pPr>
              <w:spacing w:after="0"/>
            </w:pPr>
            <w:r>
              <w:t xml:space="preserve">1, 5 or 10 years depending on state</w:t>
            </w:r>
          </w:p>
        </w:tc>
      </w:tr>
      <w:tr>
        <w:trPr>
          <w:cantSplit/>
          <w:tblHeader w:val="false"/>
        </w:trPr>
        <w:tc>
          <w:tcPr>
            <w:tcMar>
              <w:top w:type="dxa" w:w="70"/>
              <w:left w:type="dxa" w:w="110"/>
              <w:bottom w:type="dxa" w:w="70"/>
              <w:right w:type="dxa" w:w="110"/>
            </w:tcMar>
          </w:tcPr>
          <w:p>
            <w:pPr>
              <w:spacing w:after="0"/>
            </w:pPr>
            <w:r>
              <w:t xml:space="preserve">Inspection norms</w:t>
            </w:r>
          </w:p>
        </w:tc>
        <w:tc>
          <w:tcPr>
            <w:tcMar>
              <w:top w:type="dxa" w:w="70"/>
              <w:left w:type="dxa" w:w="110"/>
              <w:bottom w:type="dxa" w:w="70"/>
              <w:right w:type="dxa" w:w="110"/>
            </w:tcMar>
          </w:tcPr>
          <w:p>
            <w:pPr>
              <w:spacing w:after="0"/>
            </w:pPr>
            <w:r>
              <w:t xml:space="preserve">—</w:t>
            </w:r>
          </w:p>
        </w:tc>
        <w:tc>
          <w:tcPr>
            <w:tcMar>
              <w:top w:type="dxa" w:w="70"/>
              <w:left w:type="dxa" w:w="110"/>
              <w:bottom w:type="dxa" w:w="70"/>
              <w:right w:type="dxa" w:w="110"/>
            </w:tcMar>
          </w:tcPr>
          <w:p>
            <w:pPr>
              <w:spacing w:after="0"/>
            </w:pPr>
            <w:r>
              <w:t xml:space="preserve">State inspectorate practice; several states moved to risk-based and third-party certified inspection</w:t>
            </w:r>
          </w:p>
        </w:tc>
      </w:tr>
      <w:tr>
        <w:trPr>
          <w:cantSplit/>
          <w:tblHeader w:val="false"/>
        </w:trPr>
        <w:tc>
          <w:tcPr>
            <w:tcMar>
              <w:top w:type="dxa" w:w="70"/>
              <w:left w:type="dxa" w:w="110"/>
              <w:bottom w:type="dxa" w:w="70"/>
              <w:right w:type="dxa" w:w="110"/>
            </w:tcMar>
          </w:tcPr>
          <w:p>
            <w:pPr>
              <w:spacing w:after="0"/>
            </w:pPr>
            <w:r>
              <w:t xml:space="preserve">Safety officer</w:t>
            </w:r>
          </w:p>
        </w:tc>
        <w:tc>
          <w:tcPr>
            <w:tcMar>
              <w:top w:type="dxa" w:w="70"/>
              <w:left w:type="dxa" w:w="110"/>
              <w:bottom w:type="dxa" w:w="70"/>
              <w:right w:type="dxa" w:w="110"/>
            </w:tcMar>
          </w:tcPr>
          <w:p>
            <w:pPr>
              <w:spacing w:after="0"/>
            </w:pPr>
            <w:r>
              <w:t xml:space="preserve">Required above 1,000 workers</w:t>
            </w:r>
          </w:p>
        </w:tc>
        <w:tc>
          <w:tcPr>
            <w:tcMar>
              <w:top w:type="dxa" w:w="70"/>
              <w:left w:type="dxa" w:w="110"/>
              <w:bottom w:type="dxa" w:w="70"/>
              <w:right w:type="dxa" w:w="110"/>
            </w:tcMar>
          </w:tcPr>
          <w:p>
            <w:pPr>
              <w:spacing w:after="0"/>
            </w:pPr>
            <w:r>
              <w:t xml:space="preserve">State may lower the threshold</w:t>
            </w:r>
          </w:p>
        </w:tc>
      </w:tr>
      <w:tr>
        <w:trPr>
          <w:cantSplit/>
          <w:tblHeader w:val="false"/>
        </w:trPr>
        <w:tc>
          <w:tcPr>
            <w:tcMar>
              <w:top w:type="dxa" w:w="70"/>
              <w:left w:type="dxa" w:w="110"/>
              <w:bottom w:type="dxa" w:w="70"/>
              <w:right w:type="dxa" w:w="110"/>
            </w:tcMar>
          </w:tcPr>
          <w:p>
            <w:pPr>
              <w:spacing w:after="0"/>
            </w:pPr>
            <w:r>
              <w:t xml:space="preserve">Welfare officer</w:t>
            </w:r>
          </w:p>
        </w:tc>
        <w:tc>
          <w:tcPr>
            <w:tcMar>
              <w:top w:type="dxa" w:w="70"/>
              <w:left w:type="dxa" w:w="110"/>
              <w:bottom w:type="dxa" w:w="70"/>
              <w:right w:type="dxa" w:w="110"/>
            </w:tcMar>
          </w:tcPr>
          <w:p>
            <w:pPr>
              <w:spacing w:after="0"/>
            </w:pPr>
            <w:r>
              <w:t xml:space="preserve">Required above 500 workers</w:t>
            </w:r>
          </w:p>
        </w:tc>
        <w:tc>
          <w:tcPr>
            <w:tcMar>
              <w:top w:type="dxa" w:w="70"/>
              <w:left w:type="dxa" w:w="110"/>
              <w:bottom w:type="dxa" w:w="70"/>
              <w:right w:type="dxa" w:w="110"/>
            </w:tcMar>
          </w:tcPr>
          <w:p>
            <w:pPr>
              <w:spacing w:after="0"/>
            </w:pPr>
            <w:r>
              <w:t xml:space="preserve">State rules prescribe qualifications</w:t>
            </w:r>
          </w:p>
        </w:tc>
      </w:tr>
      <w:tr>
        <w:trPr>
          <w:cantSplit/>
          <w:tblHeader w:val="false"/>
        </w:trPr>
        <w:tc>
          <w:tcPr>
            <w:tcMar>
              <w:top w:type="dxa" w:w="70"/>
              <w:left w:type="dxa" w:w="110"/>
              <w:bottom w:type="dxa" w:w="70"/>
              <w:right w:type="dxa" w:w="110"/>
            </w:tcMar>
          </w:tcPr>
          <w:p>
            <w:pPr>
              <w:spacing w:after="0"/>
            </w:pPr>
            <w:r>
              <w:t xml:space="preserve">Annual return</w:t>
            </w:r>
          </w:p>
        </w:tc>
        <w:tc>
          <w:tcPr>
            <w:tcMar>
              <w:top w:type="dxa" w:w="70"/>
              <w:left w:type="dxa" w:w="110"/>
              <w:bottom w:type="dxa" w:w="70"/>
              <w:right w:type="dxa" w:w="110"/>
            </w:tcMar>
          </w:tcPr>
          <w:p>
            <w:pPr>
              <w:spacing w:after="0"/>
            </w:pPr>
            <w:r>
              <w:t xml:space="preserve">Form 21 or state equivalent</w:t>
            </w:r>
          </w:p>
        </w:tc>
        <w:tc>
          <w:tcPr>
            <w:tcMar>
              <w:top w:type="dxa" w:w="70"/>
              <w:left w:type="dxa" w:w="110"/>
              <w:bottom w:type="dxa" w:w="70"/>
              <w:right w:type="dxa" w:w="110"/>
            </w:tcMar>
          </w:tcPr>
          <w:p>
            <w:pPr>
              <w:spacing w:after="0"/>
            </w:pPr>
            <w:r>
              <w:t xml:space="preserve">Different form numbers and deadlines</w:t>
            </w:r>
          </w:p>
        </w:tc>
      </w:tr>
      <w:tr>
        <w:trPr>
          <w:cantSplit/>
          <w:tblHeader w:val="false"/>
        </w:trPr>
        <w:tc>
          <w:tcPr>
            <w:tcMar>
              <w:top w:type="dxa" w:w="70"/>
              <w:left w:type="dxa" w:w="110"/>
              <w:bottom w:type="dxa" w:w="70"/>
              <w:right w:type="dxa" w:w="110"/>
            </w:tcMar>
          </w:tcPr>
          <w:p>
            <w:pPr>
              <w:spacing w:after="0"/>
            </w:pPr>
            <w:r>
              <w:t xml:space="preserve">Hazardous process rules</w:t>
            </w:r>
          </w:p>
        </w:tc>
        <w:tc>
          <w:tcPr>
            <w:tcMar>
              <w:top w:type="dxa" w:w="70"/>
              <w:left w:type="dxa" w:w="110"/>
              <w:bottom w:type="dxa" w:w="70"/>
              <w:right w:type="dxa" w:w="110"/>
            </w:tcMar>
          </w:tcPr>
          <w:p>
            <w:pPr>
              <w:spacing w:after="0"/>
            </w:pPr>
            <w:r>
              <w:t xml:space="preserve">Schedule I and MSIHC Rules</w:t>
            </w:r>
          </w:p>
        </w:tc>
        <w:tc>
          <w:tcPr>
            <w:tcMar>
              <w:top w:type="dxa" w:w="70"/>
              <w:left w:type="dxa" w:w="110"/>
              <w:bottom w:type="dxa" w:w="70"/>
              <w:right w:type="dxa" w:w="110"/>
            </w:tcMar>
          </w:tcPr>
          <w:p>
            <w:pPr>
              <w:spacing w:after="0"/>
            </w:pPr>
            <w:r>
              <w:t xml:space="preserve">State enforcement</w:t>
            </w:r>
          </w:p>
        </w:tc>
      </w:tr>
    </w:tbl>
    <w:p>
      <w:pPr>
        <w:spacing w:after="40"/>
      </w:pPr>
    </w:p>
    <w:p>
      <w:pPr>
        <w:pStyle w:val="Heading2"/>
        <w:keepNext/>
        <w:keepLines/>
      </w:pPr>
      <w:r>
        <w:t xml:space="preserve">4.7 Contract Labour</w:t>
      </w:r>
    </w:p>
    <w:p>
      <w:r>
        <w:t xml:space="preserve">Under the Contract Labour (Regulation &amp; Abolition) Act 1970, </w:t>
      </w:r>
      <w:r>
        <w:rPr>
          <w:b/>
          <w:bCs/>
        </w:rPr>
        <w:t xml:space="preserve">principal employer registration</w:t>
      </w:r>
      <w:r>
        <w:t xml:space="preserve"> and </w:t>
      </w:r>
      <w:r>
        <w:rPr>
          <w:b/>
          <w:bCs/>
        </w:rPr>
        <w:t xml:space="preserve">contractor licensing</w:t>
      </w:r>
      <w:r>
        <w:t xml:space="preserve"> are required above a worker threshold. The central threshold is 20, but </w:t>
      </w:r>
      <w:r>
        <w:rPr>
          <w:b/>
          <w:bCs/>
        </w:rPr>
        <w:t xml:space="preserve">states have amended it independently</w:t>
      </w:r>
      <w:r>
        <w:t xml:space="preserve"> — several raised it to 50, and the OSH Code sets 50 as the new norm. The result: the same contractor arrangement may require a licence in one state and none in the neighbouring one.</w:t>
      </w:r>
    </w:p>
    <w:p>
      <w:pPr>
        <w:pStyle w:val="Heading2"/>
        <w:keepNext/>
        <w:keepLines/>
      </w:pPr>
      <w:r>
        <w:t xml:space="preserve">4.8 Industrial Disputes and Standing Orders</w:t>
      </w:r>
    </w:p>
    <w:p>
      <w:pPr>
        <w:pStyle w:val="ListParagraph"/>
        <w:numPr>
          <w:ilvl w:val="0"/>
          <w:numId w:val="1"/>
        </w:numPr>
        <w:spacing w:after="60"/>
      </w:pPr>
      <w:r>
        <w:rPr>
          <w:b/>
          <w:bCs/>
        </w:rPr>
        <w:t xml:space="preserve">Standing orders</w:t>
      </w:r>
      <w:r>
        <w:t xml:space="preserve"> — certified rules of employment, required above 100 workers under the old Act, raised to 300 under the IR Code. Several states (Uttar Pradesh, Madhya Pradesh, Haryana, Gujarat, Karnataka, Rajasthan) had already raised the threshold to 300 by state amendment before the Code.</w:t>
      </w:r>
    </w:p>
    <w:p>
      <w:pPr>
        <w:pStyle w:val="ListParagraph"/>
        <w:numPr>
          <w:ilvl w:val="0"/>
          <w:numId w:val="1"/>
        </w:numPr>
        <w:spacing w:after="60"/>
      </w:pPr>
      <w:r>
        <w:rPr>
          <w:b/>
          <w:bCs/>
        </w:rPr>
        <w:t xml:space="preserve">Retrenchment and closure permission</w:t>
      </w:r>
      <w:r>
        <w:t xml:space="preserve"> — Chapter V-B of the Industrial Disputes Act required prior government permission above 100 workers. Rajasthan pioneered raising this to 300 in 2014, followed by several states; the IR Code adopts 300 nationally with a power for states to raise it further.</w:t>
      </w:r>
    </w:p>
    <w:p>
      <w:pPr>
        <w:pStyle w:val="ListParagraph"/>
        <w:numPr>
          <w:ilvl w:val="0"/>
          <w:numId w:val="1"/>
        </w:numPr>
        <w:spacing w:after="60"/>
      </w:pPr>
      <w:r>
        <w:rPr>
          <w:b/>
          <w:bCs/>
        </w:rPr>
        <w:t xml:space="preserve">Labour Courts and Industrial Tribunals</w:t>
      </w:r>
      <w:r>
        <w:t xml:space="preserve"> are constituted by each state government, so procedural practice and pendency differ enormously.</w:t>
      </w:r>
    </w:p>
    <w:p>
      <w:pPr>
        <w:pStyle w:val="Heading2"/>
        <w:keepNext/>
        <w:keepLines/>
      </w:pPr>
      <w:r>
        <w:t xml:space="preserve">4.9 Building &amp; Other Construction Workers (BOCW) Cess</w:t>
      </w:r>
    </w:p>
    <w:p>
      <w:r>
        <w:t xml:space="preserve">A 1% cess on the cost of construction, levied under central law but </w:t>
      </w:r>
      <w:r>
        <w:rPr>
          <w:b/>
          <w:bCs/>
        </w:rPr>
        <w:t xml:space="preserve">collected and administered by the state BOCW Welfare Board</w:t>
      </w:r>
      <w:r>
        <w:t xml:space="preserve">. Registration of the establishment and of individual workers, cess payment, and utilisation all sit with the state board. Compliance quality and refund/utilisation practice vary dramatically.</w:t>
      </w:r>
    </w:p>
    <w:p>
      <w:pPr>
        <w:pStyle w:val="Heading1"/>
        <w:keepNext/>
        <w:keepLines/>
        <w:pBdr>
          <w:bottom w:val="single" w:color="2157CF" w:sz="8" w:space="3"/>
        </w:pBdr>
      </w:pPr>
      <w:r>
        <w:t xml:space="preserve">5. Land, Environment &amp; Industrial Licensing</w:t>
      </w:r>
    </w:p>
    <w:p>
      <w:pPr>
        <w:pStyle w:val="Heading2"/>
        <w:keepNext/>
        <w:keepLines/>
      </w:pPr>
      <w:r>
        <w:t xml:space="preserve">5.1 Land as a State Subject</w:t>
      </w:r>
    </w:p>
    <w:p>
      <w:r>
        <w:t xml:space="preserve">Land is Entry 18 of the State List — one of the most jealously guarded state powers. Every element differs:</w:t>
      </w:r>
    </w:p>
    <w:p>
      <w:pPr>
        <w:pStyle w:val="ListParagraph"/>
        <w:numPr>
          <w:ilvl w:val="0"/>
          <w:numId w:val="1"/>
        </w:numPr>
        <w:spacing w:after="60"/>
      </w:pPr>
      <w:r>
        <w:rPr>
          <w:b/>
          <w:bCs/>
        </w:rPr>
        <w:t xml:space="preserve">Land records systems</w:t>
      </w:r>
      <w:r>
        <w:t xml:space="preserve"> and their digitisation status.</w:t>
      </w:r>
    </w:p>
    <w:p>
      <w:pPr>
        <w:pStyle w:val="ListParagraph"/>
        <w:numPr>
          <w:ilvl w:val="0"/>
          <w:numId w:val="1"/>
        </w:numPr>
        <w:spacing w:after="60"/>
      </w:pPr>
      <w:r>
        <w:rPr>
          <w:b/>
          <w:bCs/>
        </w:rPr>
        <w:t xml:space="preserve">Conversion of agricultural to non-agricultural use</w:t>
      </w:r>
      <w:r>
        <w:t xml:space="preserve"> — different statutes, fees and timelines.</w:t>
      </w:r>
    </w:p>
    <w:p>
      <w:pPr>
        <w:pStyle w:val="ListParagraph"/>
        <w:numPr>
          <w:ilvl w:val="0"/>
          <w:numId w:val="1"/>
        </w:numPr>
        <w:spacing w:after="60"/>
      </w:pPr>
      <w:r>
        <w:rPr>
          <w:b/>
          <w:bCs/>
        </w:rPr>
        <w:t xml:space="preserve">Ceiling laws</w:t>
      </w:r>
      <w:r>
        <w:t xml:space="preserve"> limiting agricultural holdings, largely retained though relaxed for industry in most states.</w:t>
      </w:r>
    </w:p>
    <w:p>
      <w:pPr>
        <w:pStyle w:val="ListParagraph"/>
        <w:numPr>
          <w:ilvl w:val="0"/>
          <w:numId w:val="1"/>
        </w:numPr>
        <w:spacing w:after="60"/>
      </w:pPr>
      <w:r>
        <w:rPr>
          <w:b/>
          <w:bCs/>
        </w:rPr>
        <w:t xml:space="preserve">Tenancy laws</w:t>
      </w:r>
      <w:r>
        <w:t xml:space="preserve"> determining who may purchase agricultural land.</w:t>
      </w:r>
    </w:p>
    <w:p>
      <w:pPr>
        <w:pStyle w:val="ListParagraph"/>
        <w:numPr>
          <w:ilvl w:val="0"/>
          <w:numId w:val="1"/>
        </w:numPr>
        <w:spacing w:after="60"/>
      </w:pPr>
      <w:r>
        <w:rPr>
          <w:b/>
          <w:bCs/>
        </w:rPr>
        <w:t xml:space="preserve">Stamp duty and registration</w:t>
      </w:r>
      <w:r>
        <w:t xml:space="preserve"> on the transfer.</w:t>
      </w:r>
    </w:p>
    <w:p>
      <w:pPr>
        <w:pStyle w:val="ListParagraph"/>
        <w:numPr>
          <w:ilvl w:val="0"/>
          <w:numId w:val="1"/>
        </w:numPr>
        <w:spacing w:after="60"/>
      </w:pPr>
      <w:r>
        <w:rPr>
          <w:b/>
          <w:bCs/>
        </w:rPr>
        <w:t xml:space="preserve">Development control regulations</w:t>
      </w:r>
      <w:r>
        <w:t xml:space="preserve">, FSI/FAR limits, and building bye-laws.</w:t>
      </w:r>
    </w:p>
    <w:p>
      <w:pPr>
        <w:pStyle w:val="Heading3"/>
        <w:keepNext/>
        <w:keepLines/>
      </w:pPr>
      <w:r>
        <w:t xml:space="preserve">5.1.1 Restrictions on Who May Buy Agricultural Land</w:t>
      </w:r>
    </w:p>
    <w:p>
      <w:r>
        <w:t xml:space="preserve">This is a genuine barrier to entry that many businesses discover late:</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Position</w:t>
            </w:r>
          </w:p>
        </w:tc>
        <w:tc>
          <w:tcPr>
            <w:shd w:fill="F0F4FE"/>
            <w:tcMar>
              <w:top w:type="dxa" w:w="70"/>
              <w:left w:type="dxa" w:w="110"/>
              <w:bottom w:type="dxa" w:w="70"/>
              <w:right w:type="dxa" w:w="110"/>
            </w:tcMar>
          </w:tcPr>
          <w:p>
            <w:pPr>
              <w:spacing w:after="0"/>
            </w:pPr>
            <w:r>
              <w:rPr>
                <w:b/>
                <w:bCs/>
                <w:color w:val="112D6A"/>
              </w:rPr>
              <w:t xml:space="preserve">States</w:t>
            </w:r>
          </w:p>
        </w:tc>
      </w:tr>
      <w:tr>
        <w:trPr>
          <w:cantSplit/>
          <w:tblHeader w:val="false"/>
        </w:trPr>
        <w:tc>
          <w:tcPr>
            <w:tcMar>
              <w:top w:type="dxa" w:w="70"/>
              <w:left w:type="dxa" w:w="110"/>
              <w:bottom w:type="dxa" w:w="70"/>
              <w:right w:type="dxa" w:w="110"/>
            </w:tcMar>
          </w:tcPr>
          <w:p>
            <w:pPr>
              <w:spacing w:after="0"/>
            </w:pPr>
            <w:r>
              <w:rPr>
                <w:b/>
                <w:bCs/>
              </w:rPr>
              <w:t xml:space="preserve">Only agriculturists may buy agricultural land</w:t>
            </w:r>
          </w:p>
        </w:tc>
        <w:tc>
          <w:tcPr>
            <w:tcMar>
              <w:top w:type="dxa" w:w="70"/>
              <w:left w:type="dxa" w:w="110"/>
              <w:bottom w:type="dxa" w:w="70"/>
              <w:right w:type="dxa" w:w="110"/>
            </w:tcMar>
          </w:tcPr>
          <w:p>
            <w:pPr>
              <w:spacing w:after="0"/>
            </w:pPr>
            <w:r>
              <w:t xml:space="preserve">Historically Karnataka (relaxed in 2020), Maharashtra (restricted, with exceptions for industrial use), Gujarat (restricted, with Collector permission routes)</w:t>
            </w:r>
          </w:p>
        </w:tc>
      </w:tr>
      <w:tr>
        <w:trPr>
          <w:cantSplit/>
          <w:tblHeader w:val="false"/>
        </w:trPr>
        <w:tc>
          <w:tcPr>
            <w:tcMar>
              <w:top w:type="dxa" w:w="70"/>
              <w:left w:type="dxa" w:w="110"/>
              <w:bottom w:type="dxa" w:w="70"/>
              <w:right w:type="dxa" w:w="110"/>
            </w:tcMar>
          </w:tcPr>
          <w:p>
            <w:pPr>
              <w:spacing w:after="0"/>
            </w:pPr>
            <w:r>
              <w:rPr>
                <w:b/>
                <w:bCs/>
              </w:rPr>
              <w:t xml:space="preserve">Strong restrictions on outsiders / domicile requirement</w:t>
            </w:r>
          </w:p>
        </w:tc>
        <w:tc>
          <w:tcPr>
            <w:tcMar>
              <w:top w:type="dxa" w:w="70"/>
              <w:left w:type="dxa" w:w="110"/>
              <w:bottom w:type="dxa" w:w="70"/>
              <w:right w:type="dxa" w:w="110"/>
            </w:tcMar>
          </w:tcPr>
          <w:p>
            <w:pPr>
              <w:spacing w:after="0"/>
            </w:pPr>
            <w:r>
              <w:t xml:space="preserve">Himachal Pradesh (Section 118 of the HP Tenancy &amp; Land Reforms Act — permission required for non-agriculturists), Uttarakhand (ceiling on purchase by outsiders), Nagaland, Mizoram, Meghalaya, Arunachal Pradesh (Sixth Schedule and Article 371 protections; land largely community-owned and inalienable to outsiders), Sikkim (Article 371F restrictions)</w:t>
            </w:r>
          </w:p>
        </w:tc>
      </w:tr>
      <w:tr>
        <w:trPr>
          <w:cantSplit/>
          <w:tblHeader w:val="false"/>
        </w:trPr>
        <w:tc>
          <w:tcPr>
            <w:tcMar>
              <w:top w:type="dxa" w:w="70"/>
              <w:left w:type="dxa" w:w="110"/>
              <w:bottom w:type="dxa" w:w="70"/>
              <w:right w:type="dxa" w:w="110"/>
            </w:tcMar>
          </w:tcPr>
          <w:p>
            <w:pPr>
              <w:spacing w:after="0"/>
            </w:pPr>
            <w:r>
              <w:rPr>
                <w:b/>
                <w:bCs/>
              </w:rPr>
              <w:t xml:space="preserve">Relatively open</w:t>
            </w:r>
          </w:p>
        </w:tc>
        <w:tc>
          <w:tcPr>
            <w:tcMar>
              <w:top w:type="dxa" w:w="70"/>
              <w:left w:type="dxa" w:w="110"/>
              <w:bottom w:type="dxa" w:w="70"/>
              <w:right w:type="dxa" w:w="110"/>
            </w:tcMar>
          </w:tcPr>
          <w:p>
            <w:pPr>
              <w:spacing w:after="0"/>
            </w:pPr>
            <w:r>
              <w:t xml:space="preserve">Tamil Nadu, Telangana, Andhra Pradesh, Rajasthan, Haryana, Punjab, Madhya Pradesh, West Bengal (with ceiling limits)</w:t>
            </w:r>
          </w:p>
        </w:tc>
      </w:tr>
    </w:tbl>
    <w:p>
      <w:pPr>
        <w:spacing w:after="40"/>
      </w:pPr>
    </w:p>
    <w:p>
      <w:r>
        <w:t xml:space="preserve">In the North-Eastern states protected by the </w:t>
      </w:r>
      <w:r>
        <w:rPr>
          <w:b/>
          <w:bCs/>
        </w:rPr>
        <w:t xml:space="preserve">Sixth Schedule</w:t>
      </w:r>
      <w:r>
        <w:t xml:space="preserve"> and by </w:t>
      </w:r>
      <w:r>
        <w:rPr>
          <w:b/>
          <w:bCs/>
        </w:rPr>
        <w:t xml:space="preserve">Article 371A (Nagaland), 371G (Mizoram) and 371H (Arunachal Pradesh)</w:t>
      </w:r>
      <w:r>
        <w:t xml:space="preserve">, customary law over land is constitutionally protected. Industry there typically operates on long leases from autonomous district councils or through state-allotted industrial estates rather than freehold purchase. This is the deepest structural land divergence in India, and no amount of central industrial policy overrides it.</w:t>
      </w:r>
    </w:p>
    <w:p>
      <w:pPr>
        <w:pStyle w:val="Heading3"/>
        <w:keepNext/>
        <w:keepLines/>
      </w:pPr>
      <w:r>
        <w:t xml:space="preserve">5.1.2 Land Conversion Statutes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State</w:t>
            </w:r>
          </w:p>
        </w:tc>
        <w:tc>
          <w:tcPr>
            <w:shd w:fill="F0F4FE"/>
            <w:tcMar>
              <w:top w:type="dxa" w:w="70"/>
              <w:left w:type="dxa" w:w="110"/>
              <w:bottom w:type="dxa" w:w="70"/>
              <w:right w:type="dxa" w:w="110"/>
            </w:tcMar>
          </w:tcPr>
          <w:p>
            <w:pPr>
              <w:spacing w:after="0"/>
            </w:pPr>
            <w:r>
              <w:rPr>
                <w:b/>
                <w:bCs/>
                <w:color w:val="112D6A"/>
              </w:rPr>
              <w:t xml:space="preserve">Governing Statute</w:t>
            </w:r>
          </w:p>
        </w:tc>
      </w:tr>
      <w:tr>
        <w:trPr>
          <w:cantSplit/>
          <w:tblHeader w:val="false"/>
        </w:trPr>
        <w:tc>
          <w:tcPr>
            <w:tcMar>
              <w:top w:type="dxa" w:w="70"/>
              <w:left w:type="dxa" w:w="110"/>
              <w:bottom w:type="dxa" w:w="70"/>
              <w:right w:type="dxa" w:w="110"/>
            </w:tcMar>
          </w:tcPr>
          <w:p>
            <w:pPr>
              <w:spacing w:after="0"/>
            </w:pPr>
            <w:r>
              <w:t xml:space="preserve">Maharashtra</w:t>
            </w:r>
          </w:p>
        </w:tc>
        <w:tc>
          <w:tcPr>
            <w:tcMar>
              <w:top w:type="dxa" w:w="70"/>
              <w:left w:type="dxa" w:w="110"/>
              <w:bottom w:type="dxa" w:w="70"/>
              <w:right w:type="dxa" w:w="110"/>
            </w:tcMar>
          </w:tcPr>
          <w:p>
            <w:pPr>
              <w:spacing w:after="0"/>
            </w:pPr>
            <w:r>
              <w:t xml:space="preserve">Maharashtra Land Revenue Code, 1966</w:t>
            </w:r>
          </w:p>
        </w:tc>
      </w:tr>
      <w:tr>
        <w:trPr>
          <w:cantSplit/>
          <w:tblHeader w:val="false"/>
        </w:trPr>
        <w:tc>
          <w:tcPr>
            <w:tcMar>
              <w:top w:type="dxa" w:w="70"/>
              <w:left w:type="dxa" w:w="110"/>
              <w:bottom w:type="dxa" w:w="70"/>
              <w:right w:type="dxa" w:w="110"/>
            </w:tcMar>
          </w:tcPr>
          <w:p>
            <w:pPr>
              <w:spacing w:after="0"/>
            </w:pPr>
            <w:r>
              <w:t xml:space="preserve">Karnataka</w:t>
            </w:r>
          </w:p>
        </w:tc>
        <w:tc>
          <w:tcPr>
            <w:tcMar>
              <w:top w:type="dxa" w:w="70"/>
              <w:left w:type="dxa" w:w="110"/>
              <w:bottom w:type="dxa" w:w="70"/>
              <w:right w:type="dxa" w:w="110"/>
            </w:tcMar>
          </w:tcPr>
          <w:p>
            <w:pPr>
              <w:spacing w:after="0"/>
            </w:pPr>
            <w:r>
              <w:t xml:space="preserve">Karnataka Land Revenue Act, 1964 (Section 95)</w:t>
            </w:r>
          </w:p>
        </w:tc>
      </w:tr>
      <w:tr>
        <w:trPr>
          <w:cantSplit/>
          <w:tblHeader w:val="false"/>
        </w:trPr>
        <w:tc>
          <w:tcPr>
            <w:tcMar>
              <w:top w:type="dxa" w:w="70"/>
              <w:left w:type="dxa" w:w="110"/>
              <w:bottom w:type="dxa" w:w="70"/>
              <w:right w:type="dxa" w:w="110"/>
            </w:tcMar>
          </w:tcPr>
          <w:p>
            <w:pPr>
              <w:spacing w:after="0"/>
            </w:pPr>
            <w:r>
              <w:t xml:space="preserve">Tamil Nadu</w:t>
            </w:r>
          </w:p>
        </w:tc>
        <w:tc>
          <w:tcPr>
            <w:tcMar>
              <w:top w:type="dxa" w:w="70"/>
              <w:left w:type="dxa" w:w="110"/>
              <w:bottom w:type="dxa" w:w="70"/>
              <w:right w:type="dxa" w:w="110"/>
            </w:tcMar>
          </w:tcPr>
          <w:p>
            <w:pPr>
              <w:spacing w:after="0"/>
            </w:pPr>
            <w:r>
              <w:t xml:space="preserve">Tamil Nadu Land Reforms and revenue rules</w:t>
            </w:r>
          </w:p>
        </w:tc>
      </w:tr>
      <w:tr>
        <w:trPr>
          <w:cantSplit/>
          <w:tblHeader w:val="false"/>
        </w:trPr>
        <w:tc>
          <w:tcPr>
            <w:tcMar>
              <w:top w:type="dxa" w:w="70"/>
              <w:left w:type="dxa" w:w="110"/>
              <w:bottom w:type="dxa" w:w="70"/>
              <w:right w:type="dxa" w:w="110"/>
            </w:tcMar>
          </w:tcPr>
          <w:p>
            <w:pPr>
              <w:spacing w:after="0"/>
            </w:pPr>
            <w:r>
              <w:t xml:space="preserve">Andhra Pradesh / Telangana</w:t>
            </w:r>
          </w:p>
        </w:tc>
        <w:tc>
          <w:tcPr>
            <w:tcMar>
              <w:top w:type="dxa" w:w="70"/>
              <w:left w:type="dxa" w:w="110"/>
              <w:bottom w:type="dxa" w:w="70"/>
              <w:right w:type="dxa" w:w="110"/>
            </w:tcMar>
          </w:tcPr>
          <w:p>
            <w:pPr>
              <w:spacing w:after="0"/>
            </w:pPr>
            <w:r>
              <w:t xml:space="preserve">AP/Telangana Agricultural Land (Conversion for Non-Agricultural Purposes) Act, 2006</w:t>
            </w:r>
          </w:p>
        </w:tc>
      </w:tr>
      <w:tr>
        <w:trPr>
          <w:cantSplit/>
          <w:tblHeader w:val="false"/>
        </w:trPr>
        <w:tc>
          <w:tcPr>
            <w:tcMar>
              <w:top w:type="dxa" w:w="70"/>
              <w:left w:type="dxa" w:w="110"/>
              <w:bottom w:type="dxa" w:w="70"/>
              <w:right w:type="dxa" w:w="110"/>
            </w:tcMar>
          </w:tcPr>
          <w:p>
            <w:pPr>
              <w:spacing w:after="0"/>
            </w:pPr>
            <w:r>
              <w:t xml:space="preserve">Uttar Pradesh</w:t>
            </w:r>
          </w:p>
        </w:tc>
        <w:tc>
          <w:tcPr>
            <w:tcMar>
              <w:top w:type="dxa" w:w="70"/>
              <w:left w:type="dxa" w:w="110"/>
              <w:bottom w:type="dxa" w:w="70"/>
              <w:right w:type="dxa" w:w="110"/>
            </w:tcMar>
          </w:tcPr>
          <w:p>
            <w:pPr>
              <w:spacing w:after="0"/>
            </w:pPr>
            <w:r>
              <w:t xml:space="preserve">UP Revenue Code, 2006 (Section 80)</w:t>
            </w:r>
          </w:p>
        </w:tc>
      </w:tr>
      <w:tr>
        <w:trPr>
          <w:cantSplit/>
          <w:tblHeader w:val="false"/>
        </w:trPr>
        <w:tc>
          <w:tcPr>
            <w:tcMar>
              <w:top w:type="dxa" w:w="70"/>
              <w:left w:type="dxa" w:w="110"/>
              <w:bottom w:type="dxa" w:w="70"/>
              <w:right w:type="dxa" w:w="110"/>
            </w:tcMar>
          </w:tcPr>
          <w:p>
            <w:pPr>
              <w:spacing w:after="0"/>
            </w:pPr>
            <w:r>
              <w:t xml:space="preserve">Rajasthan</w:t>
            </w:r>
          </w:p>
        </w:tc>
        <w:tc>
          <w:tcPr>
            <w:tcMar>
              <w:top w:type="dxa" w:w="70"/>
              <w:left w:type="dxa" w:w="110"/>
              <w:bottom w:type="dxa" w:w="70"/>
              <w:right w:type="dxa" w:w="110"/>
            </w:tcMar>
          </w:tcPr>
          <w:p>
            <w:pPr>
              <w:spacing w:after="0"/>
            </w:pPr>
            <w:r>
              <w:t xml:space="preserve">Rajasthan Land Revenue (Conversion) Rules, 2007</w:t>
            </w:r>
          </w:p>
        </w:tc>
      </w:tr>
      <w:tr>
        <w:trPr>
          <w:cantSplit/>
          <w:tblHeader w:val="false"/>
        </w:trPr>
        <w:tc>
          <w:tcPr>
            <w:tcMar>
              <w:top w:type="dxa" w:w="70"/>
              <w:left w:type="dxa" w:w="110"/>
              <w:bottom w:type="dxa" w:w="70"/>
              <w:right w:type="dxa" w:w="110"/>
            </w:tcMar>
          </w:tcPr>
          <w:p>
            <w:pPr>
              <w:spacing w:after="0"/>
            </w:pPr>
            <w:r>
              <w:t xml:space="preserve">Gujarat</w:t>
            </w:r>
          </w:p>
        </w:tc>
        <w:tc>
          <w:tcPr>
            <w:tcMar>
              <w:top w:type="dxa" w:w="70"/>
              <w:left w:type="dxa" w:w="110"/>
              <w:bottom w:type="dxa" w:w="70"/>
              <w:right w:type="dxa" w:w="110"/>
            </w:tcMar>
          </w:tcPr>
          <w:p>
            <w:pPr>
              <w:spacing w:after="0"/>
            </w:pPr>
            <w:r>
              <w:t xml:space="preserve">Gujarat Land Revenue Code, 1879 (Section 65)</w:t>
            </w:r>
          </w:p>
        </w:tc>
      </w:tr>
      <w:tr>
        <w:trPr>
          <w:cantSplit/>
          <w:tblHeader w:val="false"/>
        </w:trPr>
        <w:tc>
          <w:tcPr>
            <w:tcMar>
              <w:top w:type="dxa" w:w="70"/>
              <w:left w:type="dxa" w:w="110"/>
              <w:bottom w:type="dxa" w:w="70"/>
              <w:right w:type="dxa" w:w="110"/>
            </w:tcMar>
          </w:tcPr>
          <w:p>
            <w:pPr>
              <w:spacing w:after="0"/>
            </w:pPr>
            <w:r>
              <w:t xml:space="preserve">Madhya Pradesh</w:t>
            </w:r>
          </w:p>
        </w:tc>
        <w:tc>
          <w:tcPr>
            <w:tcMar>
              <w:top w:type="dxa" w:w="70"/>
              <w:left w:type="dxa" w:w="110"/>
              <w:bottom w:type="dxa" w:w="70"/>
              <w:right w:type="dxa" w:w="110"/>
            </w:tcMar>
          </w:tcPr>
          <w:p>
            <w:pPr>
              <w:spacing w:after="0"/>
            </w:pPr>
            <w:r>
              <w:t xml:space="preserve">MP Land Revenue Code, 1959</w:t>
            </w:r>
          </w:p>
        </w:tc>
      </w:tr>
      <w:tr>
        <w:trPr>
          <w:cantSplit/>
          <w:tblHeader w:val="false"/>
        </w:trPr>
        <w:tc>
          <w:tcPr>
            <w:tcMar>
              <w:top w:type="dxa" w:w="70"/>
              <w:left w:type="dxa" w:w="110"/>
              <w:bottom w:type="dxa" w:w="70"/>
              <w:right w:type="dxa" w:w="110"/>
            </w:tcMar>
          </w:tcPr>
          <w:p>
            <w:pPr>
              <w:spacing w:after="0"/>
            </w:pPr>
            <w:r>
              <w:t xml:space="preserve">West Bengal</w:t>
            </w:r>
          </w:p>
        </w:tc>
        <w:tc>
          <w:tcPr>
            <w:tcMar>
              <w:top w:type="dxa" w:w="70"/>
              <w:left w:type="dxa" w:w="110"/>
              <w:bottom w:type="dxa" w:w="70"/>
              <w:right w:type="dxa" w:w="110"/>
            </w:tcMar>
          </w:tcPr>
          <w:p>
            <w:pPr>
              <w:spacing w:after="0"/>
            </w:pPr>
            <w:r>
              <w:t xml:space="preserve">WB Land Reforms Act, 1955</w:t>
            </w:r>
          </w:p>
        </w:tc>
      </w:tr>
      <w:tr>
        <w:trPr>
          <w:cantSplit/>
          <w:tblHeader w:val="false"/>
        </w:trPr>
        <w:tc>
          <w:tcPr>
            <w:tcMar>
              <w:top w:type="dxa" w:w="70"/>
              <w:left w:type="dxa" w:w="110"/>
              <w:bottom w:type="dxa" w:w="70"/>
              <w:right w:type="dxa" w:w="110"/>
            </w:tcMar>
          </w:tcPr>
          <w:p>
            <w:pPr>
              <w:spacing w:after="0"/>
            </w:pPr>
            <w:r>
              <w:t xml:space="preserve">Kerala</w:t>
            </w:r>
          </w:p>
        </w:tc>
        <w:tc>
          <w:tcPr>
            <w:tcMar>
              <w:top w:type="dxa" w:w="70"/>
              <w:left w:type="dxa" w:w="110"/>
              <w:bottom w:type="dxa" w:w="70"/>
              <w:right w:type="dxa" w:w="110"/>
            </w:tcMar>
          </w:tcPr>
          <w:p>
            <w:pPr>
              <w:spacing w:after="0"/>
            </w:pPr>
            <w:r>
              <w:t xml:space="preserve">Kerala Conservation of Paddy Land &amp; Wetland Act, 2008 — notably restrictive</w:t>
            </w:r>
          </w:p>
        </w:tc>
      </w:tr>
      <w:tr>
        <w:trPr>
          <w:cantSplit/>
          <w:tblHeader w:val="false"/>
        </w:trPr>
        <w:tc>
          <w:tcPr>
            <w:tcMar>
              <w:top w:type="dxa" w:w="70"/>
              <w:left w:type="dxa" w:w="110"/>
              <w:bottom w:type="dxa" w:w="70"/>
              <w:right w:type="dxa" w:w="110"/>
            </w:tcMar>
          </w:tcPr>
          <w:p>
            <w:pPr>
              <w:spacing w:after="0"/>
            </w:pPr>
            <w:r>
              <w:t xml:space="preserve">Punjab / Haryana</w:t>
            </w:r>
          </w:p>
        </w:tc>
        <w:tc>
          <w:tcPr>
            <w:tcMar>
              <w:top w:type="dxa" w:w="70"/>
              <w:left w:type="dxa" w:w="110"/>
              <w:bottom w:type="dxa" w:w="70"/>
              <w:right w:type="dxa" w:w="110"/>
            </w:tcMar>
          </w:tcPr>
          <w:p>
            <w:pPr>
              <w:spacing w:after="0"/>
            </w:pPr>
            <w:r>
              <w:t xml:space="preserve">Respective Land Revenue Acts and CLU rules under town planning law</w:t>
            </w:r>
          </w:p>
        </w:tc>
      </w:tr>
    </w:tbl>
    <w:p>
      <w:pPr>
        <w:spacing w:after="40"/>
      </w:pPr>
    </w:p>
    <w:p>
      <w:r>
        <w:t xml:space="preserve">Kerala’s paddy land legislation is the strictest in the country and has been a recurring obstacle to industrial land assembly there.</w:t>
      </w:r>
    </w:p>
    <w:p>
      <w:pPr>
        <w:pStyle w:val="Heading2"/>
        <w:keepNext/>
        <w:keepLines/>
      </w:pPr>
      <w:r>
        <w:t xml:space="preserve">5.2 Industrial Development Corporations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State / UT</w:t>
            </w:r>
          </w:p>
        </w:tc>
        <w:tc>
          <w:tcPr>
            <w:shd w:fill="F0F4FE"/>
            <w:tcMar>
              <w:top w:type="dxa" w:w="70"/>
              <w:left w:type="dxa" w:w="110"/>
              <w:bottom w:type="dxa" w:w="70"/>
              <w:right w:type="dxa" w:w="110"/>
            </w:tcMar>
          </w:tcPr>
          <w:p>
            <w:pPr>
              <w:spacing w:after="0"/>
            </w:pPr>
            <w:r>
              <w:rPr>
                <w:b/>
                <w:bCs/>
                <w:color w:val="112D6A"/>
              </w:rPr>
              <w:t xml:space="preserve">Agency</w:t>
            </w:r>
          </w:p>
        </w:tc>
        <w:tc>
          <w:tcPr>
            <w:shd w:fill="F0F4FE"/>
            <w:tcMar>
              <w:top w:type="dxa" w:w="70"/>
              <w:left w:type="dxa" w:w="110"/>
              <w:bottom w:type="dxa" w:w="70"/>
              <w:right w:type="dxa" w:w="110"/>
            </w:tcMar>
          </w:tcPr>
          <w:p>
            <w:pPr>
              <w:spacing w:after="0"/>
            </w:pPr>
            <w:r>
              <w:rPr>
                <w:b/>
                <w:bCs/>
                <w:color w:val="112D6A"/>
              </w:rPr>
              <w:t xml:space="preserve">Notes</w:t>
            </w:r>
          </w:p>
        </w:tc>
      </w:tr>
      <w:tr>
        <w:trPr>
          <w:cantSplit/>
          <w:tblHeader w:val="false"/>
        </w:trPr>
        <w:tc>
          <w:tcPr>
            <w:tcMar>
              <w:top w:type="dxa" w:w="70"/>
              <w:left w:type="dxa" w:w="110"/>
              <w:bottom w:type="dxa" w:w="70"/>
              <w:right w:type="dxa" w:w="110"/>
            </w:tcMar>
          </w:tcPr>
          <w:p>
            <w:pPr>
              <w:spacing w:after="0"/>
            </w:pPr>
            <w:r>
              <w:t xml:space="preserve">Andhra Pradesh</w:t>
            </w:r>
          </w:p>
        </w:tc>
        <w:tc>
          <w:tcPr>
            <w:tcMar>
              <w:top w:type="dxa" w:w="70"/>
              <w:left w:type="dxa" w:w="110"/>
              <w:bottom w:type="dxa" w:w="70"/>
              <w:right w:type="dxa" w:w="110"/>
            </w:tcMar>
          </w:tcPr>
          <w:p>
            <w:pPr>
              <w:spacing w:after="0"/>
            </w:pPr>
            <w:r>
              <w:t xml:space="preserve">APIIC</w:t>
            </w:r>
          </w:p>
        </w:tc>
        <w:tc>
          <w:tcPr>
            <w:tcMar>
              <w:top w:type="dxa" w:w="70"/>
              <w:left w:type="dxa" w:w="110"/>
              <w:bottom w:type="dxa" w:w="70"/>
              <w:right w:type="dxa" w:w="110"/>
            </w:tcMar>
          </w:tcPr>
          <w:p>
            <w:pPr>
              <w:spacing w:after="0"/>
            </w:pPr>
            <w:r>
              <w:t xml:space="preserve">Large land bank, port-linked corridors</w:t>
            </w:r>
          </w:p>
        </w:tc>
      </w:tr>
      <w:tr>
        <w:trPr>
          <w:cantSplit/>
          <w:tblHeader w:val="false"/>
        </w:trPr>
        <w:tc>
          <w:tcPr>
            <w:tcMar>
              <w:top w:type="dxa" w:w="70"/>
              <w:left w:type="dxa" w:w="110"/>
              <w:bottom w:type="dxa" w:w="70"/>
              <w:right w:type="dxa" w:w="110"/>
            </w:tcMar>
          </w:tcPr>
          <w:p>
            <w:pPr>
              <w:spacing w:after="0"/>
            </w:pPr>
            <w:r>
              <w:t xml:space="preserve">Arunachal Pradesh</w:t>
            </w:r>
          </w:p>
        </w:tc>
        <w:tc>
          <w:tcPr>
            <w:tcMar>
              <w:top w:type="dxa" w:w="70"/>
              <w:left w:type="dxa" w:w="110"/>
              <w:bottom w:type="dxa" w:w="70"/>
              <w:right w:type="dxa" w:w="110"/>
            </w:tcMar>
          </w:tcPr>
          <w:p>
            <w:pPr>
              <w:spacing w:after="0"/>
            </w:pPr>
            <w:r>
              <w:t xml:space="preserve">Dept of Industries</w:t>
            </w:r>
          </w:p>
        </w:tc>
        <w:tc>
          <w:tcPr>
            <w:tcMar>
              <w:top w:type="dxa" w:w="70"/>
              <w:left w:type="dxa" w:w="110"/>
              <w:bottom w:type="dxa" w:w="70"/>
              <w:right w:type="dxa" w:w="110"/>
            </w:tcMar>
          </w:tcPr>
          <w:p>
            <w:pPr>
              <w:spacing w:after="0"/>
            </w:pPr>
            <w:r>
              <w:t xml:space="preserve">Limited industrial estates</w:t>
            </w:r>
          </w:p>
        </w:tc>
      </w:tr>
      <w:tr>
        <w:trPr>
          <w:cantSplit/>
          <w:tblHeader w:val="false"/>
        </w:trPr>
        <w:tc>
          <w:tcPr>
            <w:tcMar>
              <w:top w:type="dxa" w:w="70"/>
              <w:left w:type="dxa" w:w="110"/>
              <w:bottom w:type="dxa" w:w="70"/>
              <w:right w:type="dxa" w:w="110"/>
            </w:tcMar>
          </w:tcPr>
          <w:p>
            <w:pPr>
              <w:spacing w:after="0"/>
            </w:pPr>
            <w:r>
              <w:t xml:space="preserve">Assam</w:t>
            </w:r>
          </w:p>
        </w:tc>
        <w:tc>
          <w:tcPr>
            <w:tcMar>
              <w:top w:type="dxa" w:w="70"/>
              <w:left w:type="dxa" w:w="110"/>
              <w:bottom w:type="dxa" w:w="70"/>
              <w:right w:type="dxa" w:w="110"/>
            </w:tcMar>
          </w:tcPr>
          <w:p>
            <w:pPr>
              <w:spacing w:after="0"/>
            </w:pPr>
            <w:r>
              <w:t xml:space="preserve">AIDC / Assam Industrial Development Corporation</w:t>
            </w:r>
          </w:p>
        </w:tc>
        <w:tc>
          <w:tcPr>
            <w:tcMar>
              <w:top w:type="dxa" w:w="70"/>
              <w:left w:type="dxa" w:w="110"/>
              <w:bottom w:type="dxa" w:w="70"/>
              <w:right w:type="dxa" w:w="110"/>
            </w:tcMar>
          </w:tcPr>
          <w:p>
            <w:pPr>
              <w:spacing w:after="0"/>
            </w:pPr>
            <w:r>
              <w:t xml:space="preserve">Plus export promotion parks</w:t>
            </w:r>
          </w:p>
        </w:tc>
      </w:tr>
      <w:tr>
        <w:trPr>
          <w:cantSplit/>
          <w:tblHeader w:val="false"/>
        </w:trPr>
        <w:tc>
          <w:tcPr>
            <w:tcMar>
              <w:top w:type="dxa" w:w="70"/>
              <w:left w:type="dxa" w:w="110"/>
              <w:bottom w:type="dxa" w:w="70"/>
              <w:right w:type="dxa" w:w="110"/>
            </w:tcMar>
          </w:tcPr>
          <w:p>
            <w:pPr>
              <w:spacing w:after="0"/>
            </w:pPr>
            <w:r>
              <w:t xml:space="preserve">Bihar</w:t>
            </w:r>
          </w:p>
        </w:tc>
        <w:tc>
          <w:tcPr>
            <w:tcMar>
              <w:top w:type="dxa" w:w="70"/>
              <w:left w:type="dxa" w:w="110"/>
              <w:bottom w:type="dxa" w:w="70"/>
              <w:right w:type="dxa" w:w="110"/>
            </w:tcMar>
          </w:tcPr>
          <w:p>
            <w:pPr>
              <w:spacing w:after="0"/>
            </w:pPr>
            <w:r>
              <w:t xml:space="preserve">BIADA</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Chhattisgarh</w:t>
            </w:r>
          </w:p>
        </w:tc>
        <w:tc>
          <w:tcPr>
            <w:tcMar>
              <w:top w:type="dxa" w:w="70"/>
              <w:left w:type="dxa" w:w="110"/>
              <w:bottom w:type="dxa" w:w="70"/>
              <w:right w:type="dxa" w:w="110"/>
            </w:tcMar>
          </w:tcPr>
          <w:p>
            <w:pPr>
              <w:spacing w:after="0"/>
            </w:pPr>
            <w:r>
              <w:t xml:space="preserve">CSIDC</w:t>
            </w:r>
          </w:p>
        </w:tc>
        <w:tc>
          <w:tcPr>
            <w:tcMar>
              <w:top w:type="dxa" w:w="70"/>
              <w:left w:type="dxa" w:w="110"/>
              <w:bottom w:type="dxa" w:w="70"/>
              <w:right w:type="dxa" w:w="110"/>
            </w:tcMar>
          </w:tcPr>
          <w:p>
            <w:pPr>
              <w:spacing w:after="0"/>
            </w:pPr>
            <w:r>
              <w:t xml:space="preserve">Mineral-belt focus</w:t>
            </w:r>
          </w:p>
        </w:tc>
      </w:tr>
      <w:tr>
        <w:trPr>
          <w:cantSplit/>
          <w:tblHeader w:val="false"/>
        </w:trPr>
        <w:tc>
          <w:tcPr>
            <w:tcMar>
              <w:top w:type="dxa" w:w="70"/>
              <w:left w:type="dxa" w:w="110"/>
              <w:bottom w:type="dxa" w:w="70"/>
              <w:right w:type="dxa" w:w="110"/>
            </w:tcMar>
          </w:tcPr>
          <w:p>
            <w:pPr>
              <w:spacing w:after="0"/>
            </w:pPr>
            <w:r>
              <w:t xml:space="preserve">Goa</w:t>
            </w:r>
          </w:p>
        </w:tc>
        <w:tc>
          <w:tcPr>
            <w:tcMar>
              <w:top w:type="dxa" w:w="70"/>
              <w:left w:type="dxa" w:w="110"/>
              <w:bottom w:type="dxa" w:w="70"/>
              <w:right w:type="dxa" w:w="110"/>
            </w:tcMar>
          </w:tcPr>
          <w:p>
            <w:pPr>
              <w:spacing w:after="0"/>
            </w:pPr>
            <w:r>
              <w:t xml:space="preserve">Goa-IDC</w:t>
            </w:r>
          </w:p>
        </w:tc>
        <w:tc>
          <w:tcPr>
            <w:tcMar>
              <w:top w:type="dxa" w:w="70"/>
              <w:left w:type="dxa" w:w="110"/>
              <w:bottom w:type="dxa" w:w="70"/>
              <w:right w:type="dxa" w:w="110"/>
            </w:tcMar>
          </w:tcPr>
          <w:p>
            <w:pPr>
              <w:spacing w:after="0"/>
            </w:pPr>
            <w:r>
              <w:t xml:space="preserve">Compact, high-value estates</w:t>
            </w:r>
          </w:p>
        </w:tc>
      </w:tr>
      <w:tr>
        <w:trPr>
          <w:cantSplit/>
          <w:tblHeader w:val="false"/>
        </w:trPr>
        <w:tc>
          <w:tcPr>
            <w:tcMar>
              <w:top w:type="dxa" w:w="70"/>
              <w:left w:type="dxa" w:w="110"/>
              <w:bottom w:type="dxa" w:w="70"/>
              <w:right w:type="dxa" w:w="110"/>
            </w:tcMar>
          </w:tcPr>
          <w:p>
            <w:pPr>
              <w:spacing w:after="0"/>
            </w:pPr>
            <w:r>
              <w:t xml:space="preserve">Gujarat</w:t>
            </w:r>
          </w:p>
        </w:tc>
        <w:tc>
          <w:tcPr>
            <w:tcMar>
              <w:top w:type="dxa" w:w="70"/>
              <w:left w:type="dxa" w:w="110"/>
              <w:bottom w:type="dxa" w:w="70"/>
              <w:right w:type="dxa" w:w="110"/>
            </w:tcMar>
          </w:tcPr>
          <w:p>
            <w:pPr>
              <w:spacing w:after="0"/>
            </w:pPr>
            <w:r>
              <w:t xml:space="preserve">GIDC</w:t>
            </w:r>
          </w:p>
        </w:tc>
        <w:tc>
          <w:tcPr>
            <w:tcMar>
              <w:top w:type="dxa" w:w="70"/>
              <w:left w:type="dxa" w:w="110"/>
              <w:bottom w:type="dxa" w:w="70"/>
              <w:right w:type="dxa" w:w="110"/>
            </w:tcMar>
          </w:tcPr>
          <w:p>
            <w:pPr>
              <w:spacing w:after="0"/>
            </w:pPr>
            <w:r>
              <w:t xml:space="preserve">Largest estate network in India; chemical/petrochemical clusters</w:t>
            </w:r>
          </w:p>
        </w:tc>
      </w:tr>
      <w:tr>
        <w:trPr>
          <w:cantSplit/>
          <w:tblHeader w:val="false"/>
        </w:trPr>
        <w:tc>
          <w:tcPr>
            <w:tcMar>
              <w:top w:type="dxa" w:w="70"/>
              <w:left w:type="dxa" w:w="110"/>
              <w:bottom w:type="dxa" w:w="70"/>
              <w:right w:type="dxa" w:w="110"/>
            </w:tcMar>
          </w:tcPr>
          <w:p>
            <w:pPr>
              <w:spacing w:after="0"/>
            </w:pPr>
            <w:r>
              <w:t xml:space="preserve">Haryana</w:t>
            </w:r>
          </w:p>
        </w:tc>
        <w:tc>
          <w:tcPr>
            <w:tcMar>
              <w:top w:type="dxa" w:w="70"/>
              <w:left w:type="dxa" w:w="110"/>
              <w:bottom w:type="dxa" w:w="70"/>
              <w:right w:type="dxa" w:w="110"/>
            </w:tcMar>
          </w:tcPr>
          <w:p>
            <w:pPr>
              <w:spacing w:after="0"/>
            </w:pPr>
            <w:r>
              <w:t xml:space="preserve">HSIIDC</w:t>
            </w:r>
          </w:p>
        </w:tc>
        <w:tc>
          <w:tcPr>
            <w:tcMar>
              <w:top w:type="dxa" w:w="70"/>
              <w:left w:type="dxa" w:w="110"/>
              <w:bottom w:type="dxa" w:w="70"/>
              <w:right w:type="dxa" w:w="110"/>
            </w:tcMar>
          </w:tcPr>
          <w:p>
            <w:pPr>
              <w:spacing w:after="0"/>
            </w:pPr>
            <w:r>
              <w:t xml:space="preserve">NCR-adjacent, IMT model (Manesar, Rohtak)</w:t>
            </w:r>
          </w:p>
        </w:tc>
      </w:tr>
      <w:tr>
        <w:trPr>
          <w:cantSplit/>
          <w:tblHeader w:val="false"/>
        </w:trPr>
        <w:tc>
          <w:tcPr>
            <w:tcMar>
              <w:top w:type="dxa" w:w="70"/>
              <w:left w:type="dxa" w:w="110"/>
              <w:bottom w:type="dxa" w:w="70"/>
              <w:right w:type="dxa" w:w="110"/>
            </w:tcMar>
          </w:tcPr>
          <w:p>
            <w:pPr>
              <w:spacing w:after="0"/>
            </w:pPr>
            <w:r>
              <w:t xml:space="preserve">Himachal Pradesh</w:t>
            </w:r>
          </w:p>
        </w:tc>
        <w:tc>
          <w:tcPr>
            <w:tcMar>
              <w:top w:type="dxa" w:w="70"/>
              <w:left w:type="dxa" w:w="110"/>
              <w:bottom w:type="dxa" w:w="70"/>
              <w:right w:type="dxa" w:w="110"/>
            </w:tcMar>
          </w:tcPr>
          <w:p>
            <w:pPr>
              <w:spacing w:after="0"/>
            </w:pPr>
            <w:r>
              <w:t xml:space="preserve">HPSIDC / Dept of Industries</w:t>
            </w:r>
          </w:p>
        </w:tc>
        <w:tc>
          <w:tcPr>
            <w:tcMar>
              <w:top w:type="dxa" w:w="70"/>
              <w:left w:type="dxa" w:w="110"/>
              <w:bottom w:type="dxa" w:w="70"/>
              <w:right w:type="dxa" w:w="110"/>
            </w:tcMar>
          </w:tcPr>
          <w:p>
            <w:pPr>
              <w:spacing w:after="0"/>
            </w:pPr>
            <w:r>
              <w:t xml:space="preserve">Baddi-Barotiwala-Nalagarh belt</w:t>
            </w:r>
          </w:p>
        </w:tc>
      </w:tr>
      <w:tr>
        <w:trPr>
          <w:cantSplit/>
          <w:tblHeader w:val="false"/>
        </w:trPr>
        <w:tc>
          <w:tcPr>
            <w:tcMar>
              <w:top w:type="dxa" w:w="70"/>
              <w:left w:type="dxa" w:w="110"/>
              <w:bottom w:type="dxa" w:w="70"/>
              <w:right w:type="dxa" w:w="110"/>
            </w:tcMar>
          </w:tcPr>
          <w:p>
            <w:pPr>
              <w:spacing w:after="0"/>
            </w:pPr>
            <w:r>
              <w:t xml:space="preserve">Jharkhand</w:t>
            </w:r>
          </w:p>
        </w:tc>
        <w:tc>
          <w:tcPr>
            <w:tcMar>
              <w:top w:type="dxa" w:w="70"/>
              <w:left w:type="dxa" w:w="110"/>
              <w:bottom w:type="dxa" w:w="70"/>
              <w:right w:type="dxa" w:w="110"/>
            </w:tcMar>
          </w:tcPr>
          <w:p>
            <w:pPr>
              <w:spacing w:after="0"/>
            </w:pPr>
            <w:r>
              <w:t xml:space="preserve">JIADA</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Karnataka</w:t>
            </w:r>
          </w:p>
        </w:tc>
        <w:tc>
          <w:tcPr>
            <w:tcMar>
              <w:top w:type="dxa" w:w="70"/>
              <w:left w:type="dxa" w:w="110"/>
              <w:bottom w:type="dxa" w:w="70"/>
              <w:right w:type="dxa" w:w="110"/>
            </w:tcMar>
          </w:tcPr>
          <w:p>
            <w:pPr>
              <w:spacing w:after="0"/>
            </w:pPr>
            <w:r>
              <w:t xml:space="preserve">KIADB (large industry) and KSSIDC (small industry)</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Kerala</w:t>
            </w:r>
          </w:p>
        </w:tc>
        <w:tc>
          <w:tcPr>
            <w:tcMar>
              <w:top w:type="dxa" w:w="70"/>
              <w:left w:type="dxa" w:w="110"/>
              <w:bottom w:type="dxa" w:w="70"/>
              <w:right w:type="dxa" w:w="110"/>
            </w:tcMar>
          </w:tcPr>
          <w:p>
            <w:pPr>
              <w:spacing w:after="0"/>
            </w:pPr>
            <w:r>
              <w:t xml:space="preserve">KINFRA and KSIDC</w:t>
            </w:r>
          </w:p>
        </w:tc>
        <w:tc>
          <w:tcPr>
            <w:tcMar>
              <w:top w:type="dxa" w:w="70"/>
              <w:left w:type="dxa" w:w="110"/>
              <w:bottom w:type="dxa" w:w="70"/>
              <w:right w:type="dxa" w:w="110"/>
            </w:tcMar>
          </w:tcPr>
          <w:p>
            <w:pPr>
              <w:spacing w:after="0"/>
            </w:pPr>
            <w:r>
              <w:t xml:space="preserve">Park-led model</w:t>
            </w:r>
          </w:p>
        </w:tc>
      </w:tr>
      <w:tr>
        <w:trPr>
          <w:cantSplit/>
          <w:tblHeader w:val="false"/>
        </w:trPr>
        <w:tc>
          <w:tcPr>
            <w:tcMar>
              <w:top w:type="dxa" w:w="70"/>
              <w:left w:type="dxa" w:w="110"/>
              <w:bottom w:type="dxa" w:w="70"/>
              <w:right w:type="dxa" w:w="110"/>
            </w:tcMar>
          </w:tcPr>
          <w:p>
            <w:pPr>
              <w:spacing w:after="0"/>
            </w:pPr>
            <w:r>
              <w:t xml:space="preserve">Madhya Pradesh</w:t>
            </w:r>
          </w:p>
        </w:tc>
        <w:tc>
          <w:tcPr>
            <w:tcMar>
              <w:top w:type="dxa" w:w="70"/>
              <w:left w:type="dxa" w:w="110"/>
              <w:bottom w:type="dxa" w:w="70"/>
              <w:right w:type="dxa" w:w="110"/>
            </w:tcMar>
          </w:tcPr>
          <w:p>
            <w:pPr>
              <w:spacing w:after="0"/>
            </w:pPr>
            <w:r>
              <w:t xml:space="preserve">MPIDC</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Maharashtra</w:t>
            </w:r>
          </w:p>
        </w:tc>
        <w:tc>
          <w:tcPr>
            <w:tcMar>
              <w:top w:type="dxa" w:w="70"/>
              <w:left w:type="dxa" w:w="110"/>
              <w:bottom w:type="dxa" w:w="70"/>
              <w:right w:type="dxa" w:w="110"/>
            </w:tcMar>
          </w:tcPr>
          <w:p>
            <w:pPr>
              <w:spacing w:after="0"/>
            </w:pPr>
            <w:r>
              <w:t xml:space="preserve">MIDC</w:t>
            </w:r>
          </w:p>
        </w:tc>
        <w:tc>
          <w:tcPr>
            <w:tcMar>
              <w:top w:type="dxa" w:w="70"/>
              <w:left w:type="dxa" w:w="110"/>
              <w:bottom w:type="dxa" w:w="70"/>
              <w:right w:type="dxa" w:w="110"/>
            </w:tcMar>
          </w:tcPr>
          <w:p>
            <w:pPr>
              <w:spacing w:after="0"/>
            </w:pPr>
            <w:r>
              <w:t xml:space="preserve">Second-largest estate network; Five-Star and mega-project categories</w:t>
            </w:r>
          </w:p>
        </w:tc>
      </w:tr>
      <w:tr>
        <w:trPr>
          <w:cantSplit/>
          <w:tblHeader w:val="false"/>
        </w:trPr>
        <w:tc>
          <w:tcPr>
            <w:tcMar>
              <w:top w:type="dxa" w:w="70"/>
              <w:left w:type="dxa" w:w="110"/>
              <w:bottom w:type="dxa" w:w="70"/>
              <w:right w:type="dxa" w:w="110"/>
            </w:tcMar>
          </w:tcPr>
          <w:p>
            <w:pPr>
              <w:spacing w:after="0"/>
            </w:pPr>
            <w:r>
              <w:t xml:space="preserve">Manipur</w:t>
            </w:r>
          </w:p>
        </w:tc>
        <w:tc>
          <w:tcPr>
            <w:tcMar>
              <w:top w:type="dxa" w:w="70"/>
              <w:left w:type="dxa" w:w="110"/>
              <w:bottom w:type="dxa" w:w="70"/>
              <w:right w:type="dxa" w:w="110"/>
            </w:tcMar>
          </w:tcPr>
          <w:p>
            <w:pPr>
              <w:spacing w:after="0"/>
            </w:pPr>
            <w:r>
              <w:t xml:space="preserve">Manipur Industrial Development Corporation</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Meghalaya</w:t>
            </w:r>
          </w:p>
        </w:tc>
        <w:tc>
          <w:tcPr>
            <w:tcMar>
              <w:top w:type="dxa" w:w="70"/>
              <w:left w:type="dxa" w:w="110"/>
              <w:bottom w:type="dxa" w:w="70"/>
              <w:right w:type="dxa" w:w="110"/>
            </w:tcMar>
          </w:tcPr>
          <w:p>
            <w:pPr>
              <w:spacing w:after="0"/>
            </w:pPr>
            <w:r>
              <w:t xml:space="preserve">Meghalaya Industrial Development Corporation</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Mizoram</w:t>
            </w:r>
          </w:p>
        </w:tc>
        <w:tc>
          <w:tcPr>
            <w:tcMar>
              <w:top w:type="dxa" w:w="70"/>
              <w:left w:type="dxa" w:w="110"/>
              <w:bottom w:type="dxa" w:w="70"/>
              <w:right w:type="dxa" w:w="110"/>
            </w:tcMar>
          </w:tcPr>
          <w:p>
            <w:pPr>
              <w:spacing w:after="0"/>
            </w:pPr>
            <w:r>
              <w:t xml:space="preserve">ZIDCO</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Nagaland</w:t>
            </w:r>
          </w:p>
        </w:tc>
        <w:tc>
          <w:tcPr>
            <w:tcMar>
              <w:top w:type="dxa" w:w="70"/>
              <w:left w:type="dxa" w:w="110"/>
              <w:bottom w:type="dxa" w:w="70"/>
              <w:right w:type="dxa" w:w="110"/>
            </w:tcMar>
          </w:tcPr>
          <w:p>
            <w:pPr>
              <w:spacing w:after="0"/>
            </w:pPr>
            <w:r>
              <w:t xml:space="preserve">NIDC</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Odisha</w:t>
            </w:r>
          </w:p>
        </w:tc>
        <w:tc>
          <w:tcPr>
            <w:tcMar>
              <w:top w:type="dxa" w:w="70"/>
              <w:left w:type="dxa" w:w="110"/>
              <w:bottom w:type="dxa" w:w="70"/>
              <w:right w:type="dxa" w:w="110"/>
            </w:tcMar>
          </w:tcPr>
          <w:p>
            <w:pPr>
              <w:spacing w:after="0"/>
            </w:pPr>
            <w:r>
              <w:t xml:space="preserve">IDCO</w:t>
            </w:r>
          </w:p>
        </w:tc>
        <w:tc>
          <w:tcPr>
            <w:tcMar>
              <w:top w:type="dxa" w:w="70"/>
              <w:left w:type="dxa" w:w="110"/>
              <w:bottom w:type="dxa" w:w="70"/>
              <w:right w:type="dxa" w:w="110"/>
            </w:tcMar>
          </w:tcPr>
          <w:p>
            <w:pPr>
              <w:spacing w:after="0"/>
            </w:pPr>
            <w:r>
              <w:t xml:space="preserve">Mineral and port-linked</w:t>
            </w:r>
          </w:p>
        </w:tc>
      </w:tr>
      <w:tr>
        <w:trPr>
          <w:cantSplit/>
          <w:tblHeader w:val="false"/>
        </w:trPr>
        <w:tc>
          <w:tcPr>
            <w:tcMar>
              <w:top w:type="dxa" w:w="70"/>
              <w:left w:type="dxa" w:w="110"/>
              <w:bottom w:type="dxa" w:w="70"/>
              <w:right w:type="dxa" w:w="110"/>
            </w:tcMar>
          </w:tcPr>
          <w:p>
            <w:pPr>
              <w:spacing w:after="0"/>
            </w:pPr>
            <w:r>
              <w:t xml:space="preserve">Punjab</w:t>
            </w:r>
          </w:p>
        </w:tc>
        <w:tc>
          <w:tcPr>
            <w:tcMar>
              <w:top w:type="dxa" w:w="70"/>
              <w:left w:type="dxa" w:w="110"/>
              <w:bottom w:type="dxa" w:w="70"/>
              <w:right w:type="dxa" w:w="110"/>
            </w:tcMar>
          </w:tcPr>
          <w:p>
            <w:pPr>
              <w:spacing w:after="0"/>
            </w:pPr>
            <w:r>
              <w:t xml:space="preserve">PSIEC</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Rajasthan</w:t>
            </w:r>
          </w:p>
        </w:tc>
        <w:tc>
          <w:tcPr>
            <w:tcMar>
              <w:top w:type="dxa" w:w="70"/>
              <w:left w:type="dxa" w:w="110"/>
              <w:bottom w:type="dxa" w:w="70"/>
              <w:right w:type="dxa" w:w="110"/>
            </w:tcMar>
          </w:tcPr>
          <w:p>
            <w:pPr>
              <w:spacing w:after="0"/>
            </w:pPr>
            <w:r>
              <w:t xml:space="preserve">RIICO</w:t>
            </w:r>
          </w:p>
        </w:tc>
        <w:tc>
          <w:tcPr>
            <w:tcMar>
              <w:top w:type="dxa" w:w="70"/>
              <w:left w:type="dxa" w:w="110"/>
              <w:bottom w:type="dxa" w:w="70"/>
              <w:right w:type="dxa" w:w="110"/>
            </w:tcMar>
          </w:tcPr>
          <w:p>
            <w:pPr>
              <w:spacing w:after="0"/>
            </w:pPr>
            <w:r>
              <w:t xml:space="preserve">Very large land bank; DMIC nodes</w:t>
            </w:r>
          </w:p>
        </w:tc>
      </w:tr>
      <w:tr>
        <w:trPr>
          <w:cantSplit/>
          <w:tblHeader w:val="false"/>
        </w:trPr>
        <w:tc>
          <w:tcPr>
            <w:tcMar>
              <w:top w:type="dxa" w:w="70"/>
              <w:left w:type="dxa" w:w="110"/>
              <w:bottom w:type="dxa" w:w="70"/>
              <w:right w:type="dxa" w:w="110"/>
            </w:tcMar>
          </w:tcPr>
          <w:p>
            <w:pPr>
              <w:spacing w:after="0"/>
            </w:pPr>
            <w:r>
              <w:t xml:space="preserve">Sikkim</w:t>
            </w:r>
          </w:p>
        </w:tc>
        <w:tc>
          <w:tcPr>
            <w:tcMar>
              <w:top w:type="dxa" w:w="70"/>
              <w:left w:type="dxa" w:w="110"/>
              <w:bottom w:type="dxa" w:w="70"/>
              <w:right w:type="dxa" w:w="110"/>
            </w:tcMar>
          </w:tcPr>
          <w:p>
            <w:pPr>
              <w:spacing w:after="0"/>
            </w:pPr>
            <w:r>
              <w:t xml:space="preserve">SIDICO</w:t>
            </w:r>
          </w:p>
        </w:tc>
        <w:tc>
          <w:tcPr>
            <w:tcMar>
              <w:top w:type="dxa" w:w="70"/>
              <w:left w:type="dxa" w:w="110"/>
              <w:bottom w:type="dxa" w:w="70"/>
              <w:right w:type="dxa" w:w="110"/>
            </w:tcMar>
          </w:tcPr>
          <w:p>
            <w:pPr>
              <w:spacing w:after="0"/>
            </w:pPr>
            <w:r>
              <w:t xml:space="preserve">Pharma cluster</w:t>
            </w:r>
          </w:p>
        </w:tc>
      </w:tr>
      <w:tr>
        <w:trPr>
          <w:cantSplit/>
          <w:tblHeader w:val="false"/>
        </w:trPr>
        <w:tc>
          <w:tcPr>
            <w:tcMar>
              <w:top w:type="dxa" w:w="70"/>
              <w:left w:type="dxa" w:w="110"/>
              <w:bottom w:type="dxa" w:w="70"/>
              <w:right w:type="dxa" w:w="110"/>
            </w:tcMar>
          </w:tcPr>
          <w:p>
            <w:pPr>
              <w:spacing w:after="0"/>
            </w:pPr>
            <w:r>
              <w:t xml:space="preserve">Tamil Nadu</w:t>
            </w:r>
          </w:p>
        </w:tc>
        <w:tc>
          <w:tcPr>
            <w:tcMar>
              <w:top w:type="dxa" w:w="70"/>
              <w:left w:type="dxa" w:w="110"/>
              <w:bottom w:type="dxa" w:w="70"/>
              <w:right w:type="dxa" w:w="110"/>
            </w:tcMar>
          </w:tcPr>
          <w:p>
            <w:pPr>
              <w:spacing w:after="0"/>
            </w:pPr>
            <w:r>
              <w:t xml:space="preserve">SIPCOT (large), SIDCO (small), TIDCO (promotion)</w:t>
            </w:r>
          </w:p>
        </w:tc>
        <w:tc>
          <w:tcPr>
            <w:tcMar>
              <w:top w:type="dxa" w:w="70"/>
              <w:left w:type="dxa" w:w="110"/>
              <w:bottom w:type="dxa" w:w="70"/>
              <w:right w:type="dxa" w:w="110"/>
            </w:tcMar>
          </w:tcPr>
          <w:p>
            <w:pPr>
              <w:spacing w:after="0"/>
            </w:pPr>
            <w:r>
              <w:t xml:space="preserve">Three-tier structure</w:t>
            </w:r>
          </w:p>
        </w:tc>
      </w:tr>
      <w:tr>
        <w:trPr>
          <w:cantSplit/>
          <w:tblHeader w:val="false"/>
        </w:trPr>
        <w:tc>
          <w:tcPr>
            <w:tcMar>
              <w:top w:type="dxa" w:w="70"/>
              <w:left w:type="dxa" w:w="110"/>
              <w:bottom w:type="dxa" w:w="70"/>
              <w:right w:type="dxa" w:w="110"/>
            </w:tcMar>
          </w:tcPr>
          <w:p>
            <w:pPr>
              <w:spacing w:after="0"/>
            </w:pPr>
            <w:r>
              <w:t xml:space="preserve">Telangana</w:t>
            </w:r>
          </w:p>
        </w:tc>
        <w:tc>
          <w:tcPr>
            <w:tcMar>
              <w:top w:type="dxa" w:w="70"/>
              <w:left w:type="dxa" w:w="110"/>
              <w:bottom w:type="dxa" w:w="70"/>
              <w:right w:type="dxa" w:w="110"/>
            </w:tcMar>
          </w:tcPr>
          <w:p>
            <w:pPr>
              <w:spacing w:after="0"/>
            </w:pPr>
            <w:r>
              <w:t xml:space="preserve">TSIIC</w:t>
            </w:r>
          </w:p>
        </w:tc>
        <w:tc>
          <w:tcPr>
            <w:tcMar>
              <w:top w:type="dxa" w:w="70"/>
              <w:left w:type="dxa" w:w="110"/>
              <w:bottom w:type="dxa" w:w="70"/>
              <w:right w:type="dxa" w:w="110"/>
            </w:tcMar>
          </w:tcPr>
          <w:p>
            <w:pPr>
              <w:spacing w:after="0"/>
            </w:pPr>
            <w:r>
              <w:t xml:space="preserve">TS-iPASS linked</w:t>
            </w:r>
          </w:p>
        </w:tc>
      </w:tr>
      <w:tr>
        <w:trPr>
          <w:cantSplit/>
          <w:tblHeader w:val="false"/>
        </w:trPr>
        <w:tc>
          <w:tcPr>
            <w:tcMar>
              <w:top w:type="dxa" w:w="70"/>
              <w:left w:type="dxa" w:w="110"/>
              <w:bottom w:type="dxa" w:w="70"/>
              <w:right w:type="dxa" w:w="110"/>
            </w:tcMar>
          </w:tcPr>
          <w:p>
            <w:pPr>
              <w:spacing w:after="0"/>
            </w:pPr>
            <w:r>
              <w:t xml:space="preserve">Tripura</w:t>
            </w:r>
          </w:p>
        </w:tc>
        <w:tc>
          <w:tcPr>
            <w:tcMar>
              <w:top w:type="dxa" w:w="70"/>
              <w:left w:type="dxa" w:w="110"/>
              <w:bottom w:type="dxa" w:w="70"/>
              <w:right w:type="dxa" w:w="110"/>
            </w:tcMar>
          </w:tcPr>
          <w:p>
            <w:pPr>
              <w:spacing w:after="0"/>
            </w:pPr>
            <w:r>
              <w:t xml:space="preserve">TIDC</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Uttar Pradesh</w:t>
            </w:r>
          </w:p>
        </w:tc>
        <w:tc>
          <w:tcPr>
            <w:tcMar>
              <w:top w:type="dxa" w:w="70"/>
              <w:left w:type="dxa" w:w="110"/>
              <w:bottom w:type="dxa" w:w="70"/>
              <w:right w:type="dxa" w:w="110"/>
            </w:tcMar>
          </w:tcPr>
          <w:p>
            <w:pPr>
              <w:spacing w:after="0"/>
            </w:pPr>
            <w:r>
              <w:t xml:space="preserve">UPSIDA, plus NOIDA, Greater NOIDA, YEIDA authorities</w:t>
            </w:r>
          </w:p>
        </w:tc>
        <w:tc>
          <w:tcPr>
            <w:tcMar>
              <w:top w:type="dxa" w:w="70"/>
              <w:left w:type="dxa" w:w="110"/>
              <w:bottom w:type="dxa" w:w="70"/>
              <w:right w:type="dxa" w:w="110"/>
            </w:tcMar>
          </w:tcPr>
          <w:p>
            <w:pPr>
              <w:spacing w:after="0"/>
            </w:pPr>
            <w:r>
              <w:t xml:space="preserve">The NCR authorities are separate statutory bodies with their own rules</w:t>
            </w:r>
          </w:p>
        </w:tc>
      </w:tr>
      <w:tr>
        <w:trPr>
          <w:cantSplit/>
          <w:tblHeader w:val="false"/>
        </w:trPr>
        <w:tc>
          <w:tcPr>
            <w:tcMar>
              <w:top w:type="dxa" w:w="70"/>
              <w:left w:type="dxa" w:w="110"/>
              <w:bottom w:type="dxa" w:w="70"/>
              <w:right w:type="dxa" w:w="110"/>
            </w:tcMar>
          </w:tcPr>
          <w:p>
            <w:pPr>
              <w:spacing w:after="0"/>
            </w:pPr>
            <w:r>
              <w:t xml:space="preserve">Uttarakhand</w:t>
            </w:r>
          </w:p>
        </w:tc>
        <w:tc>
          <w:tcPr>
            <w:tcMar>
              <w:top w:type="dxa" w:w="70"/>
              <w:left w:type="dxa" w:w="110"/>
              <w:bottom w:type="dxa" w:w="70"/>
              <w:right w:type="dxa" w:w="110"/>
            </w:tcMar>
          </w:tcPr>
          <w:p>
            <w:pPr>
              <w:spacing w:after="0"/>
            </w:pPr>
            <w:r>
              <w:t xml:space="preserve">SIIDCUL</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West Bengal</w:t>
            </w:r>
          </w:p>
        </w:tc>
        <w:tc>
          <w:tcPr>
            <w:tcMar>
              <w:top w:type="dxa" w:w="70"/>
              <w:left w:type="dxa" w:w="110"/>
              <w:bottom w:type="dxa" w:w="70"/>
              <w:right w:type="dxa" w:w="110"/>
            </w:tcMar>
          </w:tcPr>
          <w:p>
            <w:pPr>
              <w:spacing w:after="0"/>
            </w:pPr>
            <w:r>
              <w:t xml:space="preserve">WBIDC</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Delhi</w:t>
            </w:r>
          </w:p>
        </w:tc>
        <w:tc>
          <w:tcPr>
            <w:tcMar>
              <w:top w:type="dxa" w:w="70"/>
              <w:left w:type="dxa" w:w="110"/>
              <w:bottom w:type="dxa" w:w="70"/>
              <w:right w:type="dxa" w:w="110"/>
            </w:tcMar>
          </w:tcPr>
          <w:p>
            <w:pPr>
              <w:spacing w:after="0"/>
            </w:pPr>
            <w:r>
              <w:t xml:space="preserve">DSIIDC</w:t>
            </w:r>
          </w:p>
        </w:tc>
        <w:tc>
          <w:tcPr>
            <w:tcMar>
              <w:top w:type="dxa" w:w="70"/>
              <w:left w:type="dxa" w:w="110"/>
              <w:bottom w:type="dxa" w:w="70"/>
              <w:right w:type="dxa" w:w="110"/>
            </w:tcMar>
          </w:tcPr>
          <w:p>
            <w:pPr>
              <w:spacing w:after="0"/>
            </w:pPr>
            <w:r>
              <w:t xml:space="preserve">Limited; Delhi is largely non-manufacturing by policy</w:t>
            </w:r>
          </w:p>
        </w:tc>
      </w:tr>
      <w:tr>
        <w:trPr>
          <w:cantSplit/>
          <w:tblHeader w:val="false"/>
        </w:trPr>
        <w:tc>
          <w:tcPr>
            <w:tcMar>
              <w:top w:type="dxa" w:w="70"/>
              <w:left w:type="dxa" w:w="110"/>
              <w:bottom w:type="dxa" w:w="70"/>
              <w:right w:type="dxa" w:w="110"/>
            </w:tcMar>
          </w:tcPr>
          <w:p>
            <w:pPr>
              <w:spacing w:after="0"/>
            </w:pPr>
            <w:r>
              <w:t xml:space="preserve">Jammu &amp; Kashmir</w:t>
            </w:r>
          </w:p>
        </w:tc>
        <w:tc>
          <w:tcPr>
            <w:tcMar>
              <w:top w:type="dxa" w:w="70"/>
              <w:left w:type="dxa" w:w="110"/>
              <w:bottom w:type="dxa" w:w="70"/>
              <w:right w:type="dxa" w:w="110"/>
            </w:tcMar>
          </w:tcPr>
          <w:p>
            <w:pPr>
              <w:spacing w:after="0"/>
            </w:pPr>
            <w:r>
              <w:t xml:space="preserve">JKIDC and SIDCO</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Puducherry</w:t>
            </w:r>
          </w:p>
        </w:tc>
        <w:tc>
          <w:tcPr>
            <w:tcMar>
              <w:top w:type="dxa" w:w="70"/>
              <w:left w:type="dxa" w:w="110"/>
              <w:bottom w:type="dxa" w:w="70"/>
              <w:right w:type="dxa" w:w="110"/>
            </w:tcMar>
          </w:tcPr>
          <w:p>
            <w:pPr>
              <w:spacing w:after="0"/>
            </w:pPr>
            <w:r>
              <w:t xml:space="preserve">PIPDIC</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Chandigarh</w:t>
            </w:r>
          </w:p>
        </w:tc>
        <w:tc>
          <w:tcPr>
            <w:tcMar>
              <w:top w:type="dxa" w:w="70"/>
              <w:left w:type="dxa" w:w="110"/>
              <w:bottom w:type="dxa" w:w="70"/>
              <w:right w:type="dxa" w:w="110"/>
            </w:tcMar>
          </w:tcPr>
          <w:p>
            <w:pPr>
              <w:spacing w:after="0"/>
            </w:pPr>
            <w:r>
              <w:t xml:space="preserve">CITCO</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Andaman &amp; Nicobar</w:t>
            </w:r>
          </w:p>
        </w:tc>
        <w:tc>
          <w:tcPr>
            <w:tcMar>
              <w:top w:type="dxa" w:w="70"/>
              <w:left w:type="dxa" w:w="110"/>
              <w:bottom w:type="dxa" w:w="70"/>
              <w:right w:type="dxa" w:w="110"/>
            </w:tcMar>
          </w:tcPr>
          <w:p>
            <w:pPr>
              <w:spacing w:after="0"/>
            </w:pPr>
            <w:r>
              <w:t xml:space="preserve">ANIIDCO</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DNH and Daman &amp; Diu</w:t>
            </w:r>
          </w:p>
        </w:tc>
        <w:tc>
          <w:tcPr>
            <w:tcMar>
              <w:top w:type="dxa" w:w="70"/>
              <w:left w:type="dxa" w:w="110"/>
              <w:bottom w:type="dxa" w:w="70"/>
              <w:right w:type="dxa" w:w="110"/>
            </w:tcMar>
          </w:tcPr>
          <w:p>
            <w:pPr>
              <w:spacing w:after="0"/>
            </w:pPr>
            <w:r>
              <w:t xml:space="preserve">OIDC</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Ladakh</w:t>
            </w:r>
          </w:p>
        </w:tc>
        <w:tc>
          <w:tcPr>
            <w:tcMar>
              <w:top w:type="dxa" w:w="70"/>
              <w:left w:type="dxa" w:w="110"/>
              <w:bottom w:type="dxa" w:w="70"/>
              <w:right w:type="dxa" w:w="110"/>
            </w:tcMar>
          </w:tcPr>
          <w:p>
            <w:pPr>
              <w:spacing w:after="0"/>
            </w:pPr>
            <w:r>
              <w:t xml:space="preserve">Industries Department</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Lakshadweep</w:t>
            </w:r>
          </w:p>
        </w:tc>
        <w:tc>
          <w:tcPr>
            <w:tcMar>
              <w:top w:type="dxa" w:w="70"/>
              <w:left w:type="dxa" w:w="110"/>
              <w:bottom w:type="dxa" w:w="70"/>
              <w:right w:type="dxa" w:w="110"/>
            </w:tcMar>
          </w:tcPr>
          <w:p>
            <w:pPr>
              <w:spacing w:after="0"/>
            </w:pPr>
            <w:r>
              <w:t xml:space="preserve">Administration Industries Department</w:t>
            </w:r>
          </w:p>
        </w:tc>
        <w:tc>
          <w:tcPr>
            <w:tcMar>
              <w:top w:type="dxa" w:w="70"/>
              <w:left w:type="dxa" w:w="110"/>
              <w:bottom w:type="dxa" w:w="70"/>
              <w:right w:type="dxa" w:w="110"/>
            </w:tcMar>
          </w:tcPr>
          <w:p>
            <w:pPr>
              <w:spacing w:after="0"/>
            </w:pPr>
          </w:p>
        </w:tc>
      </w:tr>
    </w:tbl>
    <w:p>
      <w:pPr>
        <w:spacing w:after="40"/>
      </w:pPr>
    </w:p>
    <w:p>
      <w:pPr>
        <w:pStyle w:val="Heading2"/>
        <w:keepNext/>
        <w:keepLines/>
      </w:pPr>
      <w:r>
        <w:t xml:space="preserve">5.3 Building Plan and Development Control</w:t>
      </w:r>
    </w:p>
    <w:p>
      <w:r>
        <w:t xml:space="preserve">Approval sits with the local planning authority, whose identity varies by city:</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City / Region</w:t>
            </w:r>
          </w:p>
        </w:tc>
        <w:tc>
          <w:tcPr>
            <w:shd w:fill="F0F4FE"/>
            <w:tcMar>
              <w:top w:type="dxa" w:w="70"/>
              <w:left w:type="dxa" w:w="110"/>
              <w:bottom w:type="dxa" w:w="70"/>
              <w:right w:type="dxa" w:w="110"/>
            </w:tcMar>
          </w:tcPr>
          <w:p>
            <w:pPr>
              <w:spacing w:after="0"/>
            </w:pPr>
            <w:r>
              <w:rPr>
                <w:b/>
                <w:bCs/>
                <w:color w:val="112D6A"/>
              </w:rPr>
              <w:t xml:space="preserve">Authority</w:t>
            </w:r>
          </w:p>
        </w:tc>
      </w:tr>
      <w:tr>
        <w:trPr>
          <w:cantSplit/>
          <w:tblHeader w:val="false"/>
        </w:trPr>
        <w:tc>
          <w:tcPr>
            <w:tcMar>
              <w:top w:type="dxa" w:w="70"/>
              <w:left w:type="dxa" w:w="110"/>
              <w:bottom w:type="dxa" w:w="70"/>
              <w:right w:type="dxa" w:w="110"/>
            </w:tcMar>
          </w:tcPr>
          <w:p>
            <w:pPr>
              <w:spacing w:after="0"/>
            </w:pPr>
            <w:r>
              <w:t xml:space="preserve">Chennai region</w:t>
            </w:r>
          </w:p>
        </w:tc>
        <w:tc>
          <w:tcPr>
            <w:tcMar>
              <w:top w:type="dxa" w:w="70"/>
              <w:left w:type="dxa" w:w="110"/>
              <w:bottom w:type="dxa" w:w="70"/>
              <w:right w:type="dxa" w:w="110"/>
            </w:tcMar>
          </w:tcPr>
          <w:p>
            <w:pPr>
              <w:spacing w:after="0"/>
            </w:pPr>
            <w:r>
              <w:t xml:space="preserve">CMDA (Chennai Metropolitan Development Authority)</w:t>
            </w:r>
          </w:p>
        </w:tc>
      </w:tr>
      <w:tr>
        <w:trPr>
          <w:cantSplit/>
          <w:tblHeader w:val="false"/>
        </w:trPr>
        <w:tc>
          <w:tcPr>
            <w:tcMar>
              <w:top w:type="dxa" w:w="70"/>
              <w:left w:type="dxa" w:w="110"/>
              <w:bottom w:type="dxa" w:w="70"/>
              <w:right w:type="dxa" w:w="110"/>
            </w:tcMar>
          </w:tcPr>
          <w:p>
            <w:pPr>
              <w:spacing w:after="0"/>
            </w:pPr>
            <w:r>
              <w:t xml:space="preserve">Rest of Tamil Nadu</w:t>
            </w:r>
          </w:p>
        </w:tc>
        <w:tc>
          <w:tcPr>
            <w:tcMar>
              <w:top w:type="dxa" w:w="70"/>
              <w:left w:type="dxa" w:w="110"/>
              <w:bottom w:type="dxa" w:w="70"/>
              <w:right w:type="dxa" w:w="110"/>
            </w:tcMar>
          </w:tcPr>
          <w:p>
            <w:pPr>
              <w:spacing w:after="0"/>
            </w:pPr>
            <w:r>
              <w:t xml:space="preserve">DTCP and local planning authorities</w:t>
            </w:r>
          </w:p>
        </w:tc>
      </w:tr>
      <w:tr>
        <w:trPr>
          <w:cantSplit/>
          <w:tblHeader w:val="false"/>
        </w:trPr>
        <w:tc>
          <w:tcPr>
            <w:tcMar>
              <w:top w:type="dxa" w:w="70"/>
              <w:left w:type="dxa" w:w="110"/>
              <w:bottom w:type="dxa" w:w="70"/>
              <w:right w:type="dxa" w:w="110"/>
            </w:tcMar>
          </w:tcPr>
          <w:p>
            <w:pPr>
              <w:spacing w:after="0"/>
            </w:pPr>
            <w:r>
              <w:t xml:space="preserve">Mumbai</w:t>
            </w:r>
          </w:p>
        </w:tc>
        <w:tc>
          <w:tcPr>
            <w:tcMar>
              <w:top w:type="dxa" w:w="70"/>
              <w:left w:type="dxa" w:w="110"/>
              <w:bottom w:type="dxa" w:w="70"/>
              <w:right w:type="dxa" w:w="110"/>
            </w:tcMar>
          </w:tcPr>
          <w:p>
            <w:pPr>
              <w:spacing w:after="0"/>
            </w:pPr>
            <w:r>
              <w:t xml:space="preserve">MCGM under MRTP Act; MMRDA for the metropolitan region</w:t>
            </w:r>
          </w:p>
        </w:tc>
      </w:tr>
      <w:tr>
        <w:trPr>
          <w:cantSplit/>
          <w:tblHeader w:val="false"/>
        </w:trPr>
        <w:tc>
          <w:tcPr>
            <w:tcMar>
              <w:top w:type="dxa" w:w="70"/>
              <w:left w:type="dxa" w:w="110"/>
              <w:bottom w:type="dxa" w:w="70"/>
              <w:right w:type="dxa" w:w="110"/>
            </w:tcMar>
          </w:tcPr>
          <w:p>
            <w:pPr>
              <w:spacing w:after="0"/>
            </w:pPr>
            <w:r>
              <w:t xml:space="preserve">Rest of Maharashtra</w:t>
            </w:r>
          </w:p>
        </w:tc>
        <w:tc>
          <w:tcPr>
            <w:tcMar>
              <w:top w:type="dxa" w:w="70"/>
              <w:left w:type="dxa" w:w="110"/>
              <w:bottom w:type="dxa" w:w="70"/>
              <w:right w:type="dxa" w:w="110"/>
            </w:tcMar>
          </w:tcPr>
          <w:p>
            <w:pPr>
              <w:spacing w:after="0"/>
            </w:pPr>
            <w:r>
              <w:t xml:space="preserve">Municipal corporations and MRTP planning authorities; UDCPR applies statewide outside Mumbai</w:t>
            </w:r>
          </w:p>
        </w:tc>
      </w:tr>
      <w:tr>
        <w:trPr>
          <w:cantSplit/>
          <w:tblHeader w:val="false"/>
        </w:trPr>
        <w:tc>
          <w:tcPr>
            <w:tcMar>
              <w:top w:type="dxa" w:w="70"/>
              <w:left w:type="dxa" w:w="110"/>
              <w:bottom w:type="dxa" w:w="70"/>
              <w:right w:type="dxa" w:w="110"/>
            </w:tcMar>
          </w:tcPr>
          <w:p>
            <w:pPr>
              <w:spacing w:after="0"/>
            </w:pPr>
            <w:r>
              <w:t xml:space="preserve">Bengaluru</w:t>
            </w:r>
          </w:p>
        </w:tc>
        <w:tc>
          <w:tcPr>
            <w:tcMar>
              <w:top w:type="dxa" w:w="70"/>
              <w:left w:type="dxa" w:w="110"/>
              <w:bottom w:type="dxa" w:w="70"/>
              <w:right w:type="dxa" w:w="110"/>
            </w:tcMar>
          </w:tcPr>
          <w:p>
            <w:pPr>
              <w:spacing w:after="0"/>
            </w:pPr>
            <w:r>
              <w:t xml:space="preserve">BBMP and BDA</w:t>
            </w:r>
          </w:p>
        </w:tc>
      </w:tr>
      <w:tr>
        <w:trPr>
          <w:cantSplit/>
          <w:tblHeader w:val="false"/>
        </w:trPr>
        <w:tc>
          <w:tcPr>
            <w:tcMar>
              <w:top w:type="dxa" w:w="70"/>
              <w:left w:type="dxa" w:w="110"/>
              <w:bottom w:type="dxa" w:w="70"/>
              <w:right w:type="dxa" w:w="110"/>
            </w:tcMar>
          </w:tcPr>
          <w:p>
            <w:pPr>
              <w:spacing w:after="0"/>
            </w:pPr>
            <w:r>
              <w:t xml:space="preserve">Hyderabad</w:t>
            </w:r>
          </w:p>
        </w:tc>
        <w:tc>
          <w:tcPr>
            <w:tcMar>
              <w:top w:type="dxa" w:w="70"/>
              <w:left w:type="dxa" w:w="110"/>
              <w:bottom w:type="dxa" w:w="70"/>
              <w:right w:type="dxa" w:w="110"/>
            </w:tcMar>
          </w:tcPr>
          <w:p>
            <w:pPr>
              <w:spacing w:after="0"/>
            </w:pPr>
            <w:r>
              <w:t xml:space="preserve">GHMC and HMDA; TS-bPASS for instant approvals</w:t>
            </w:r>
          </w:p>
        </w:tc>
      </w:tr>
      <w:tr>
        <w:trPr>
          <w:cantSplit/>
          <w:tblHeader w:val="false"/>
        </w:trPr>
        <w:tc>
          <w:tcPr>
            <w:tcMar>
              <w:top w:type="dxa" w:w="70"/>
              <w:left w:type="dxa" w:w="110"/>
              <w:bottom w:type="dxa" w:w="70"/>
              <w:right w:type="dxa" w:w="110"/>
            </w:tcMar>
          </w:tcPr>
          <w:p>
            <w:pPr>
              <w:spacing w:after="0"/>
            </w:pPr>
            <w:r>
              <w:t xml:space="preserve">Delhi</w:t>
            </w:r>
          </w:p>
        </w:tc>
        <w:tc>
          <w:tcPr>
            <w:tcMar>
              <w:top w:type="dxa" w:w="70"/>
              <w:left w:type="dxa" w:w="110"/>
              <w:bottom w:type="dxa" w:w="70"/>
              <w:right w:type="dxa" w:w="110"/>
            </w:tcMar>
          </w:tcPr>
          <w:p>
            <w:pPr>
              <w:spacing w:after="0"/>
            </w:pPr>
            <w:r>
              <w:t xml:space="preserve">DDA, plus MCD/NDMC</w:t>
            </w:r>
          </w:p>
        </w:tc>
      </w:tr>
      <w:tr>
        <w:trPr>
          <w:cantSplit/>
          <w:tblHeader w:val="false"/>
        </w:trPr>
        <w:tc>
          <w:tcPr>
            <w:tcMar>
              <w:top w:type="dxa" w:w="70"/>
              <w:left w:type="dxa" w:w="110"/>
              <w:bottom w:type="dxa" w:w="70"/>
              <w:right w:type="dxa" w:w="110"/>
            </w:tcMar>
          </w:tcPr>
          <w:p>
            <w:pPr>
              <w:spacing w:after="0"/>
            </w:pPr>
            <w:r>
              <w:t xml:space="preserve">NOIDA / Greater NOIDA</w:t>
            </w:r>
          </w:p>
        </w:tc>
        <w:tc>
          <w:tcPr>
            <w:tcMar>
              <w:top w:type="dxa" w:w="70"/>
              <w:left w:type="dxa" w:w="110"/>
              <w:bottom w:type="dxa" w:w="70"/>
              <w:right w:type="dxa" w:w="110"/>
            </w:tcMar>
          </w:tcPr>
          <w:p>
            <w:pPr>
              <w:spacing w:after="0"/>
            </w:pPr>
            <w:r>
              <w:t xml:space="preserve">NOIDA and GNIDA authorities directly</w:t>
            </w:r>
          </w:p>
        </w:tc>
      </w:tr>
      <w:tr>
        <w:trPr>
          <w:cantSplit/>
          <w:tblHeader w:val="false"/>
        </w:trPr>
        <w:tc>
          <w:tcPr>
            <w:tcMar>
              <w:top w:type="dxa" w:w="70"/>
              <w:left w:type="dxa" w:w="110"/>
              <w:bottom w:type="dxa" w:w="70"/>
              <w:right w:type="dxa" w:w="110"/>
            </w:tcMar>
          </w:tcPr>
          <w:p>
            <w:pPr>
              <w:spacing w:after="0"/>
            </w:pPr>
            <w:r>
              <w:t xml:space="preserve">Kolkata</w:t>
            </w:r>
          </w:p>
        </w:tc>
        <w:tc>
          <w:tcPr>
            <w:tcMar>
              <w:top w:type="dxa" w:w="70"/>
              <w:left w:type="dxa" w:w="110"/>
              <w:bottom w:type="dxa" w:w="70"/>
              <w:right w:type="dxa" w:w="110"/>
            </w:tcMar>
          </w:tcPr>
          <w:p>
            <w:pPr>
              <w:spacing w:after="0"/>
            </w:pPr>
            <w:r>
              <w:t xml:space="preserve">KMC and KMDA</w:t>
            </w:r>
          </w:p>
        </w:tc>
      </w:tr>
      <w:tr>
        <w:trPr>
          <w:cantSplit/>
          <w:tblHeader w:val="false"/>
        </w:trPr>
        <w:tc>
          <w:tcPr>
            <w:tcMar>
              <w:top w:type="dxa" w:w="70"/>
              <w:left w:type="dxa" w:w="110"/>
              <w:bottom w:type="dxa" w:w="70"/>
              <w:right w:type="dxa" w:w="110"/>
            </w:tcMar>
          </w:tcPr>
          <w:p>
            <w:pPr>
              <w:spacing w:after="0"/>
            </w:pPr>
            <w:r>
              <w:t xml:space="preserve">Ahmedabad</w:t>
            </w:r>
          </w:p>
        </w:tc>
        <w:tc>
          <w:tcPr>
            <w:tcMar>
              <w:top w:type="dxa" w:w="70"/>
              <w:left w:type="dxa" w:w="110"/>
              <w:bottom w:type="dxa" w:w="70"/>
              <w:right w:type="dxa" w:w="110"/>
            </w:tcMar>
          </w:tcPr>
          <w:p>
            <w:pPr>
              <w:spacing w:after="0"/>
            </w:pPr>
            <w:r>
              <w:t xml:space="preserve">AMC and AUDA</w:t>
            </w:r>
          </w:p>
        </w:tc>
      </w:tr>
      <w:tr>
        <w:trPr>
          <w:cantSplit/>
          <w:tblHeader w:val="false"/>
        </w:trPr>
        <w:tc>
          <w:tcPr>
            <w:tcMar>
              <w:top w:type="dxa" w:w="70"/>
              <w:left w:type="dxa" w:w="110"/>
              <w:bottom w:type="dxa" w:w="70"/>
              <w:right w:type="dxa" w:w="110"/>
            </w:tcMar>
          </w:tcPr>
          <w:p>
            <w:pPr>
              <w:spacing w:after="0"/>
            </w:pPr>
            <w:r>
              <w:t xml:space="preserve">Pune</w:t>
            </w:r>
          </w:p>
        </w:tc>
        <w:tc>
          <w:tcPr>
            <w:tcMar>
              <w:top w:type="dxa" w:w="70"/>
              <w:left w:type="dxa" w:w="110"/>
              <w:bottom w:type="dxa" w:w="70"/>
              <w:right w:type="dxa" w:w="110"/>
            </w:tcMar>
          </w:tcPr>
          <w:p>
            <w:pPr>
              <w:spacing w:after="0"/>
            </w:pPr>
            <w:r>
              <w:t xml:space="preserve">PMC and PMRDA</w:t>
            </w:r>
          </w:p>
        </w:tc>
      </w:tr>
      <w:tr>
        <w:trPr>
          <w:cantSplit/>
          <w:tblHeader w:val="false"/>
        </w:trPr>
        <w:tc>
          <w:tcPr>
            <w:tcMar>
              <w:top w:type="dxa" w:w="70"/>
              <w:left w:type="dxa" w:w="110"/>
              <w:bottom w:type="dxa" w:w="70"/>
              <w:right w:type="dxa" w:w="110"/>
            </w:tcMar>
          </w:tcPr>
          <w:p>
            <w:pPr>
              <w:spacing w:after="0"/>
            </w:pPr>
            <w:r>
              <w:t xml:space="preserve">Jaipur</w:t>
            </w:r>
          </w:p>
        </w:tc>
        <w:tc>
          <w:tcPr>
            <w:tcMar>
              <w:top w:type="dxa" w:w="70"/>
              <w:left w:type="dxa" w:w="110"/>
              <w:bottom w:type="dxa" w:w="70"/>
              <w:right w:type="dxa" w:w="110"/>
            </w:tcMar>
          </w:tcPr>
          <w:p>
            <w:pPr>
              <w:spacing w:after="0"/>
            </w:pPr>
            <w:r>
              <w:t xml:space="preserve">JDA</w:t>
            </w:r>
          </w:p>
        </w:tc>
      </w:tr>
      <w:tr>
        <w:trPr>
          <w:cantSplit/>
          <w:tblHeader w:val="false"/>
        </w:trPr>
        <w:tc>
          <w:tcPr>
            <w:tcMar>
              <w:top w:type="dxa" w:w="70"/>
              <w:left w:type="dxa" w:w="110"/>
              <w:bottom w:type="dxa" w:w="70"/>
              <w:right w:type="dxa" w:w="110"/>
            </w:tcMar>
          </w:tcPr>
          <w:p>
            <w:pPr>
              <w:spacing w:after="0"/>
            </w:pPr>
            <w:r>
              <w:t xml:space="preserve">Lucknow</w:t>
            </w:r>
          </w:p>
        </w:tc>
        <w:tc>
          <w:tcPr>
            <w:tcMar>
              <w:top w:type="dxa" w:w="70"/>
              <w:left w:type="dxa" w:w="110"/>
              <w:bottom w:type="dxa" w:w="70"/>
              <w:right w:type="dxa" w:w="110"/>
            </w:tcMar>
          </w:tcPr>
          <w:p>
            <w:pPr>
              <w:spacing w:after="0"/>
            </w:pPr>
            <w:r>
              <w:t xml:space="preserve">LDA</w:t>
            </w:r>
          </w:p>
        </w:tc>
      </w:tr>
    </w:tbl>
    <w:p>
      <w:pPr>
        <w:spacing w:after="40"/>
      </w:pPr>
    </w:p>
    <w:p>
      <w:r>
        <w:t xml:space="preserve">Several states have introduced </w:t>
      </w:r>
      <w:r>
        <w:rPr>
          <w:b/>
          <w:bCs/>
        </w:rPr>
        <w:t xml:space="preserve">self-certification or deemed approval</w:t>
      </w:r>
      <w:r>
        <w:t xml:space="preserve"> for plots below a threshold — Telangana’s TS-bPASS is the most aggressive, granting instant approval for plots up to 75 sq yd and time-bound deemed approval above that. Karnataka, Gujarat and Madhya Pradesh have comparable but narrower schemes.</w:t>
      </w:r>
    </w:p>
    <w:p>
      <w:pPr>
        <w:pStyle w:val="Heading2"/>
        <w:keepNext/>
        <w:keepLines/>
      </w:pPr>
      <w:r>
        <w:t xml:space="preserve">5.4 Environmental Regulation</w:t>
      </w:r>
    </w:p>
    <w:p>
      <w:pPr>
        <w:pStyle w:val="Heading3"/>
        <w:keepNext/>
        <w:keepLines/>
      </w:pPr>
      <w:r>
        <w:t xml:space="preserve">5.4.1 Environmental Clearance</w:t>
      </w:r>
    </w:p>
    <w:p>
      <w:r>
        <w:t xml:space="preserve">Governed by the </w:t>
      </w:r>
      <w:r>
        <w:rPr>
          <w:b/>
          <w:bCs/>
        </w:rPr>
        <w:t xml:space="preserve">Environment (Protection) Act 1986</w:t>
      </w:r>
      <w:r>
        <w:t xml:space="preserve"> and the </w:t>
      </w:r>
      <w:r>
        <w:rPr>
          <w:b/>
          <w:bCs/>
        </w:rPr>
        <w:t xml:space="preserve">EIA Notification 2006</w:t>
      </w:r>
      <w:r>
        <w:t xml:space="preserve">:</w:t>
      </w:r>
    </w:p>
    <w:p>
      <w:pPr>
        <w:pStyle w:val="ListParagraph"/>
        <w:numPr>
          <w:ilvl w:val="0"/>
          <w:numId w:val="1"/>
        </w:numPr>
        <w:spacing w:after="60"/>
      </w:pPr>
      <w:r>
        <w:rPr>
          <w:b/>
          <w:bCs/>
        </w:rPr>
        <w:t xml:space="preserve">Category A</w:t>
      </w:r>
      <w:r>
        <w:t xml:space="preserve"> projects — appraised by the Expert Appraisal Committee and cleared by </w:t>
      </w:r>
      <w:r>
        <w:rPr>
          <w:b/>
          <w:bCs/>
        </w:rPr>
        <w:t xml:space="preserve">MoEFCC</w:t>
      </w:r>
      <w:r>
        <w:t xml:space="preserve"> at the Centre.</w:t>
      </w:r>
    </w:p>
    <w:p>
      <w:pPr>
        <w:pStyle w:val="ListParagraph"/>
        <w:numPr>
          <w:ilvl w:val="0"/>
          <w:numId w:val="1"/>
        </w:numPr>
        <w:spacing w:after="60"/>
      </w:pPr>
      <w:r>
        <w:rPr>
          <w:b/>
          <w:bCs/>
        </w:rPr>
        <w:t xml:space="preserve">Category B</w:t>
      </w:r>
      <w:r>
        <w:t xml:space="preserve"> projects — appraised by the State Expert Appraisal Committee and cleared by the </w:t>
      </w:r>
      <w:r>
        <w:rPr>
          <w:b/>
          <w:bCs/>
        </w:rPr>
        <w:t xml:space="preserve">State Environment Impact Assessment Authority (SEIAA)</w:t>
      </w:r>
      <w:r>
        <w:t xml:space="preserve">, constituted for each state by central notification.</w:t>
      </w:r>
    </w:p>
    <w:p>
      <w:pPr>
        <w:pStyle w:val="ListParagraph"/>
        <w:numPr>
          <w:ilvl w:val="0"/>
          <w:numId w:val="1"/>
        </w:numPr>
        <w:spacing w:after="60"/>
      </w:pPr>
      <w:r>
        <w:rPr>
          <w:b/>
          <w:bCs/>
        </w:rPr>
        <w:t xml:space="preserve">B1</w:t>
      </w:r>
      <w:r>
        <w:t xml:space="preserve"> requires an EIA study and public hearing; </w:t>
      </w:r>
      <w:r>
        <w:rPr>
          <w:b/>
          <w:bCs/>
        </w:rPr>
        <w:t xml:space="preserve">B2</w:t>
      </w:r>
      <w:r>
        <w:t xml:space="preserve"> is exempt from both.</w:t>
      </w:r>
    </w:p>
    <w:p>
      <w:r>
        <w:t xml:space="preserve">The </w:t>
      </w:r>
      <w:r>
        <w:rPr>
          <w:i/>
          <w:iCs/>
        </w:rPr>
        <w:t xml:space="preserve">framework</w:t>
      </w:r>
      <w:r>
        <w:t xml:space="preserve"> is uniform. What differs is the </w:t>
      </w:r>
      <w:r>
        <w:rPr>
          <w:b/>
          <w:bCs/>
        </w:rPr>
        <w:t xml:space="preserve">constitution, capacity and pendency of each SEIAA</w:t>
      </w:r>
      <w:r>
        <w:t xml:space="preserve">, and the conduct of the public hearing, which is run by the State Pollution Control Board under state practice.</w:t>
      </w:r>
    </w:p>
    <w:p>
      <w:pPr>
        <w:pStyle w:val="Heading3"/>
        <w:keepNext/>
        <w:keepLines/>
      </w:pPr>
      <w:r>
        <w:t xml:space="preserve">5.4.2 Consent to Establish and Consent to Operate</w:t>
      </w:r>
    </w:p>
    <w:p>
      <w:r>
        <w:t xml:space="preserve">Issued under the </w:t>
      </w:r>
      <w:r>
        <w:rPr>
          <w:b/>
          <w:bCs/>
        </w:rPr>
        <w:t xml:space="preserve">Water Act 1974</w:t>
      </w:r>
      <w:r>
        <w:t xml:space="preserve"> and </w:t>
      </w:r>
      <w:r>
        <w:rPr>
          <w:b/>
          <w:bCs/>
        </w:rPr>
        <w:t xml:space="preserve">Air Act 1981</w:t>
      </w:r>
      <w:r>
        <w:t xml:space="preserve"> by the State Pollution Control Board or UT Pollution Control Committee. Categorisation follows CPCB’s Red / Orange / Green / White classification, but:</w:t>
      </w:r>
    </w:p>
    <w:p>
      <w:pPr>
        <w:pStyle w:val="ListParagraph"/>
        <w:numPr>
          <w:ilvl w:val="0"/>
          <w:numId w:val="1"/>
        </w:numPr>
        <w:spacing w:after="60"/>
      </w:pPr>
      <w:r>
        <w:rPr>
          <w:b/>
          <w:bCs/>
        </w:rPr>
        <w:t xml:space="preserve">Consent validity</w:t>
      </w:r>
      <w:r>
        <w:t xml:space="preserve"> differs — commonly 5 years for Red, 10 for Orange, 15 for Green, with several states offering longer or lifetime consents for low-risk units.</w:t>
      </w:r>
    </w:p>
    <w:p>
      <w:pPr>
        <w:pStyle w:val="ListParagraph"/>
        <w:numPr>
          <w:ilvl w:val="0"/>
          <w:numId w:val="1"/>
        </w:numPr>
        <w:spacing w:after="60"/>
      </w:pPr>
      <w:r>
        <w:rPr>
          <w:b/>
          <w:bCs/>
        </w:rPr>
        <w:t xml:space="preserve">White category</w:t>
      </w:r>
      <w:r>
        <w:t xml:space="preserve"> units are exempt from consent in most states but require intimation in some.</w:t>
      </w:r>
    </w:p>
    <w:p>
      <w:pPr>
        <w:pStyle w:val="ListParagraph"/>
        <w:numPr>
          <w:ilvl w:val="0"/>
          <w:numId w:val="1"/>
        </w:numPr>
        <w:spacing w:after="60"/>
      </w:pPr>
      <w:r>
        <w:rPr>
          <w:b/>
          <w:bCs/>
        </w:rPr>
        <w:t xml:space="preserve">Fee structures</w:t>
      </w:r>
      <w:r>
        <w:t xml:space="preserve"> are set by each board, usually as a slab of gross fixed capital investment, and differ by an order of magnitude between boards.</w:t>
      </w:r>
    </w:p>
    <w:p>
      <w:pPr>
        <w:pStyle w:val="ListParagraph"/>
        <w:numPr>
          <w:ilvl w:val="0"/>
          <w:numId w:val="1"/>
        </w:numPr>
        <w:spacing w:after="60"/>
      </w:pPr>
      <w:r>
        <w:rPr>
          <w:b/>
          <w:bCs/>
        </w:rPr>
        <w:t xml:space="preserve">Inspection frequency</w:t>
      </w:r>
      <w:r>
        <w:t xml:space="preserve"> and the availability of self-certification or third-party audit differ.</w:t>
      </w:r>
    </w:p>
    <w:p>
      <w:pPr>
        <w:pStyle w:val="Heading3"/>
        <w:keepNext/>
        <w:keepLines/>
      </w:pPr>
      <w:r>
        <w:t xml:space="preserve">5.4.3 Pollution Control Boards and Committees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Type</w:t>
            </w:r>
          </w:p>
        </w:tc>
        <w:tc>
          <w:tcPr>
            <w:shd w:fill="F0F4FE"/>
            <w:tcMar>
              <w:top w:type="dxa" w:w="70"/>
              <w:left w:type="dxa" w:w="110"/>
              <w:bottom w:type="dxa" w:w="70"/>
              <w:right w:type="dxa" w:w="110"/>
            </w:tcMar>
          </w:tcPr>
          <w:p>
            <w:pPr>
              <w:spacing w:after="0"/>
            </w:pPr>
            <w:r>
              <w:rPr>
                <w:b/>
                <w:bCs/>
                <w:color w:val="112D6A"/>
              </w:rPr>
              <w:t xml:space="preserve">Bodies</w:t>
            </w:r>
          </w:p>
        </w:tc>
      </w:tr>
      <w:tr>
        <w:trPr>
          <w:cantSplit/>
          <w:tblHeader w:val="false"/>
        </w:trPr>
        <w:tc>
          <w:tcPr>
            <w:tcMar>
              <w:top w:type="dxa" w:w="70"/>
              <w:left w:type="dxa" w:w="110"/>
              <w:bottom w:type="dxa" w:w="70"/>
              <w:right w:type="dxa" w:w="110"/>
            </w:tcMar>
          </w:tcPr>
          <w:p>
            <w:pPr>
              <w:spacing w:after="0"/>
            </w:pPr>
            <w:r>
              <w:t xml:space="preserve">State Pollution Control Boards (28)</w:t>
            </w:r>
          </w:p>
        </w:tc>
        <w:tc>
          <w:tcPr>
            <w:tcMar>
              <w:top w:type="dxa" w:w="70"/>
              <w:left w:type="dxa" w:w="110"/>
              <w:bottom w:type="dxa" w:w="70"/>
              <w:right w:type="dxa" w:w="110"/>
            </w:tcMar>
          </w:tcPr>
          <w:p>
            <w:pPr>
              <w:spacing w:after="0"/>
            </w:pPr>
            <w:r>
              <w:t xml:space="preserve">TNPCB, MPCB, KSPCB (Karnataka), KSPCB (Kerala), GPCB, UPPCB, RSPCB, WBPCB, TSPCB, APPCB, PPCB (Punjab), HSPCB (Haryana), HPSPCB, CECB (Chhattisgarh), OSPCB (Odisha), BSPCB (Bihar), JSPCB (Jharkhand), MPPCB (Madhya Pradesh), UKPCB, GSPCB (Goa), ASPCB (Assam), and boards for Arunachal Pradesh, Manipur, Meghalaya, Mizoram, Nagaland, Sikkim, Tripura</w:t>
            </w:r>
          </w:p>
        </w:tc>
      </w:tr>
      <w:tr>
        <w:trPr>
          <w:cantSplit/>
          <w:tblHeader w:val="false"/>
        </w:trPr>
        <w:tc>
          <w:tcPr>
            <w:tcMar>
              <w:top w:type="dxa" w:w="70"/>
              <w:left w:type="dxa" w:w="110"/>
              <w:bottom w:type="dxa" w:w="70"/>
              <w:right w:type="dxa" w:w="110"/>
            </w:tcMar>
          </w:tcPr>
          <w:p>
            <w:pPr>
              <w:spacing w:after="0"/>
            </w:pPr>
            <w:r>
              <w:t xml:space="preserve">UT Pollution Control Committees</w:t>
            </w:r>
          </w:p>
        </w:tc>
        <w:tc>
          <w:tcPr>
            <w:tcMar>
              <w:top w:type="dxa" w:w="70"/>
              <w:left w:type="dxa" w:w="110"/>
              <w:bottom w:type="dxa" w:w="70"/>
              <w:right w:type="dxa" w:w="110"/>
            </w:tcMar>
          </w:tcPr>
          <w:p>
            <w:pPr>
              <w:spacing w:after="0"/>
            </w:pPr>
            <w:r>
              <w:t xml:space="preserve">DPCC (Delhi), CPCC (Chandigarh), PPCC (Puducherry), A&amp;N PCC, Lakshadweep PCC, DNH &amp; DD PCC, Ladakh PCC; J&amp;K operates a Pollution Control Committee/Board</w:t>
            </w:r>
          </w:p>
        </w:tc>
      </w:tr>
    </w:tbl>
    <w:p>
      <w:pPr>
        <w:spacing w:after="40"/>
      </w:pPr>
    </w:p>
    <w:p>
      <w:pPr>
        <w:pStyle w:val="Heading3"/>
        <w:keepNext/>
        <w:keepLines/>
      </w:pPr>
      <w:r>
        <w:t xml:space="preserve">5.4.4 Waste Management Rules</w:t>
      </w:r>
    </w:p>
    <w:p>
      <w:r>
        <w:t xml:space="preserve">Central rules — </w:t>
      </w:r>
      <w:r>
        <w:rPr>
          <w:b/>
          <w:bCs/>
        </w:rPr>
        <w:t xml:space="preserve">Hazardous &amp; Other Wastes (Management &amp; Transboundary Movement) Rules 2016, Bio-Medical Waste Management Rules 2016, Solid Waste Management Rules 2016, Plastic Waste Management Rules 2016, E-Waste (Management) Rules 2022, Construction &amp; Demolition Waste Rules 2016, Battery Waste Rules 2022</w:t>
      </w:r>
      <w:r>
        <w:t xml:space="preserve"> — apply nationwide, but:</w:t>
      </w:r>
    </w:p>
    <w:p>
      <w:pPr>
        <w:pStyle w:val="ListParagraph"/>
        <w:numPr>
          <w:ilvl w:val="0"/>
          <w:numId w:val="1"/>
        </w:numPr>
        <w:spacing w:after="60"/>
      </w:pPr>
      <w:r>
        <w:rPr>
          <w:b/>
          <w:bCs/>
        </w:rPr>
        <w:t xml:space="preserve">Authorisation</w:t>
      </w:r>
      <w:r>
        <w:t xml:space="preserve"> is granted by the State PCB.</w:t>
      </w:r>
    </w:p>
    <w:p>
      <w:pPr>
        <w:pStyle w:val="ListParagraph"/>
        <w:numPr>
          <w:ilvl w:val="0"/>
          <w:numId w:val="1"/>
        </w:numPr>
        <w:spacing w:after="60"/>
      </w:pPr>
      <w:r>
        <w:rPr>
          <w:b/>
          <w:bCs/>
        </w:rPr>
        <w:t xml:space="preserve">Extended Producer Responsibility (EPR)</w:t>
      </w:r>
      <w:r>
        <w:t xml:space="preserve"> registration is central through the CPCB portal.</w:t>
      </w:r>
    </w:p>
    <w:p>
      <w:pPr>
        <w:pStyle w:val="ListParagraph"/>
        <w:numPr>
          <w:ilvl w:val="0"/>
          <w:numId w:val="1"/>
        </w:numPr>
        <w:spacing w:after="60"/>
      </w:pPr>
      <w:r>
        <w:rPr>
          <w:b/>
          <w:bCs/>
        </w:rPr>
        <w:t xml:space="preserve">Single-use plastic bans</w:t>
      </w:r>
      <w:r>
        <w:t xml:space="preserve"> were nationally notified but several states (Maharashtra, Tamil Nadu, Himachal Pradesh, Sikkim) had their own earlier and broader bans that remain in force with different item lists and penalties.</w:t>
      </w:r>
    </w:p>
    <w:p>
      <w:pPr>
        <w:pStyle w:val="ListParagraph"/>
        <w:numPr>
          <w:ilvl w:val="0"/>
          <w:numId w:val="1"/>
        </w:numPr>
        <w:spacing w:after="60"/>
      </w:pPr>
      <w:r>
        <w:rPr>
          <w:b/>
          <w:bCs/>
        </w:rPr>
        <w:t xml:space="preserve">Common treatment facility availability</w:t>
      </w:r>
      <w:r>
        <w:t xml:space="preserve"> — CBWTF for biomedical waste, TSDF for hazardous waste — varies by state, which practically determines whether compliance is even achievable.</w:t>
      </w:r>
    </w:p>
    <w:p>
      <w:pPr>
        <w:pStyle w:val="Heading1"/>
        <w:keepNext/>
        <w:keepLines/>
        <w:pBdr>
          <w:bottom w:val="single" w:color="2157CF" w:sz="8" w:space="3"/>
        </w:pBdr>
      </w:pPr>
      <w:r>
        <w:t xml:space="preserve">6. Sector-Specific Licensing</w:t>
      </w:r>
    </w:p>
    <w:p>
      <w:pPr>
        <w:pStyle w:val="Heading2"/>
        <w:keepNext/>
        <w:keepLines/>
      </w:pPr>
      <w:r>
        <w:t xml:space="preserve">6.1 Excise — The Most Divergent Sector in India</w:t>
      </w:r>
    </w:p>
    <w:p>
      <w:r>
        <w:t xml:space="preserve">Alcohol for human consumption is Entry 8 of the State List, expressly excluded from GST. There is no central uniformity whatsoever.</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Model</w:t>
            </w:r>
          </w:p>
        </w:tc>
        <w:tc>
          <w:tcPr>
            <w:shd w:fill="F0F4FE"/>
            <w:tcMar>
              <w:top w:type="dxa" w:w="70"/>
              <w:left w:type="dxa" w:w="110"/>
              <w:bottom w:type="dxa" w:w="70"/>
              <w:right w:type="dxa" w:w="110"/>
            </w:tcMar>
          </w:tcPr>
          <w:p>
            <w:pPr>
              <w:spacing w:after="0"/>
            </w:pPr>
            <w:r>
              <w:rPr>
                <w:b/>
                <w:bCs/>
                <w:color w:val="112D6A"/>
              </w:rPr>
              <w:t xml:space="preserve">States / UTs</w:t>
            </w:r>
          </w:p>
        </w:tc>
        <w:tc>
          <w:tcPr>
            <w:shd w:fill="F0F4FE"/>
            <w:tcMar>
              <w:top w:type="dxa" w:w="70"/>
              <w:left w:type="dxa" w:w="110"/>
              <w:bottom w:type="dxa" w:w="70"/>
              <w:right w:type="dxa" w:w="110"/>
            </w:tcMar>
          </w:tcPr>
          <w:p>
            <w:pPr>
              <w:spacing w:after="0"/>
            </w:pPr>
            <w:r>
              <w:rPr>
                <w:b/>
                <w:bCs/>
                <w:color w:val="112D6A"/>
              </w:rPr>
              <w:t xml:space="preserve">Characteristics</w:t>
            </w:r>
          </w:p>
        </w:tc>
      </w:tr>
      <w:tr>
        <w:trPr>
          <w:cantSplit/>
          <w:tblHeader w:val="false"/>
        </w:trPr>
        <w:tc>
          <w:tcPr>
            <w:tcMar>
              <w:top w:type="dxa" w:w="70"/>
              <w:left w:type="dxa" w:w="110"/>
              <w:bottom w:type="dxa" w:w="70"/>
              <w:right w:type="dxa" w:w="110"/>
            </w:tcMar>
          </w:tcPr>
          <w:p>
            <w:pPr>
              <w:spacing w:after="0"/>
            </w:pPr>
            <w:r>
              <w:rPr>
                <w:b/>
                <w:bCs/>
              </w:rPr>
              <w:t xml:space="preserve">State-run retail monopoly</w:t>
            </w:r>
          </w:p>
        </w:tc>
        <w:tc>
          <w:tcPr>
            <w:tcMar>
              <w:top w:type="dxa" w:w="70"/>
              <w:left w:type="dxa" w:w="110"/>
              <w:bottom w:type="dxa" w:w="70"/>
              <w:right w:type="dxa" w:w="110"/>
            </w:tcMar>
          </w:tcPr>
          <w:p>
            <w:pPr>
              <w:spacing w:after="0"/>
            </w:pPr>
            <w:r>
              <w:t xml:space="preserve">Tamil Nadu (TASMAC), Kerala (Bevco/Consumerfed), Chhattisgarh, Andhra Pradesh (state retail), Delhi (returned to government corporations after the 2021–22 private policy was withdrawn)</w:t>
            </w:r>
          </w:p>
        </w:tc>
        <w:tc>
          <w:tcPr>
            <w:tcMar>
              <w:top w:type="dxa" w:w="70"/>
              <w:left w:type="dxa" w:w="110"/>
              <w:bottom w:type="dxa" w:w="70"/>
              <w:right w:type="dxa" w:w="110"/>
            </w:tcMar>
          </w:tcPr>
          <w:p>
            <w:pPr>
              <w:spacing w:after="0"/>
            </w:pPr>
            <w:r>
              <w:t xml:space="preserve">Government owns retail; private manufacture permitted</w:t>
            </w:r>
          </w:p>
        </w:tc>
      </w:tr>
      <w:tr>
        <w:trPr>
          <w:cantSplit/>
          <w:tblHeader w:val="false"/>
        </w:trPr>
        <w:tc>
          <w:tcPr>
            <w:tcMar>
              <w:top w:type="dxa" w:w="70"/>
              <w:left w:type="dxa" w:w="110"/>
              <w:bottom w:type="dxa" w:w="70"/>
              <w:right w:type="dxa" w:w="110"/>
            </w:tcMar>
          </w:tcPr>
          <w:p>
            <w:pPr>
              <w:spacing w:after="0"/>
            </w:pPr>
            <w:r>
              <w:rPr>
                <w:b/>
                <w:bCs/>
              </w:rPr>
              <w:t xml:space="preserve">Private licensed retail</w:t>
            </w:r>
          </w:p>
        </w:tc>
        <w:tc>
          <w:tcPr>
            <w:tcMar>
              <w:top w:type="dxa" w:w="70"/>
              <w:left w:type="dxa" w:w="110"/>
              <w:bottom w:type="dxa" w:w="70"/>
              <w:right w:type="dxa" w:w="110"/>
            </w:tcMar>
          </w:tcPr>
          <w:p>
            <w:pPr>
              <w:spacing w:after="0"/>
            </w:pPr>
            <w:r>
              <w:t xml:space="preserve">Maharashtra, Karnataka, Telangana, Punjab, Haryana, Rajasthan, Goa, West Bengal, Uttar Pradesh, Madhya Pradesh, Odisha, Assam, Himachal Pradesh, Uttarakhand, Jharkhand, Puducherry and most others</w:t>
            </w:r>
          </w:p>
        </w:tc>
        <w:tc>
          <w:tcPr>
            <w:tcMar>
              <w:top w:type="dxa" w:w="70"/>
              <w:left w:type="dxa" w:w="110"/>
              <w:bottom w:type="dxa" w:w="70"/>
              <w:right w:type="dxa" w:w="110"/>
            </w:tcMar>
          </w:tcPr>
          <w:p>
            <w:pPr>
              <w:spacing w:after="0"/>
            </w:pPr>
            <w:r>
              <w:t xml:space="preserve">Auction or lottery-allotted licences</w:t>
            </w:r>
          </w:p>
        </w:tc>
      </w:tr>
      <w:tr>
        <w:trPr>
          <w:cantSplit/>
          <w:tblHeader w:val="false"/>
        </w:trPr>
        <w:tc>
          <w:tcPr>
            <w:tcMar>
              <w:top w:type="dxa" w:w="70"/>
              <w:left w:type="dxa" w:w="110"/>
              <w:bottom w:type="dxa" w:w="70"/>
              <w:right w:type="dxa" w:w="110"/>
            </w:tcMar>
          </w:tcPr>
          <w:p>
            <w:pPr>
              <w:spacing w:after="0"/>
            </w:pPr>
            <w:r>
              <w:rPr>
                <w:b/>
                <w:bCs/>
              </w:rPr>
              <w:t xml:space="preserve">Full or substantial prohibition</w:t>
            </w:r>
          </w:p>
        </w:tc>
        <w:tc>
          <w:tcPr>
            <w:tcMar>
              <w:top w:type="dxa" w:w="70"/>
              <w:left w:type="dxa" w:w="110"/>
              <w:bottom w:type="dxa" w:w="70"/>
              <w:right w:type="dxa" w:w="110"/>
            </w:tcMar>
          </w:tcPr>
          <w:p>
            <w:pPr>
              <w:spacing w:after="0"/>
            </w:pPr>
            <w:r>
              <w:t xml:space="preserve">Gujarat (since 1960, with permit system for visitors), Bihar (since 2016), Nagaland (since 1989), Mizoram (varying — prohibition, relaxation, re-imposition cycles), Lakshadweep (except Bangaram)</w:t>
            </w:r>
          </w:p>
        </w:tc>
        <w:tc>
          <w:tcPr>
            <w:tcMar>
              <w:top w:type="dxa" w:w="70"/>
              <w:left w:type="dxa" w:w="110"/>
              <w:bottom w:type="dxa" w:w="70"/>
              <w:right w:type="dxa" w:w="110"/>
            </w:tcMar>
          </w:tcPr>
          <w:p>
            <w:pPr>
              <w:spacing w:after="0"/>
            </w:pPr>
            <w:r>
              <w:t xml:space="preserve">Manufacture and sale banned; heavy enforcement machinery</w:t>
            </w:r>
          </w:p>
        </w:tc>
      </w:tr>
      <w:tr>
        <w:trPr>
          <w:cantSplit/>
          <w:tblHeader w:val="false"/>
        </w:trPr>
        <w:tc>
          <w:tcPr>
            <w:tcMar>
              <w:top w:type="dxa" w:w="70"/>
              <w:left w:type="dxa" w:w="110"/>
              <w:bottom w:type="dxa" w:w="70"/>
              <w:right w:type="dxa" w:w="110"/>
            </w:tcMar>
          </w:tcPr>
          <w:p>
            <w:pPr>
              <w:spacing w:after="0"/>
            </w:pPr>
            <w:r>
              <w:rPr>
                <w:b/>
                <w:bCs/>
              </w:rPr>
              <w:t xml:space="preserve">Distinctive low-duty regimes</w:t>
            </w:r>
          </w:p>
        </w:tc>
        <w:tc>
          <w:tcPr>
            <w:tcMar>
              <w:top w:type="dxa" w:w="70"/>
              <w:left w:type="dxa" w:w="110"/>
              <w:bottom w:type="dxa" w:w="70"/>
              <w:right w:type="dxa" w:w="110"/>
            </w:tcMar>
          </w:tcPr>
          <w:p>
            <w:pPr>
              <w:spacing w:after="0"/>
            </w:pPr>
            <w:r>
              <w:t xml:space="preserve">Goa, Puducherry, Daman &amp; Diu, Sikkim and several North-Eastern states</w:t>
            </w:r>
          </w:p>
        </w:tc>
        <w:tc>
          <w:tcPr>
            <w:tcMar>
              <w:top w:type="dxa" w:w="70"/>
              <w:left w:type="dxa" w:w="110"/>
              <w:bottom w:type="dxa" w:w="70"/>
              <w:right w:type="dxa" w:w="110"/>
            </w:tcMar>
          </w:tcPr>
          <w:p>
            <w:pPr>
              <w:spacing w:after="0"/>
            </w:pPr>
            <w:r>
              <w:t xml:space="preserve">Materially lower duty producing cross-border price arbitrage</w:t>
            </w:r>
          </w:p>
        </w:tc>
      </w:tr>
    </w:tbl>
    <w:p>
      <w:pPr>
        <w:spacing w:after="40"/>
      </w:pPr>
    </w:p>
    <w:p>
      <w:r>
        <w:t xml:space="preserve">Licence categories (manufacturing, bottling, wholesale, retail off-shop, bar/on-shop, club, hotel, event), fees, dry days, permitted hours, minimum legal drinking age (varying from 18 to 25 across states), and permitted advertising all differ. </w:t>
      </w:r>
      <w:r>
        <w:rPr>
          <w:b/>
          <w:bCs/>
        </w:rPr>
        <w:t xml:space="preserve">Minimum drinking age is 25 in Maharashtra, Delhi (currently 21 after revision), Punjab, Haryana and Chandigarh in various forms, and 18 in Goa, Sikkim, Puducherry and several others</w:t>
      </w:r>
      <w:r>
        <w:t xml:space="preserve"> — one of the more visible legal divergences in daily life.</w:t>
      </w:r>
    </w:p>
    <w:p>
      <w:pPr>
        <w:pStyle w:val="Heading2"/>
        <w:keepNext/>
        <w:keepLines/>
      </w:pPr>
      <w:r>
        <w:t xml:space="preserve">6.2 Food Business — FSSAI</w:t>
      </w:r>
    </w:p>
    <w:p>
      <w:r>
        <w:t xml:space="preserve">Central authority under the </w:t>
      </w:r>
      <w:r>
        <w:rPr>
          <w:b/>
          <w:bCs/>
        </w:rPr>
        <w:t xml:space="preserve">Food Safety and Standards Act 2006</w:t>
      </w:r>
      <w:r>
        <w:t xml:space="preserve">, but administered in two tiers: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Licence Type</w:t>
            </w:r>
          </w:p>
        </w:tc>
        <w:tc>
          <w:tcPr>
            <w:shd w:fill="F0F4FE"/>
            <w:tcMar>
              <w:top w:type="dxa" w:w="70"/>
              <w:left w:type="dxa" w:w="110"/>
              <w:bottom w:type="dxa" w:w="70"/>
              <w:right w:type="dxa" w:w="110"/>
            </w:tcMar>
          </w:tcPr>
          <w:p>
            <w:pPr>
              <w:spacing w:after="0"/>
            </w:pPr>
            <w:r>
              <w:rPr>
                <w:b/>
                <w:bCs/>
                <w:color w:val="112D6A"/>
              </w:rPr>
              <w:t xml:space="preserve">Eligibility</w:t>
            </w:r>
          </w:p>
        </w:tc>
        <w:tc>
          <w:tcPr>
            <w:shd w:fill="F0F4FE"/>
            <w:tcMar>
              <w:top w:type="dxa" w:w="70"/>
              <w:left w:type="dxa" w:w="110"/>
              <w:bottom w:type="dxa" w:w="70"/>
              <w:right w:type="dxa" w:w="110"/>
            </w:tcMar>
          </w:tcPr>
          <w:p>
            <w:pPr>
              <w:spacing w:after="0"/>
            </w:pPr>
            <w:r>
              <w:rPr>
                <w:b/>
                <w:bCs/>
                <w:color w:val="112D6A"/>
              </w:rPr>
              <w:t xml:space="preserve">Issuing Authority</w:t>
            </w:r>
          </w:p>
        </w:tc>
      </w:tr>
      <w:tr>
        <w:trPr>
          <w:cantSplit/>
          <w:tblHeader w:val="false"/>
        </w:trPr>
        <w:tc>
          <w:tcPr>
            <w:tcMar>
              <w:top w:type="dxa" w:w="70"/>
              <w:left w:type="dxa" w:w="110"/>
              <w:bottom w:type="dxa" w:w="70"/>
              <w:right w:type="dxa" w:w="110"/>
            </w:tcMar>
          </w:tcPr>
          <w:p>
            <w:pPr>
              <w:spacing w:after="0"/>
            </w:pPr>
            <w:r>
              <w:rPr>
                <w:b/>
                <w:bCs/>
              </w:rPr>
              <w:t xml:space="preserve">Basic Registration</w:t>
            </w:r>
          </w:p>
        </w:tc>
        <w:tc>
          <w:tcPr>
            <w:tcMar>
              <w:top w:type="dxa" w:w="70"/>
              <w:left w:type="dxa" w:w="110"/>
              <w:bottom w:type="dxa" w:w="70"/>
              <w:right w:type="dxa" w:w="110"/>
            </w:tcMar>
          </w:tcPr>
          <w:p>
            <w:pPr>
              <w:spacing w:after="0"/>
            </w:pPr>
            <w:r>
              <w:t xml:space="preserve">Turnover up to ₹12 lakh</w:t>
            </w:r>
          </w:p>
        </w:tc>
        <w:tc>
          <w:tcPr>
            <w:tcMar>
              <w:top w:type="dxa" w:w="70"/>
              <w:left w:type="dxa" w:w="110"/>
              <w:bottom w:type="dxa" w:w="70"/>
              <w:right w:type="dxa" w:w="110"/>
            </w:tcMar>
          </w:tcPr>
          <w:p>
            <w:pPr>
              <w:spacing w:after="0"/>
            </w:pPr>
            <w:r>
              <w:t xml:space="preserve">State/local food safety authority</w:t>
            </w:r>
          </w:p>
        </w:tc>
      </w:tr>
      <w:tr>
        <w:trPr>
          <w:cantSplit/>
          <w:tblHeader w:val="false"/>
        </w:trPr>
        <w:tc>
          <w:tcPr>
            <w:tcMar>
              <w:top w:type="dxa" w:w="70"/>
              <w:left w:type="dxa" w:w="110"/>
              <w:bottom w:type="dxa" w:w="70"/>
              <w:right w:type="dxa" w:w="110"/>
            </w:tcMar>
          </w:tcPr>
          <w:p>
            <w:pPr>
              <w:spacing w:after="0"/>
            </w:pPr>
            <w:r>
              <w:rPr>
                <w:b/>
                <w:bCs/>
              </w:rPr>
              <w:t xml:space="preserve">State Licence</w:t>
            </w:r>
          </w:p>
        </w:tc>
        <w:tc>
          <w:tcPr>
            <w:tcMar>
              <w:top w:type="dxa" w:w="70"/>
              <w:left w:type="dxa" w:w="110"/>
              <w:bottom w:type="dxa" w:w="70"/>
              <w:right w:type="dxa" w:w="110"/>
            </w:tcMar>
          </w:tcPr>
          <w:p>
            <w:pPr>
              <w:spacing w:after="0"/>
            </w:pPr>
            <w:r>
              <w:t xml:space="preserve">Turnover ₹12 lakh to ₹20 crore</w:t>
            </w:r>
          </w:p>
        </w:tc>
        <w:tc>
          <w:tcPr>
            <w:tcMar>
              <w:top w:type="dxa" w:w="70"/>
              <w:left w:type="dxa" w:w="110"/>
              <w:bottom w:type="dxa" w:w="70"/>
              <w:right w:type="dxa" w:w="110"/>
            </w:tcMar>
          </w:tcPr>
          <w:p>
            <w:pPr>
              <w:spacing w:after="0"/>
            </w:pPr>
            <w:r>
              <w:rPr>
                <w:b/>
                <w:bCs/>
              </w:rPr>
              <w:t xml:space="preserve">State Food Safety Department / Commissioner of Food Safety</w:t>
            </w:r>
          </w:p>
        </w:tc>
      </w:tr>
      <w:tr>
        <w:trPr>
          <w:cantSplit/>
          <w:tblHeader w:val="false"/>
        </w:trPr>
        <w:tc>
          <w:tcPr>
            <w:tcMar>
              <w:top w:type="dxa" w:w="70"/>
              <w:left w:type="dxa" w:w="110"/>
              <w:bottom w:type="dxa" w:w="70"/>
              <w:right w:type="dxa" w:w="110"/>
            </w:tcMar>
          </w:tcPr>
          <w:p>
            <w:pPr>
              <w:spacing w:after="0"/>
            </w:pPr>
            <w:r>
              <w:rPr>
                <w:b/>
                <w:bCs/>
              </w:rPr>
              <w:t xml:space="preserve">Central Licence</w:t>
            </w:r>
          </w:p>
        </w:tc>
        <w:tc>
          <w:tcPr>
            <w:tcMar>
              <w:top w:type="dxa" w:w="70"/>
              <w:left w:type="dxa" w:w="110"/>
              <w:bottom w:type="dxa" w:w="70"/>
              <w:right w:type="dxa" w:w="110"/>
            </w:tcMar>
          </w:tcPr>
          <w:p>
            <w:pPr>
              <w:spacing w:after="0"/>
            </w:pPr>
            <w:r>
              <w:t xml:space="preserve">Turnover above ₹20 crore, importers, exporters, e-commerce, multi-state operators, and specified categories</w:t>
            </w:r>
          </w:p>
        </w:tc>
        <w:tc>
          <w:tcPr>
            <w:tcMar>
              <w:top w:type="dxa" w:w="70"/>
              <w:left w:type="dxa" w:w="110"/>
              <w:bottom w:type="dxa" w:w="70"/>
              <w:right w:type="dxa" w:w="110"/>
            </w:tcMar>
          </w:tcPr>
          <w:p>
            <w:pPr>
              <w:spacing w:after="0"/>
            </w:pPr>
            <w:r>
              <w:t xml:space="preserve">FSSAI regional office</w:t>
            </w:r>
          </w:p>
        </w:tc>
      </w:tr>
    </w:tbl>
    <w:p>
      <w:pPr>
        <w:spacing w:after="40"/>
      </w:pPr>
    </w:p>
    <w:p>
      <w:r>
        <w:t xml:space="preserve">The </w:t>
      </w:r>
      <w:r>
        <w:rPr>
          <w:i/>
          <w:iCs/>
        </w:rPr>
        <w:t xml:space="preserve">standards</w:t>
      </w:r>
      <w:r>
        <w:t xml:space="preserve"> are uniform nationwide. What varies is the </w:t>
      </w:r>
      <w:r>
        <w:rPr>
          <w:b/>
          <w:bCs/>
        </w:rPr>
        <w:t xml:space="preserve">state food safety inspectorate</w:t>
      </w:r>
      <w:r>
        <w:t xml:space="preserve"> — the number of Food Safety Officers, the frequency of sampling, the availability of accredited testing laboratories, and the practice of the Adjudicating Officer and Food Safety Appellate Tribunal in each state.</w:t>
      </w:r>
    </w:p>
    <w:p>
      <w:pPr>
        <w:pStyle w:val="Heading2"/>
        <w:keepNext/>
        <w:keepLines/>
      </w:pPr>
      <w:r>
        <w:t xml:space="preserve">6.3 Drugs and Cosmetics</w:t>
      </w:r>
    </w:p>
    <w:p>
      <w:r>
        <w:t xml:space="preserve">Under the </w:t>
      </w:r>
      <w:r>
        <w:rPr>
          <w:b/>
          <w:bCs/>
        </w:rPr>
        <w:t xml:space="preserve">Drugs and Cosmetics Act 1940</w:t>
      </w:r>
      <w:r>
        <w:t xml:space="preserve">, manufacturing and sale licences are issued by the </w:t>
      </w:r>
      <w:r>
        <w:rPr>
          <w:b/>
          <w:bCs/>
        </w:rPr>
        <w:t xml:space="preserve">State Drug Control Administration / State Licensing Authority</w:t>
      </w:r>
      <w:r>
        <w:t xml:space="preserve">, while new drug approval, imports and certain categories sit with </w:t>
      </w:r>
      <w:r>
        <w:rPr>
          <w:b/>
          <w:bCs/>
        </w:rPr>
        <w:t xml:space="preserve">CDSCO</w:t>
      </w:r>
      <w:r>
        <w:t xml:space="preserve"> centrally. Inspection rigour, licence processing time and enforcement practice vary substantially — which is one reason pharmaceutical manufacturing clusters in particular states (Himachal Pradesh’s Baddi belt, Sikkim, Gujarat, Telangana, Maharashtra) as much for administrative reasons as fiscal ones.</w:t>
      </w:r>
    </w:p>
    <w:p>
      <w:pPr>
        <w:pStyle w:val="Heading2"/>
        <w:keepNext/>
        <w:keepLines/>
      </w:pPr>
      <w:r>
        <w:t xml:space="preserve">6.4 Fire Safety</w:t>
      </w:r>
    </w:p>
    <w:p>
      <w:r>
        <w:t xml:space="preserve">State subject, administered by the </w:t>
      </w:r>
      <w:r>
        <w:rPr>
          <w:b/>
          <w:bCs/>
        </w:rPr>
        <w:t xml:space="preserve">State Fire &amp; Emergency Services Department</w:t>
      </w:r>
      <w:r>
        <w:t xml:space="preserve"> under the state Fire Services Act, with technical requirements drawn from the </w:t>
      </w:r>
      <w:r>
        <w:rPr>
          <w:b/>
          <w:bCs/>
        </w:rPr>
        <w:t xml:space="preserve">National Building Code 2016</w:t>
      </w:r>
      <w:r>
        <w:t xml:space="preserve"> as adopted with state modifications. Triggers for a Fire NOC:</w:t>
      </w:r>
    </w:p>
    <w:p>
      <w:pPr>
        <w:pStyle w:val="ListParagraph"/>
        <w:numPr>
          <w:ilvl w:val="0"/>
          <w:numId w:val="1"/>
        </w:numPr>
        <w:spacing w:after="60"/>
      </w:pPr>
      <w:r>
        <w:t xml:space="preserve">Building height (commonly above 15 metres, but thresholds differ)</w:t>
      </w:r>
    </w:p>
    <w:p>
      <w:pPr>
        <w:pStyle w:val="ListParagraph"/>
        <w:numPr>
          <w:ilvl w:val="0"/>
          <w:numId w:val="1"/>
        </w:numPr>
        <w:spacing w:after="60"/>
      </w:pPr>
      <w:r>
        <w:t xml:space="preserve">Occupancy type (assembly, institutional, industrial, storage, hazardous)</w:t>
      </w:r>
    </w:p>
    <w:p>
      <w:pPr>
        <w:pStyle w:val="ListParagraph"/>
        <w:numPr>
          <w:ilvl w:val="0"/>
          <w:numId w:val="1"/>
        </w:numPr>
        <w:spacing w:after="60"/>
      </w:pPr>
      <w:r>
        <w:t xml:space="preserve">Built-up area</w:t>
      </w:r>
    </w:p>
    <w:p>
      <w:pPr>
        <w:pStyle w:val="ListParagraph"/>
        <w:numPr>
          <w:ilvl w:val="0"/>
          <w:numId w:val="1"/>
        </w:numPr>
        <w:spacing w:after="60"/>
      </w:pPr>
      <w:r>
        <w:t xml:space="preserve">Basement presence</w:t>
      </w:r>
    </w:p>
    <w:p>
      <w:r>
        <w:t xml:space="preserve">Provisional NOC before construction and Final NOC before occupancy is the usual two-stage structure, with </w:t>
      </w:r>
      <w:r>
        <w:rPr>
          <w:b/>
          <w:bCs/>
        </w:rPr>
        <w:t xml:space="preserve">periodic renewal (typically annual or triennial) required in most states</w:t>
      </w:r>
      <w:r>
        <w:t xml:space="preserve">. Fee schedules and the required installations differ by state fire rules.</w:t>
      </w:r>
    </w:p>
    <w:p>
      <w:pPr>
        <w:pStyle w:val="Heading2"/>
        <w:keepNext/>
        <w:keepLines/>
      </w:pPr>
      <w:r>
        <w:t xml:space="preserve">6.5 Legal Metrology</w:t>
      </w:r>
    </w:p>
    <w:p>
      <w:r>
        <w:t xml:space="preserve">The </w:t>
      </w:r>
      <w:r>
        <w:rPr>
          <w:b/>
          <w:bCs/>
        </w:rPr>
        <w:t xml:space="preserve">Legal Metrology Act 2009</w:t>
      </w:r>
      <w:r>
        <w:t xml:space="preserve"> is central, but administered by the </w:t>
      </w:r>
      <w:r>
        <w:rPr>
          <w:b/>
          <w:bCs/>
        </w:rPr>
        <w:t xml:space="preserve">State Legal Metrology Department (Controller of Legal Metrology)</w:t>
      </w:r>
      <w:r>
        <w:t xml:space="preserve">:</w:t>
      </w:r>
    </w:p>
    <w:p>
      <w:pPr>
        <w:pStyle w:val="ListParagraph"/>
        <w:numPr>
          <w:ilvl w:val="0"/>
          <w:numId w:val="1"/>
        </w:numPr>
        <w:spacing w:after="60"/>
      </w:pPr>
      <w:r>
        <w:rPr>
          <w:b/>
          <w:bCs/>
        </w:rPr>
        <w:t xml:space="preserve">Packer/manufacturer/importer registration</w:t>
      </w:r>
      <w:r>
        <w:t xml:space="preserve"> for pre-packaged commodities.</w:t>
      </w:r>
    </w:p>
    <w:p>
      <w:pPr>
        <w:pStyle w:val="ListParagraph"/>
        <w:numPr>
          <w:ilvl w:val="0"/>
          <w:numId w:val="1"/>
        </w:numPr>
        <w:spacing w:after="60"/>
      </w:pPr>
      <w:r>
        <w:rPr>
          <w:b/>
          <w:bCs/>
        </w:rPr>
        <w:t xml:space="preserve">Verification and stamping</w:t>
      </w:r>
      <w:r>
        <w:t xml:space="preserve"> of weights, measures, weighbridges and fuel dispensers — with state-set fees and periodicity.</w:t>
      </w:r>
    </w:p>
    <w:p>
      <w:pPr>
        <w:pStyle w:val="ListParagraph"/>
        <w:numPr>
          <w:ilvl w:val="0"/>
          <w:numId w:val="1"/>
        </w:numPr>
        <w:spacing w:after="60"/>
      </w:pPr>
      <w:r>
        <w:rPr>
          <w:b/>
          <w:bCs/>
        </w:rPr>
        <w:t xml:space="preserve">Dealer licence</w:t>
      </w:r>
      <w:r>
        <w:t xml:space="preserve"> for those selling weighing and measuring instruments.</w:t>
      </w:r>
    </w:p>
    <w:p>
      <w:pPr>
        <w:pStyle w:val="ListParagraph"/>
        <w:numPr>
          <w:ilvl w:val="0"/>
          <w:numId w:val="1"/>
        </w:numPr>
        <w:spacing w:after="60"/>
      </w:pPr>
      <w:r>
        <w:rPr>
          <w:b/>
          <w:bCs/>
        </w:rPr>
        <w:t xml:space="preserve">Model approval</w:t>
      </w:r>
      <w:r>
        <w:t xml:space="preserve"> is central (Director of Legal Metrology).</w:t>
      </w:r>
    </w:p>
    <w:p>
      <w:r>
        <w:t xml:space="preserve">Declaration requirements on packages (MRP, net quantity, manufacturer details, consumer care) are uniform; enforcement and fee schedules are not.</w:t>
      </w:r>
    </w:p>
    <w:p>
      <w:pPr>
        <w:pStyle w:val="Heading2"/>
        <w:keepNext/>
        <w:keepLines/>
      </w:pPr>
      <w:r>
        <w:t xml:space="preserve">6.6 Other Sector Approvals with State Variation</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Sector</w:t>
            </w:r>
          </w:p>
        </w:tc>
        <w:tc>
          <w:tcPr>
            <w:shd w:fill="F0F4FE"/>
            <w:tcMar>
              <w:top w:type="dxa" w:w="70"/>
              <w:left w:type="dxa" w:w="110"/>
              <w:bottom w:type="dxa" w:w="70"/>
              <w:right w:type="dxa" w:w="110"/>
            </w:tcMar>
          </w:tcPr>
          <w:p>
            <w:pPr>
              <w:spacing w:after="0"/>
            </w:pPr>
            <w:r>
              <w:rPr>
                <w:b/>
                <w:bCs/>
                <w:color w:val="112D6A"/>
              </w:rPr>
              <w:t xml:space="preserve">State Authority</w:t>
            </w:r>
          </w:p>
        </w:tc>
      </w:tr>
      <w:tr>
        <w:trPr>
          <w:cantSplit/>
          <w:tblHeader w:val="false"/>
        </w:trPr>
        <w:tc>
          <w:tcPr>
            <w:tcMar>
              <w:top w:type="dxa" w:w="70"/>
              <w:left w:type="dxa" w:w="110"/>
              <w:bottom w:type="dxa" w:w="70"/>
              <w:right w:type="dxa" w:w="110"/>
            </w:tcMar>
          </w:tcPr>
          <w:p>
            <w:pPr>
              <w:spacing w:after="0"/>
            </w:pPr>
            <w:r>
              <w:t xml:space="preserve">Hospitality / hotels</w:t>
            </w:r>
          </w:p>
        </w:tc>
        <w:tc>
          <w:tcPr>
            <w:tcMar>
              <w:top w:type="dxa" w:w="70"/>
              <w:left w:type="dxa" w:w="110"/>
              <w:bottom w:type="dxa" w:w="70"/>
              <w:right w:type="dxa" w:w="110"/>
            </w:tcMar>
          </w:tcPr>
          <w:p>
            <w:pPr>
              <w:spacing w:after="0"/>
            </w:pPr>
            <w:r>
              <w:t xml:space="preserve">State Tourism Department classification; bar licence; municipal lodging house licence; police NOC</w:t>
            </w:r>
          </w:p>
        </w:tc>
      </w:tr>
      <w:tr>
        <w:trPr>
          <w:cantSplit/>
          <w:tblHeader w:val="false"/>
        </w:trPr>
        <w:tc>
          <w:tcPr>
            <w:tcMar>
              <w:top w:type="dxa" w:w="70"/>
              <w:left w:type="dxa" w:w="110"/>
              <w:bottom w:type="dxa" w:w="70"/>
              <w:right w:type="dxa" w:w="110"/>
            </w:tcMar>
          </w:tcPr>
          <w:p>
            <w:pPr>
              <w:spacing w:after="0"/>
            </w:pPr>
            <w:r>
              <w:t xml:space="preserve">Health care establishments</w:t>
            </w:r>
          </w:p>
        </w:tc>
        <w:tc>
          <w:tcPr>
            <w:tcMar>
              <w:top w:type="dxa" w:w="70"/>
              <w:left w:type="dxa" w:w="110"/>
              <w:bottom w:type="dxa" w:w="70"/>
              <w:right w:type="dxa" w:w="110"/>
            </w:tcMar>
          </w:tcPr>
          <w:p>
            <w:pPr>
              <w:spacing w:after="0"/>
            </w:pPr>
            <w:r>
              <w:t xml:space="preserve">State Clinical Establishments Act (several states have not adopted the central 2010 Act)</w:t>
            </w:r>
          </w:p>
        </w:tc>
      </w:tr>
      <w:tr>
        <w:trPr>
          <w:cantSplit/>
          <w:tblHeader w:val="false"/>
        </w:trPr>
        <w:tc>
          <w:tcPr>
            <w:tcMar>
              <w:top w:type="dxa" w:w="70"/>
              <w:left w:type="dxa" w:w="110"/>
              <w:bottom w:type="dxa" w:w="70"/>
              <w:right w:type="dxa" w:w="110"/>
            </w:tcMar>
          </w:tcPr>
          <w:p>
            <w:pPr>
              <w:spacing w:after="0"/>
            </w:pPr>
            <w:r>
              <w:t xml:space="preserve">Education</w:t>
            </w:r>
          </w:p>
        </w:tc>
        <w:tc>
          <w:tcPr>
            <w:tcMar>
              <w:top w:type="dxa" w:w="70"/>
              <w:left w:type="dxa" w:w="110"/>
              <w:bottom w:type="dxa" w:w="70"/>
              <w:right w:type="dxa" w:w="110"/>
            </w:tcMar>
          </w:tcPr>
          <w:p>
            <w:pPr>
              <w:spacing w:after="0"/>
            </w:pPr>
            <w:r>
              <w:t xml:space="preserve">State education department affiliation and recognition</w:t>
            </w:r>
          </w:p>
        </w:tc>
      </w:tr>
      <w:tr>
        <w:trPr>
          <w:cantSplit/>
          <w:tblHeader w:val="false"/>
        </w:trPr>
        <w:tc>
          <w:tcPr>
            <w:tcMar>
              <w:top w:type="dxa" w:w="70"/>
              <w:left w:type="dxa" w:w="110"/>
              <w:bottom w:type="dxa" w:w="70"/>
              <w:right w:type="dxa" w:w="110"/>
            </w:tcMar>
          </w:tcPr>
          <w:p>
            <w:pPr>
              <w:spacing w:after="0"/>
            </w:pPr>
            <w:r>
              <w:t xml:space="preserve">Transport / logistics</w:t>
            </w:r>
          </w:p>
        </w:tc>
        <w:tc>
          <w:tcPr>
            <w:tcMar>
              <w:top w:type="dxa" w:w="70"/>
              <w:left w:type="dxa" w:w="110"/>
              <w:bottom w:type="dxa" w:w="70"/>
              <w:right w:type="dxa" w:w="110"/>
            </w:tcMar>
          </w:tcPr>
          <w:p>
            <w:pPr>
              <w:spacing w:after="0"/>
            </w:pPr>
            <w:r>
              <w:t xml:space="preserve">State Transport Authority permits; national permit for inter-state goods carriage</w:t>
            </w:r>
          </w:p>
        </w:tc>
      </w:tr>
      <w:tr>
        <w:trPr>
          <w:cantSplit/>
          <w:tblHeader w:val="false"/>
        </w:trPr>
        <w:tc>
          <w:tcPr>
            <w:tcMar>
              <w:top w:type="dxa" w:w="70"/>
              <w:left w:type="dxa" w:w="110"/>
              <w:bottom w:type="dxa" w:w="70"/>
              <w:right w:type="dxa" w:w="110"/>
            </w:tcMar>
          </w:tcPr>
          <w:p>
            <w:pPr>
              <w:spacing w:after="0"/>
            </w:pPr>
            <w:r>
              <w:t xml:space="preserve">Real estate</w:t>
            </w:r>
          </w:p>
        </w:tc>
        <w:tc>
          <w:tcPr>
            <w:tcMar>
              <w:top w:type="dxa" w:w="70"/>
              <w:left w:type="dxa" w:w="110"/>
              <w:bottom w:type="dxa" w:w="70"/>
              <w:right w:type="dxa" w:w="110"/>
            </w:tcMar>
          </w:tcPr>
          <w:p>
            <w:pPr>
              <w:spacing w:after="0"/>
            </w:pPr>
            <w:r>
              <w:t xml:space="preserve">RERA — central Act, but </w:t>
            </w:r>
            <w:r>
              <w:rPr>
                <w:b/>
                <w:bCs/>
              </w:rPr>
              <w:t xml:space="preserve">each state has its own RERA authority, rules and registration fees</w:t>
            </w:r>
            <w:r>
              <w:t xml:space="preserve">, and state rules have diverged materially from the model rules</w:t>
            </w:r>
          </w:p>
        </w:tc>
      </w:tr>
      <w:tr>
        <w:trPr>
          <w:cantSplit/>
          <w:tblHeader w:val="false"/>
        </w:trPr>
        <w:tc>
          <w:tcPr>
            <w:tcMar>
              <w:top w:type="dxa" w:w="70"/>
              <w:left w:type="dxa" w:w="110"/>
              <w:bottom w:type="dxa" w:w="70"/>
              <w:right w:type="dxa" w:w="110"/>
            </w:tcMar>
          </w:tcPr>
          <w:p>
            <w:pPr>
              <w:spacing w:after="0"/>
            </w:pPr>
            <w:r>
              <w:t xml:space="preserve">Mining (minor minerals)</w:t>
            </w:r>
          </w:p>
        </w:tc>
        <w:tc>
          <w:tcPr>
            <w:tcMar>
              <w:top w:type="dxa" w:w="70"/>
              <w:left w:type="dxa" w:w="110"/>
              <w:bottom w:type="dxa" w:w="70"/>
              <w:right w:type="dxa" w:w="110"/>
            </w:tcMar>
          </w:tcPr>
          <w:p>
            <w:pPr>
              <w:spacing w:after="0"/>
            </w:pPr>
            <w:r>
              <w:t xml:space="preserve">State Mining Department; minor mineral concession rules are entirely state-framed</w:t>
            </w:r>
          </w:p>
        </w:tc>
      </w:tr>
      <w:tr>
        <w:trPr>
          <w:cantSplit/>
          <w:tblHeader w:val="false"/>
        </w:trPr>
        <w:tc>
          <w:tcPr>
            <w:tcMar>
              <w:top w:type="dxa" w:w="70"/>
              <w:left w:type="dxa" w:w="110"/>
              <w:bottom w:type="dxa" w:w="70"/>
              <w:right w:type="dxa" w:w="110"/>
            </w:tcMar>
          </w:tcPr>
          <w:p>
            <w:pPr>
              <w:spacing w:after="0"/>
            </w:pPr>
            <w:r>
              <w:t xml:space="preserve">Electricity generation / captive plants</w:t>
            </w:r>
          </w:p>
        </w:tc>
        <w:tc>
          <w:tcPr>
            <w:tcMar>
              <w:top w:type="dxa" w:w="70"/>
              <w:left w:type="dxa" w:w="110"/>
              <w:bottom w:type="dxa" w:w="70"/>
              <w:right w:type="dxa" w:w="110"/>
            </w:tcMar>
          </w:tcPr>
          <w:p>
            <w:pPr>
              <w:spacing w:after="0"/>
            </w:pPr>
            <w:r>
              <w:t xml:space="preserve">State Electricity Regulatory Commission; open access rules and cross-subsidy surcharge differ sharply by state</w:t>
            </w:r>
          </w:p>
        </w:tc>
      </w:tr>
      <w:tr>
        <w:trPr>
          <w:cantSplit/>
          <w:tblHeader w:val="false"/>
        </w:trPr>
        <w:tc>
          <w:tcPr>
            <w:tcMar>
              <w:top w:type="dxa" w:w="70"/>
              <w:left w:type="dxa" w:w="110"/>
              <w:bottom w:type="dxa" w:w="70"/>
              <w:right w:type="dxa" w:w="110"/>
            </w:tcMar>
          </w:tcPr>
          <w:p>
            <w:pPr>
              <w:spacing w:after="0"/>
            </w:pPr>
            <w:r>
              <w:t xml:space="preserve">Signage and advertising</w:t>
            </w:r>
          </w:p>
        </w:tc>
        <w:tc>
          <w:tcPr>
            <w:tcMar>
              <w:top w:type="dxa" w:w="70"/>
              <w:left w:type="dxa" w:w="110"/>
              <w:bottom w:type="dxa" w:w="70"/>
              <w:right w:type="dxa" w:w="110"/>
            </w:tcMar>
          </w:tcPr>
          <w:p>
            <w:pPr>
              <w:spacing w:after="0"/>
            </w:pPr>
            <w:r>
              <w:t xml:space="preserve">Municipal corporation</w:t>
            </w:r>
          </w:p>
        </w:tc>
      </w:tr>
      <w:tr>
        <w:trPr>
          <w:cantSplit/>
          <w:tblHeader w:val="false"/>
        </w:trPr>
        <w:tc>
          <w:tcPr>
            <w:tcMar>
              <w:top w:type="dxa" w:w="70"/>
              <w:left w:type="dxa" w:w="110"/>
              <w:bottom w:type="dxa" w:w="70"/>
              <w:right w:type="dxa" w:w="110"/>
            </w:tcMar>
          </w:tcPr>
          <w:p>
            <w:pPr>
              <w:spacing w:after="0"/>
            </w:pPr>
            <w:r>
              <w:t xml:space="preserve">Weights and measures at retail</w:t>
            </w:r>
          </w:p>
        </w:tc>
        <w:tc>
          <w:tcPr>
            <w:tcMar>
              <w:top w:type="dxa" w:w="70"/>
              <w:left w:type="dxa" w:w="110"/>
              <w:bottom w:type="dxa" w:w="70"/>
              <w:right w:type="dxa" w:w="110"/>
            </w:tcMar>
          </w:tcPr>
          <w:p>
            <w:pPr>
              <w:spacing w:after="0"/>
            </w:pPr>
            <w:r>
              <w:t xml:space="preserve">State Legal Metrology</w:t>
            </w:r>
          </w:p>
        </w:tc>
      </w:tr>
      <w:tr>
        <w:trPr>
          <w:cantSplit/>
          <w:tblHeader w:val="false"/>
        </w:trPr>
        <w:tc>
          <w:tcPr>
            <w:tcMar>
              <w:top w:type="dxa" w:w="70"/>
              <w:left w:type="dxa" w:w="110"/>
              <w:bottom w:type="dxa" w:w="70"/>
              <w:right w:type="dxa" w:w="110"/>
            </w:tcMar>
          </w:tcPr>
          <w:p>
            <w:pPr>
              <w:spacing w:after="0"/>
            </w:pPr>
            <w:r>
              <w:t xml:space="preserve">Money lending / chit funds</w:t>
            </w:r>
          </w:p>
        </w:tc>
        <w:tc>
          <w:tcPr>
            <w:tcMar>
              <w:top w:type="dxa" w:w="70"/>
              <w:left w:type="dxa" w:w="110"/>
              <w:bottom w:type="dxa" w:w="70"/>
              <w:right w:type="dxa" w:w="110"/>
            </w:tcMar>
          </w:tcPr>
          <w:p>
            <w:pPr>
              <w:spacing w:after="0"/>
            </w:pPr>
            <w:r>
              <w:t xml:space="preserve">State money lending Acts and Registrar of Chits</w:t>
            </w:r>
          </w:p>
        </w:tc>
      </w:tr>
      <w:tr>
        <w:trPr>
          <w:cantSplit/>
          <w:tblHeader w:val="false"/>
        </w:trPr>
        <w:tc>
          <w:tcPr>
            <w:tcMar>
              <w:top w:type="dxa" w:w="70"/>
              <w:left w:type="dxa" w:w="110"/>
              <w:bottom w:type="dxa" w:w="70"/>
              <w:right w:type="dxa" w:w="110"/>
            </w:tcMar>
          </w:tcPr>
          <w:p>
            <w:pPr>
              <w:spacing w:after="0"/>
            </w:pPr>
            <w:r>
              <w:t xml:space="preserve">Shops selling tobacco</w:t>
            </w:r>
          </w:p>
        </w:tc>
        <w:tc>
          <w:tcPr>
            <w:tcMar>
              <w:top w:type="dxa" w:w="70"/>
              <w:left w:type="dxa" w:w="110"/>
              <w:bottom w:type="dxa" w:w="70"/>
              <w:right w:type="dxa" w:w="110"/>
            </w:tcMar>
          </w:tcPr>
          <w:p>
            <w:pPr>
              <w:spacing w:after="0"/>
            </w:pPr>
            <w:r>
              <w:t xml:space="preserve">State-specific COTPA enforcement and municipal licensing</w:t>
            </w:r>
          </w:p>
        </w:tc>
      </w:tr>
    </w:tbl>
    <w:p>
      <w:pPr>
        <w:spacing w:after="40"/>
      </w:pPr>
    </w:p>
    <w:p>
      <w:pPr>
        <w:pStyle w:val="Heading1"/>
        <w:keepNext/>
        <w:keepLines/>
        <w:pBdr>
          <w:bottom w:val="single" w:color="2157CF" w:sz="8" w:space="3"/>
        </w:pBdr>
      </w:pPr>
      <w:r>
        <w:t xml:space="preserve">7. Enforcement, Dispute Resolution and Inspection</w:t>
      </w:r>
    </w:p>
    <w:p>
      <w:pPr>
        <w:pStyle w:val="Heading2"/>
        <w:keepNext/>
        <w:keepLines/>
      </w:pPr>
      <w:r>
        <w:t xml:space="preserve">7.1 Who Inspects What</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Inspecting Authority</w:t>
            </w:r>
          </w:p>
        </w:tc>
        <w:tc>
          <w:tcPr>
            <w:shd w:fill="F0F4FE"/>
            <w:tcMar>
              <w:top w:type="dxa" w:w="70"/>
              <w:left w:type="dxa" w:w="110"/>
              <w:bottom w:type="dxa" w:w="70"/>
              <w:right w:type="dxa" w:w="110"/>
            </w:tcMar>
          </w:tcPr>
          <w:p>
            <w:pPr>
              <w:spacing w:after="0"/>
            </w:pPr>
            <w:r>
              <w:rPr>
                <w:b/>
                <w:bCs/>
                <w:color w:val="112D6A"/>
              </w:rPr>
              <w:t xml:space="preserve">Level</w:t>
            </w:r>
          </w:p>
        </w:tc>
        <w:tc>
          <w:tcPr>
            <w:shd w:fill="F0F4FE"/>
            <w:tcMar>
              <w:top w:type="dxa" w:w="70"/>
              <w:left w:type="dxa" w:w="110"/>
              <w:bottom w:type="dxa" w:w="70"/>
              <w:right w:type="dxa" w:w="110"/>
            </w:tcMar>
          </w:tcPr>
          <w:p>
            <w:pPr>
              <w:spacing w:after="0"/>
            </w:pPr>
            <w:r>
              <w:rPr>
                <w:b/>
                <w:bCs/>
                <w:color w:val="112D6A"/>
              </w:rPr>
              <w:t xml:space="preserve">Subject</w:t>
            </w:r>
          </w:p>
        </w:tc>
      </w:tr>
      <w:tr>
        <w:trPr>
          <w:cantSplit/>
          <w:tblHeader w:val="false"/>
        </w:trPr>
        <w:tc>
          <w:tcPr>
            <w:tcMar>
              <w:top w:type="dxa" w:w="70"/>
              <w:left w:type="dxa" w:w="110"/>
              <w:bottom w:type="dxa" w:w="70"/>
              <w:right w:type="dxa" w:w="110"/>
            </w:tcMar>
          </w:tcPr>
          <w:p>
            <w:pPr>
              <w:spacing w:after="0"/>
            </w:pPr>
            <w:r>
              <w:t xml:space="preserve">GST officer (central or state)</w:t>
            </w:r>
          </w:p>
        </w:tc>
        <w:tc>
          <w:tcPr>
            <w:tcMar>
              <w:top w:type="dxa" w:w="70"/>
              <w:left w:type="dxa" w:w="110"/>
              <w:bottom w:type="dxa" w:w="70"/>
              <w:right w:type="dxa" w:w="110"/>
            </w:tcMar>
          </w:tcPr>
          <w:p>
            <w:pPr>
              <w:spacing w:after="0"/>
            </w:pPr>
            <w:r>
              <w:t xml:space="preserve">Both</w:t>
            </w:r>
          </w:p>
        </w:tc>
        <w:tc>
          <w:tcPr>
            <w:tcMar>
              <w:top w:type="dxa" w:w="70"/>
              <w:left w:type="dxa" w:w="110"/>
              <w:bottom w:type="dxa" w:w="70"/>
              <w:right w:type="dxa" w:w="110"/>
            </w:tcMar>
          </w:tcPr>
          <w:p>
            <w:pPr>
              <w:spacing w:after="0"/>
            </w:pPr>
            <w:r>
              <w:t xml:space="preserve">Tax audit, scrutiny, survey</w:t>
            </w:r>
          </w:p>
        </w:tc>
      </w:tr>
      <w:tr>
        <w:trPr>
          <w:cantSplit/>
          <w:tblHeader w:val="false"/>
        </w:trPr>
        <w:tc>
          <w:tcPr>
            <w:tcMar>
              <w:top w:type="dxa" w:w="70"/>
              <w:left w:type="dxa" w:w="110"/>
              <w:bottom w:type="dxa" w:w="70"/>
              <w:right w:type="dxa" w:w="110"/>
            </w:tcMar>
          </w:tcPr>
          <w:p>
            <w:pPr>
              <w:spacing w:after="0"/>
            </w:pPr>
            <w:r>
              <w:t xml:space="preserve">Income Tax officer</w:t>
            </w:r>
          </w:p>
        </w:tc>
        <w:tc>
          <w:tcPr>
            <w:tcMar>
              <w:top w:type="dxa" w:w="70"/>
              <w:left w:type="dxa" w:w="110"/>
              <w:bottom w:type="dxa" w:w="70"/>
              <w:right w:type="dxa" w:w="110"/>
            </w:tcMar>
          </w:tcPr>
          <w:p>
            <w:pPr>
              <w:spacing w:after="0"/>
            </w:pPr>
            <w:r>
              <w:t xml:space="preserve">Central</w:t>
            </w:r>
          </w:p>
        </w:tc>
        <w:tc>
          <w:tcPr>
            <w:tcMar>
              <w:top w:type="dxa" w:w="70"/>
              <w:left w:type="dxa" w:w="110"/>
              <w:bottom w:type="dxa" w:w="70"/>
              <w:right w:type="dxa" w:w="110"/>
            </w:tcMar>
          </w:tcPr>
          <w:p>
            <w:pPr>
              <w:spacing w:after="0"/>
            </w:pPr>
            <w:r>
              <w:t xml:space="preserve">Assessment, survey, search</w:t>
            </w:r>
          </w:p>
        </w:tc>
      </w:tr>
      <w:tr>
        <w:trPr>
          <w:cantSplit/>
          <w:tblHeader w:val="false"/>
        </w:trPr>
        <w:tc>
          <w:tcPr>
            <w:tcMar>
              <w:top w:type="dxa" w:w="70"/>
              <w:left w:type="dxa" w:w="110"/>
              <w:bottom w:type="dxa" w:w="70"/>
              <w:right w:type="dxa" w:w="110"/>
            </w:tcMar>
          </w:tcPr>
          <w:p>
            <w:pPr>
              <w:spacing w:after="0"/>
            </w:pPr>
            <w:r>
              <w:t xml:space="preserve">Labour Inspector / Facilitator</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Shops Act, wages, registers</w:t>
            </w:r>
          </w:p>
        </w:tc>
      </w:tr>
      <w:tr>
        <w:trPr>
          <w:cantSplit/>
          <w:tblHeader w:val="false"/>
        </w:trPr>
        <w:tc>
          <w:tcPr>
            <w:tcMar>
              <w:top w:type="dxa" w:w="70"/>
              <w:left w:type="dxa" w:w="110"/>
              <w:bottom w:type="dxa" w:w="70"/>
              <w:right w:type="dxa" w:w="110"/>
            </w:tcMar>
          </w:tcPr>
          <w:p>
            <w:pPr>
              <w:spacing w:after="0"/>
            </w:pPr>
            <w:r>
              <w:t xml:space="preserve">Factory Inspector (DISH)</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Safety, hours, welfare</w:t>
            </w:r>
          </w:p>
        </w:tc>
      </w:tr>
      <w:tr>
        <w:trPr>
          <w:cantSplit/>
          <w:tblHeader w:val="false"/>
        </w:trPr>
        <w:tc>
          <w:tcPr>
            <w:tcMar>
              <w:top w:type="dxa" w:w="70"/>
              <w:left w:type="dxa" w:w="110"/>
              <w:bottom w:type="dxa" w:w="70"/>
              <w:right w:type="dxa" w:w="110"/>
            </w:tcMar>
          </w:tcPr>
          <w:p>
            <w:pPr>
              <w:spacing w:after="0"/>
            </w:pPr>
            <w:r>
              <w:t xml:space="preserve">EPFO / ESIC enforcement officer</w:t>
            </w:r>
          </w:p>
        </w:tc>
        <w:tc>
          <w:tcPr>
            <w:tcMar>
              <w:top w:type="dxa" w:w="70"/>
              <w:left w:type="dxa" w:w="110"/>
              <w:bottom w:type="dxa" w:w="70"/>
              <w:right w:type="dxa" w:w="110"/>
            </w:tcMar>
          </w:tcPr>
          <w:p>
            <w:pPr>
              <w:spacing w:after="0"/>
            </w:pPr>
            <w:r>
              <w:t xml:space="preserve">Central</w:t>
            </w:r>
          </w:p>
        </w:tc>
        <w:tc>
          <w:tcPr>
            <w:tcMar>
              <w:top w:type="dxa" w:w="70"/>
              <w:left w:type="dxa" w:w="110"/>
              <w:bottom w:type="dxa" w:w="70"/>
              <w:right w:type="dxa" w:w="110"/>
            </w:tcMar>
          </w:tcPr>
          <w:p>
            <w:pPr>
              <w:spacing w:after="0"/>
            </w:pPr>
            <w:r>
              <w:t xml:space="preserve">Contribution compliance</w:t>
            </w:r>
          </w:p>
        </w:tc>
      </w:tr>
      <w:tr>
        <w:trPr>
          <w:cantSplit/>
          <w:tblHeader w:val="false"/>
        </w:trPr>
        <w:tc>
          <w:tcPr>
            <w:tcMar>
              <w:top w:type="dxa" w:w="70"/>
              <w:left w:type="dxa" w:w="110"/>
              <w:bottom w:type="dxa" w:w="70"/>
              <w:right w:type="dxa" w:w="110"/>
            </w:tcMar>
          </w:tcPr>
          <w:p>
            <w:pPr>
              <w:spacing w:after="0"/>
            </w:pPr>
            <w:r>
              <w:t xml:space="preserve">Pollution Control Board officer</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Consent conditions, effluent, emissions</w:t>
            </w:r>
          </w:p>
        </w:tc>
      </w:tr>
      <w:tr>
        <w:trPr>
          <w:cantSplit/>
          <w:tblHeader w:val="false"/>
        </w:trPr>
        <w:tc>
          <w:tcPr>
            <w:tcMar>
              <w:top w:type="dxa" w:w="70"/>
              <w:left w:type="dxa" w:w="110"/>
              <w:bottom w:type="dxa" w:w="70"/>
              <w:right w:type="dxa" w:w="110"/>
            </w:tcMar>
          </w:tcPr>
          <w:p>
            <w:pPr>
              <w:spacing w:after="0"/>
            </w:pPr>
            <w:r>
              <w:t xml:space="preserve">Food Safety Officer</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Sampling, hygiene</w:t>
            </w:r>
          </w:p>
        </w:tc>
      </w:tr>
      <w:tr>
        <w:trPr>
          <w:cantSplit/>
          <w:tblHeader w:val="false"/>
        </w:trPr>
        <w:tc>
          <w:tcPr>
            <w:tcMar>
              <w:top w:type="dxa" w:w="70"/>
              <w:left w:type="dxa" w:w="110"/>
              <w:bottom w:type="dxa" w:w="70"/>
              <w:right w:type="dxa" w:w="110"/>
            </w:tcMar>
          </w:tcPr>
          <w:p>
            <w:pPr>
              <w:spacing w:after="0"/>
            </w:pPr>
            <w:r>
              <w:t xml:space="preserve">Drug Inspector</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Manufacturing and sale</w:t>
            </w:r>
          </w:p>
        </w:tc>
      </w:tr>
      <w:tr>
        <w:trPr>
          <w:cantSplit/>
          <w:tblHeader w:val="false"/>
        </w:trPr>
        <w:tc>
          <w:tcPr>
            <w:tcMar>
              <w:top w:type="dxa" w:w="70"/>
              <w:left w:type="dxa" w:w="110"/>
              <w:bottom w:type="dxa" w:w="70"/>
              <w:right w:type="dxa" w:w="110"/>
            </w:tcMar>
          </w:tcPr>
          <w:p>
            <w:pPr>
              <w:spacing w:after="0"/>
            </w:pPr>
            <w:r>
              <w:t xml:space="preserve">Legal Metrology Inspector</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Weights, packaging declarations</w:t>
            </w:r>
          </w:p>
        </w:tc>
      </w:tr>
      <w:tr>
        <w:trPr>
          <w:cantSplit/>
          <w:tblHeader w:val="false"/>
        </w:trPr>
        <w:tc>
          <w:tcPr>
            <w:tcMar>
              <w:top w:type="dxa" w:w="70"/>
              <w:left w:type="dxa" w:w="110"/>
              <w:bottom w:type="dxa" w:w="70"/>
              <w:right w:type="dxa" w:w="110"/>
            </w:tcMar>
          </w:tcPr>
          <w:p>
            <w:pPr>
              <w:spacing w:after="0"/>
            </w:pPr>
            <w:r>
              <w:t xml:space="preserve">Fire Officer</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NOC conditions</w:t>
            </w:r>
          </w:p>
        </w:tc>
      </w:tr>
      <w:tr>
        <w:trPr>
          <w:cantSplit/>
          <w:tblHeader w:val="false"/>
        </w:trPr>
        <w:tc>
          <w:tcPr>
            <w:tcMar>
              <w:top w:type="dxa" w:w="70"/>
              <w:left w:type="dxa" w:w="110"/>
              <w:bottom w:type="dxa" w:w="70"/>
              <w:right w:type="dxa" w:w="110"/>
            </w:tcMar>
          </w:tcPr>
          <w:p>
            <w:pPr>
              <w:spacing w:after="0"/>
            </w:pPr>
            <w:r>
              <w:t xml:space="preserve">Municipal health/licence inspector</w:t>
            </w:r>
          </w:p>
        </w:tc>
        <w:tc>
          <w:tcPr>
            <w:tcMar>
              <w:top w:type="dxa" w:w="70"/>
              <w:left w:type="dxa" w:w="110"/>
              <w:bottom w:type="dxa" w:w="70"/>
              <w:right w:type="dxa" w:w="110"/>
            </w:tcMar>
          </w:tcPr>
          <w:p>
            <w:pPr>
              <w:spacing w:after="0"/>
            </w:pPr>
            <w:r>
              <w:t xml:space="preserve">Local</w:t>
            </w:r>
          </w:p>
        </w:tc>
        <w:tc>
          <w:tcPr>
            <w:tcMar>
              <w:top w:type="dxa" w:w="70"/>
              <w:left w:type="dxa" w:w="110"/>
              <w:bottom w:type="dxa" w:w="70"/>
              <w:right w:type="dxa" w:w="110"/>
            </w:tcMar>
          </w:tcPr>
          <w:p>
            <w:pPr>
              <w:spacing w:after="0"/>
            </w:pPr>
            <w:r>
              <w:t xml:space="preserve">Trade licence, sanitation</w:t>
            </w:r>
          </w:p>
        </w:tc>
      </w:tr>
      <w:tr>
        <w:trPr>
          <w:cantSplit/>
          <w:tblHeader w:val="false"/>
        </w:trPr>
        <w:tc>
          <w:tcPr>
            <w:tcMar>
              <w:top w:type="dxa" w:w="70"/>
              <w:left w:type="dxa" w:w="110"/>
              <w:bottom w:type="dxa" w:w="70"/>
              <w:right w:type="dxa" w:w="110"/>
            </w:tcMar>
          </w:tcPr>
          <w:p>
            <w:pPr>
              <w:spacing w:after="0"/>
            </w:pPr>
            <w:r>
              <w:t xml:space="preserve">Boiler Inspector</w:t>
            </w:r>
          </w:p>
        </w:tc>
        <w:tc>
          <w:tcPr>
            <w:tcMar>
              <w:top w:type="dxa" w:w="70"/>
              <w:left w:type="dxa" w:w="110"/>
              <w:bottom w:type="dxa" w:w="70"/>
              <w:right w:type="dxa" w:w="110"/>
            </w:tcMar>
          </w:tcPr>
          <w:p>
            <w:pPr>
              <w:spacing w:after="0"/>
            </w:pPr>
            <w:r>
              <w:t xml:space="preserve">State</w:t>
            </w:r>
          </w:p>
        </w:tc>
        <w:tc>
          <w:tcPr>
            <w:tcMar>
              <w:top w:type="dxa" w:w="70"/>
              <w:left w:type="dxa" w:w="110"/>
              <w:bottom w:type="dxa" w:w="70"/>
              <w:right w:type="dxa" w:w="110"/>
            </w:tcMar>
          </w:tcPr>
          <w:p>
            <w:pPr>
              <w:spacing w:after="0"/>
            </w:pPr>
            <w:r>
              <w:t xml:space="preserve">Boiler certification</w:t>
            </w:r>
          </w:p>
        </w:tc>
      </w:tr>
    </w:tbl>
    <w:p>
      <w:pPr>
        <w:spacing w:after="40"/>
      </w:pPr>
    </w:p>
    <w:p>
      <w:r>
        <w:t xml:space="preserve">The </w:t>
      </w:r>
      <w:r>
        <w:rPr>
          <w:b/>
          <w:bCs/>
        </w:rPr>
        <w:t xml:space="preserve">inspector raj reforms</w:t>
      </w:r>
      <w:r>
        <w:t xml:space="preserve"> attempted to rationalise this: computerised risk-based inspection allocation, mandatory upload of inspection reports within 48–72 hours, joint inspection, third-party certification and self-certification schemes. Adoption is genuinely uneven — Gujarat, Maharashtra, Rajasthan, Haryana, Telangana and Madhya Pradesh have implemented these widely, while several states retain largely discretionary inspection.</w:t>
      </w:r>
    </w:p>
    <w:p>
      <w:pPr>
        <w:pStyle w:val="Heading2"/>
        <w:keepNext/>
        <w:keepLines/>
      </w:pPr>
      <w:r>
        <w:t xml:space="preserve">7.2 Dispute Forums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Forum</w:t>
            </w:r>
          </w:p>
        </w:tc>
        <w:tc>
          <w:tcPr>
            <w:shd w:fill="F0F4FE"/>
            <w:tcMar>
              <w:top w:type="dxa" w:w="70"/>
              <w:left w:type="dxa" w:w="110"/>
              <w:bottom w:type="dxa" w:w="70"/>
              <w:right w:type="dxa" w:w="110"/>
            </w:tcMar>
          </w:tcPr>
          <w:p>
            <w:pPr>
              <w:spacing w:after="0"/>
            </w:pPr>
            <w:r>
              <w:rPr>
                <w:b/>
                <w:bCs/>
                <w:color w:val="112D6A"/>
              </w:rPr>
              <w:t xml:space="preserve">Constituted By</w:t>
            </w:r>
          </w:p>
        </w:tc>
        <w:tc>
          <w:tcPr>
            <w:shd w:fill="F0F4FE"/>
            <w:tcMar>
              <w:top w:type="dxa" w:w="70"/>
              <w:left w:type="dxa" w:w="110"/>
              <w:bottom w:type="dxa" w:w="70"/>
              <w:right w:type="dxa" w:w="110"/>
            </w:tcMar>
          </w:tcPr>
          <w:p>
            <w:pPr>
              <w:spacing w:after="0"/>
            </w:pPr>
            <w:r>
              <w:rPr>
                <w:b/>
                <w:bCs/>
                <w:color w:val="112D6A"/>
              </w:rPr>
              <w:t xml:space="preserve">Handles</w:t>
            </w:r>
          </w:p>
        </w:tc>
      </w:tr>
      <w:tr>
        <w:trPr>
          <w:cantSplit/>
          <w:tblHeader w:val="false"/>
        </w:trPr>
        <w:tc>
          <w:tcPr>
            <w:tcMar>
              <w:top w:type="dxa" w:w="70"/>
              <w:left w:type="dxa" w:w="110"/>
              <w:bottom w:type="dxa" w:w="70"/>
              <w:right w:type="dxa" w:w="110"/>
            </w:tcMar>
          </w:tcPr>
          <w:p>
            <w:pPr>
              <w:spacing w:after="0"/>
            </w:pPr>
            <w:r>
              <w:t xml:space="preserve">GST Appellate Authority</w:t>
            </w:r>
          </w:p>
        </w:tc>
        <w:tc>
          <w:tcPr>
            <w:tcMar>
              <w:top w:type="dxa" w:w="70"/>
              <w:left w:type="dxa" w:w="110"/>
              <w:bottom w:type="dxa" w:w="70"/>
              <w:right w:type="dxa" w:w="110"/>
            </w:tcMar>
          </w:tcPr>
          <w:p>
            <w:pPr>
              <w:spacing w:after="0"/>
            </w:pPr>
            <w:r>
              <w:t xml:space="preserve">State/Central</w:t>
            </w:r>
          </w:p>
        </w:tc>
        <w:tc>
          <w:tcPr>
            <w:tcMar>
              <w:top w:type="dxa" w:w="70"/>
              <w:left w:type="dxa" w:w="110"/>
              <w:bottom w:type="dxa" w:w="70"/>
              <w:right w:type="dxa" w:w="110"/>
            </w:tcMar>
          </w:tcPr>
          <w:p>
            <w:pPr>
              <w:spacing w:after="0"/>
            </w:pPr>
            <w:r>
              <w:t xml:space="preserve">First appeal in GST</w:t>
            </w:r>
          </w:p>
        </w:tc>
      </w:tr>
      <w:tr>
        <w:trPr>
          <w:cantSplit/>
          <w:tblHeader w:val="false"/>
        </w:trPr>
        <w:tc>
          <w:tcPr>
            <w:tcMar>
              <w:top w:type="dxa" w:w="70"/>
              <w:left w:type="dxa" w:w="110"/>
              <w:bottom w:type="dxa" w:w="70"/>
              <w:right w:type="dxa" w:w="110"/>
            </w:tcMar>
          </w:tcPr>
          <w:p>
            <w:pPr>
              <w:spacing w:after="0"/>
            </w:pPr>
            <w:r>
              <w:t xml:space="preserve">GST Appellate Tribunal</w:t>
            </w:r>
          </w:p>
        </w:tc>
        <w:tc>
          <w:tcPr>
            <w:tcMar>
              <w:top w:type="dxa" w:w="70"/>
              <w:left w:type="dxa" w:w="110"/>
              <w:bottom w:type="dxa" w:w="70"/>
              <w:right w:type="dxa" w:w="110"/>
            </w:tcMar>
          </w:tcPr>
          <w:p>
            <w:pPr>
              <w:spacing w:after="0"/>
            </w:pPr>
            <w:r>
              <w:t xml:space="preserve">Central, with state benches</w:t>
            </w:r>
          </w:p>
        </w:tc>
        <w:tc>
          <w:tcPr>
            <w:tcMar>
              <w:top w:type="dxa" w:w="70"/>
              <w:left w:type="dxa" w:w="110"/>
              <w:bottom w:type="dxa" w:w="70"/>
              <w:right w:type="dxa" w:w="110"/>
            </w:tcMar>
          </w:tcPr>
          <w:p>
            <w:pPr>
              <w:spacing w:after="0"/>
            </w:pPr>
            <w:r>
              <w:t xml:space="preserve">Second appeal</w:t>
            </w:r>
          </w:p>
        </w:tc>
      </w:tr>
      <w:tr>
        <w:trPr>
          <w:cantSplit/>
          <w:tblHeader w:val="false"/>
        </w:trPr>
        <w:tc>
          <w:tcPr>
            <w:tcMar>
              <w:top w:type="dxa" w:w="70"/>
              <w:left w:type="dxa" w:w="110"/>
              <w:bottom w:type="dxa" w:w="70"/>
              <w:right w:type="dxa" w:w="110"/>
            </w:tcMar>
          </w:tcPr>
          <w:p>
            <w:pPr>
              <w:spacing w:after="0"/>
            </w:pPr>
            <w:r>
              <w:t xml:space="preserve">Advance Ruling Authority (AAR/AAAR)</w:t>
            </w:r>
          </w:p>
        </w:tc>
        <w:tc>
          <w:tcPr>
            <w:tcMar>
              <w:top w:type="dxa" w:w="70"/>
              <w:left w:type="dxa" w:w="110"/>
              <w:bottom w:type="dxa" w:w="70"/>
              <w:right w:type="dxa" w:w="110"/>
            </w:tcMar>
          </w:tcPr>
          <w:p>
            <w:pPr>
              <w:spacing w:after="0"/>
            </w:pPr>
            <w:r>
              <w:rPr>
                <w:b/>
                <w:bCs/>
              </w:rPr>
              <w:t xml:space="preserve">State-wise</w:t>
            </w:r>
          </w:p>
        </w:tc>
        <w:tc>
          <w:tcPr>
            <w:tcMar>
              <w:top w:type="dxa" w:w="70"/>
              <w:left w:type="dxa" w:w="110"/>
              <w:bottom w:type="dxa" w:w="70"/>
              <w:right w:type="dxa" w:w="110"/>
            </w:tcMar>
          </w:tcPr>
          <w:p>
            <w:pPr>
              <w:spacing w:after="0"/>
            </w:pPr>
            <w:r>
              <w:t xml:space="preserve">Advance rulings — a known source of contradictory rulings across states</w:t>
            </w:r>
          </w:p>
        </w:tc>
      </w:tr>
      <w:tr>
        <w:trPr>
          <w:cantSplit/>
          <w:tblHeader w:val="false"/>
        </w:trPr>
        <w:tc>
          <w:tcPr>
            <w:tcMar>
              <w:top w:type="dxa" w:w="70"/>
              <w:left w:type="dxa" w:w="110"/>
              <w:bottom w:type="dxa" w:w="70"/>
              <w:right w:type="dxa" w:w="110"/>
            </w:tcMar>
          </w:tcPr>
          <w:p>
            <w:pPr>
              <w:spacing w:after="0"/>
            </w:pPr>
            <w:r>
              <w:t xml:space="preserve">Commissioner (Appeals), ITAT</w:t>
            </w:r>
          </w:p>
        </w:tc>
        <w:tc>
          <w:tcPr>
            <w:tcMar>
              <w:top w:type="dxa" w:w="70"/>
              <w:left w:type="dxa" w:w="110"/>
              <w:bottom w:type="dxa" w:w="70"/>
              <w:right w:type="dxa" w:w="110"/>
            </w:tcMar>
          </w:tcPr>
          <w:p>
            <w:pPr>
              <w:spacing w:after="0"/>
            </w:pPr>
            <w:r>
              <w:t xml:space="preserve">Central</w:t>
            </w:r>
          </w:p>
        </w:tc>
        <w:tc>
          <w:tcPr>
            <w:tcMar>
              <w:top w:type="dxa" w:w="70"/>
              <w:left w:type="dxa" w:w="110"/>
              <w:bottom w:type="dxa" w:w="70"/>
              <w:right w:type="dxa" w:w="110"/>
            </w:tcMar>
          </w:tcPr>
          <w:p>
            <w:pPr>
              <w:spacing w:after="0"/>
            </w:pPr>
            <w:r>
              <w:t xml:space="preserve">Income tax</w:t>
            </w:r>
          </w:p>
        </w:tc>
      </w:tr>
      <w:tr>
        <w:trPr>
          <w:cantSplit/>
          <w:tblHeader w:val="false"/>
        </w:trPr>
        <w:tc>
          <w:tcPr>
            <w:tcMar>
              <w:top w:type="dxa" w:w="70"/>
              <w:left w:type="dxa" w:w="110"/>
              <w:bottom w:type="dxa" w:w="70"/>
              <w:right w:type="dxa" w:w="110"/>
            </w:tcMar>
          </w:tcPr>
          <w:p>
            <w:pPr>
              <w:spacing w:after="0"/>
            </w:pPr>
            <w:r>
              <w:t xml:space="preserve">Labour Court / Industrial Tribunal</w:t>
            </w:r>
          </w:p>
        </w:tc>
        <w:tc>
          <w:tcPr>
            <w:tcMar>
              <w:top w:type="dxa" w:w="70"/>
              <w:left w:type="dxa" w:w="110"/>
              <w:bottom w:type="dxa" w:w="70"/>
              <w:right w:type="dxa" w:w="110"/>
            </w:tcMar>
          </w:tcPr>
          <w:p>
            <w:pPr>
              <w:spacing w:after="0"/>
            </w:pPr>
            <w:r>
              <w:rPr>
                <w:b/>
                <w:bCs/>
              </w:rPr>
              <w:t xml:space="preserve">State</w:t>
            </w:r>
          </w:p>
        </w:tc>
        <w:tc>
          <w:tcPr>
            <w:tcMar>
              <w:top w:type="dxa" w:w="70"/>
              <w:left w:type="dxa" w:w="110"/>
              <w:bottom w:type="dxa" w:w="70"/>
              <w:right w:type="dxa" w:w="110"/>
            </w:tcMar>
          </w:tcPr>
          <w:p>
            <w:pPr>
              <w:spacing w:after="0"/>
            </w:pPr>
            <w:r>
              <w:t xml:space="preserve">Industrial disputes</w:t>
            </w:r>
          </w:p>
        </w:tc>
      </w:tr>
      <w:tr>
        <w:trPr>
          <w:cantSplit/>
          <w:tblHeader w:val="false"/>
        </w:trPr>
        <w:tc>
          <w:tcPr>
            <w:tcMar>
              <w:top w:type="dxa" w:w="70"/>
              <w:left w:type="dxa" w:w="110"/>
              <w:bottom w:type="dxa" w:w="70"/>
              <w:right w:type="dxa" w:w="110"/>
            </w:tcMar>
          </w:tcPr>
          <w:p>
            <w:pPr>
              <w:spacing w:after="0"/>
            </w:pPr>
            <w:r>
              <w:t xml:space="preserve">NCLT</w:t>
            </w:r>
          </w:p>
        </w:tc>
        <w:tc>
          <w:tcPr>
            <w:tcMar>
              <w:top w:type="dxa" w:w="70"/>
              <w:left w:type="dxa" w:w="110"/>
              <w:bottom w:type="dxa" w:w="70"/>
              <w:right w:type="dxa" w:w="110"/>
            </w:tcMar>
          </w:tcPr>
          <w:p>
            <w:pPr>
              <w:spacing w:after="0"/>
            </w:pPr>
            <w:r>
              <w:t xml:space="preserve">Central, regional benches</w:t>
            </w:r>
          </w:p>
        </w:tc>
        <w:tc>
          <w:tcPr>
            <w:tcMar>
              <w:top w:type="dxa" w:w="70"/>
              <w:left w:type="dxa" w:w="110"/>
              <w:bottom w:type="dxa" w:w="70"/>
              <w:right w:type="dxa" w:w="110"/>
            </w:tcMar>
          </w:tcPr>
          <w:p>
            <w:pPr>
              <w:spacing w:after="0"/>
            </w:pPr>
            <w:r>
              <w:t xml:space="preserve">Company law, insolvency</w:t>
            </w:r>
          </w:p>
        </w:tc>
      </w:tr>
      <w:tr>
        <w:trPr>
          <w:cantSplit/>
          <w:tblHeader w:val="false"/>
        </w:trPr>
        <w:tc>
          <w:tcPr>
            <w:tcMar>
              <w:top w:type="dxa" w:w="70"/>
              <w:left w:type="dxa" w:w="110"/>
              <w:bottom w:type="dxa" w:w="70"/>
              <w:right w:type="dxa" w:w="110"/>
            </w:tcMar>
          </w:tcPr>
          <w:p>
            <w:pPr>
              <w:spacing w:after="0"/>
            </w:pPr>
            <w:r>
              <w:t xml:space="preserve">RERA Appellate Tribunal</w:t>
            </w:r>
          </w:p>
        </w:tc>
        <w:tc>
          <w:tcPr>
            <w:tcMar>
              <w:top w:type="dxa" w:w="70"/>
              <w:left w:type="dxa" w:w="110"/>
              <w:bottom w:type="dxa" w:w="70"/>
              <w:right w:type="dxa" w:w="110"/>
            </w:tcMar>
          </w:tcPr>
          <w:p>
            <w:pPr>
              <w:spacing w:after="0"/>
            </w:pPr>
            <w:r>
              <w:rPr>
                <w:b/>
                <w:bCs/>
              </w:rPr>
              <w:t xml:space="preserve">State</w:t>
            </w:r>
          </w:p>
        </w:tc>
        <w:tc>
          <w:tcPr>
            <w:tcMar>
              <w:top w:type="dxa" w:w="70"/>
              <w:left w:type="dxa" w:w="110"/>
              <w:bottom w:type="dxa" w:w="70"/>
              <w:right w:type="dxa" w:w="110"/>
            </w:tcMar>
          </w:tcPr>
          <w:p>
            <w:pPr>
              <w:spacing w:after="0"/>
            </w:pPr>
            <w:r>
              <w:t xml:space="preserve">Real estate</w:t>
            </w:r>
          </w:p>
        </w:tc>
      </w:tr>
      <w:tr>
        <w:trPr>
          <w:cantSplit/>
          <w:tblHeader w:val="false"/>
        </w:trPr>
        <w:tc>
          <w:tcPr>
            <w:tcMar>
              <w:top w:type="dxa" w:w="70"/>
              <w:left w:type="dxa" w:w="110"/>
              <w:bottom w:type="dxa" w:w="70"/>
              <w:right w:type="dxa" w:w="110"/>
            </w:tcMar>
          </w:tcPr>
          <w:p>
            <w:pPr>
              <w:spacing w:after="0"/>
            </w:pPr>
            <w:r>
              <w:t xml:space="preserve">National Green Tribunal</w:t>
            </w:r>
          </w:p>
        </w:tc>
        <w:tc>
          <w:tcPr>
            <w:tcMar>
              <w:top w:type="dxa" w:w="70"/>
              <w:left w:type="dxa" w:w="110"/>
              <w:bottom w:type="dxa" w:w="70"/>
              <w:right w:type="dxa" w:w="110"/>
            </w:tcMar>
          </w:tcPr>
          <w:p>
            <w:pPr>
              <w:spacing w:after="0"/>
            </w:pPr>
            <w:r>
              <w:t xml:space="preserve">Central, zonal benches</w:t>
            </w:r>
          </w:p>
        </w:tc>
        <w:tc>
          <w:tcPr>
            <w:tcMar>
              <w:top w:type="dxa" w:w="70"/>
              <w:left w:type="dxa" w:w="110"/>
              <w:bottom w:type="dxa" w:w="70"/>
              <w:right w:type="dxa" w:w="110"/>
            </w:tcMar>
          </w:tcPr>
          <w:p>
            <w:pPr>
              <w:spacing w:after="0"/>
            </w:pPr>
            <w:r>
              <w:t xml:space="preserve">Environmental</w:t>
            </w:r>
          </w:p>
        </w:tc>
      </w:tr>
      <w:tr>
        <w:trPr>
          <w:cantSplit/>
          <w:tblHeader w:val="false"/>
        </w:trPr>
        <w:tc>
          <w:tcPr>
            <w:tcMar>
              <w:top w:type="dxa" w:w="70"/>
              <w:left w:type="dxa" w:w="110"/>
              <w:bottom w:type="dxa" w:w="70"/>
              <w:right w:type="dxa" w:w="110"/>
            </w:tcMar>
          </w:tcPr>
          <w:p>
            <w:pPr>
              <w:spacing w:after="0"/>
            </w:pPr>
            <w:r>
              <w:t xml:space="preserve">Consumer Commissions (District/State/National)</w:t>
            </w:r>
          </w:p>
        </w:tc>
        <w:tc>
          <w:tcPr>
            <w:tcMar>
              <w:top w:type="dxa" w:w="70"/>
              <w:left w:type="dxa" w:w="110"/>
              <w:bottom w:type="dxa" w:w="70"/>
              <w:right w:type="dxa" w:w="110"/>
            </w:tcMar>
          </w:tcPr>
          <w:p>
            <w:pPr>
              <w:spacing w:after="0"/>
            </w:pPr>
            <w:r>
              <w:t xml:space="preserve">Mixed</w:t>
            </w:r>
          </w:p>
        </w:tc>
        <w:tc>
          <w:tcPr>
            <w:tcMar>
              <w:top w:type="dxa" w:w="70"/>
              <w:left w:type="dxa" w:w="110"/>
              <w:bottom w:type="dxa" w:w="70"/>
              <w:right w:type="dxa" w:w="110"/>
            </w:tcMar>
          </w:tcPr>
          <w:p>
            <w:pPr>
              <w:spacing w:after="0"/>
            </w:pPr>
            <w:r>
              <w:t xml:space="preserve">Consumer disputes</w:t>
            </w:r>
          </w:p>
        </w:tc>
      </w:tr>
      <w:tr>
        <w:trPr>
          <w:cantSplit/>
          <w:tblHeader w:val="false"/>
        </w:trPr>
        <w:tc>
          <w:tcPr>
            <w:tcMar>
              <w:top w:type="dxa" w:w="70"/>
              <w:left w:type="dxa" w:w="110"/>
              <w:bottom w:type="dxa" w:w="70"/>
              <w:right w:type="dxa" w:w="110"/>
            </w:tcMar>
          </w:tcPr>
          <w:p>
            <w:pPr>
              <w:spacing w:after="0"/>
            </w:pPr>
            <w:r>
              <w:t xml:space="preserve">Appellate Authority under Shops Acts</w:t>
            </w:r>
          </w:p>
        </w:tc>
        <w:tc>
          <w:tcPr>
            <w:tcMar>
              <w:top w:type="dxa" w:w="70"/>
              <w:left w:type="dxa" w:w="110"/>
              <w:bottom w:type="dxa" w:w="70"/>
              <w:right w:type="dxa" w:w="110"/>
            </w:tcMar>
          </w:tcPr>
          <w:p>
            <w:pPr>
              <w:spacing w:after="0"/>
            </w:pPr>
            <w:r>
              <w:rPr>
                <w:b/>
                <w:bCs/>
              </w:rPr>
              <w:t xml:space="preserve">State</w:t>
            </w:r>
          </w:p>
        </w:tc>
        <w:tc>
          <w:tcPr>
            <w:tcMar>
              <w:top w:type="dxa" w:w="70"/>
              <w:left w:type="dxa" w:w="110"/>
              <w:bottom w:type="dxa" w:w="70"/>
              <w:right w:type="dxa" w:w="110"/>
            </w:tcMar>
          </w:tcPr>
          <w:p>
            <w:pPr>
              <w:spacing w:after="0"/>
            </w:pPr>
            <w:r>
              <w:t xml:space="preserve">Termination, registration disputes</w:t>
            </w:r>
          </w:p>
        </w:tc>
      </w:tr>
      <w:tr>
        <w:trPr>
          <w:cantSplit/>
          <w:tblHeader w:val="false"/>
        </w:trPr>
        <w:tc>
          <w:tcPr>
            <w:tcMar>
              <w:top w:type="dxa" w:w="70"/>
              <w:left w:type="dxa" w:w="110"/>
              <w:bottom w:type="dxa" w:w="70"/>
              <w:right w:type="dxa" w:w="110"/>
            </w:tcMar>
          </w:tcPr>
          <w:p>
            <w:pPr>
              <w:spacing w:after="0"/>
            </w:pPr>
            <w:r>
              <w:t xml:space="preserve">Charity Commissioner / Registrar of Societies</w:t>
            </w:r>
          </w:p>
        </w:tc>
        <w:tc>
          <w:tcPr>
            <w:tcMar>
              <w:top w:type="dxa" w:w="70"/>
              <w:left w:type="dxa" w:w="110"/>
              <w:bottom w:type="dxa" w:w="70"/>
              <w:right w:type="dxa" w:w="110"/>
            </w:tcMar>
          </w:tcPr>
          <w:p>
            <w:pPr>
              <w:spacing w:after="0"/>
            </w:pPr>
            <w:r>
              <w:rPr>
                <w:b/>
                <w:bCs/>
              </w:rPr>
              <w:t xml:space="preserve">State</w:t>
            </w:r>
          </w:p>
        </w:tc>
        <w:tc>
          <w:tcPr>
            <w:tcMar>
              <w:top w:type="dxa" w:w="70"/>
              <w:left w:type="dxa" w:w="110"/>
              <w:bottom w:type="dxa" w:w="70"/>
              <w:right w:type="dxa" w:w="110"/>
            </w:tcMar>
          </w:tcPr>
          <w:p>
            <w:pPr>
              <w:spacing w:after="0"/>
            </w:pPr>
            <w:r>
              <w:t xml:space="preserve">Trust and society matters</w:t>
            </w:r>
          </w:p>
        </w:tc>
      </w:tr>
    </w:tbl>
    <w:p>
      <w:pPr>
        <w:spacing w:after="40"/>
      </w:pPr>
    </w:p>
    <w:p>
      <w:pPr>
        <w:pStyle w:val="Heading2"/>
        <w:keepNext/>
        <w:keepLines/>
      </w:pPr>
      <w:r>
        <w:t xml:space="preserve">7.3 Compounding and Penalties</w:t>
      </w:r>
    </w:p>
    <w:p>
      <w:r>
        <w:t xml:space="preserve">Most state Acts permit </w:t>
      </w:r>
      <w:r>
        <w:rPr>
          <w:b/>
          <w:bCs/>
        </w:rPr>
        <w:t xml:space="preserve">compounding</w:t>
      </w:r>
      <w:r>
        <w:t xml:space="preserve"> of offences on payment of a fee, avoiding prosecution. The compounding schedule is state-specific. Penalty ranges under Shops &amp; Establishments Acts vary from a few hundred rupees (in older Acts never revised) to lakhs (in newer 2017–2019 vintage Acts), which is why an identical violation carries wildly different exposure in Tamil Nadu (1947 Act) versus Maharashtra (2017 Act).</w:t>
      </w:r>
    </w:p>
    <w:p>
      <w:pPr>
        <w:pStyle w:val="Heading1"/>
        <w:keepNext/>
        <w:keepLines/>
        <w:pBdr>
          <w:bottom w:val="single" w:color="2157CF" w:sz="8" w:space="3"/>
        </w:pBdr>
      </w:pPr>
      <w:r>
        <w:t xml:space="preserve">8. Special Constitutional and Regional Regimes</w:t>
      </w:r>
    </w:p>
    <w:p>
      <w:r>
        <w:t xml:space="preserve">Several regions operate under constitutional provisions that override ordinary commercial law. Any pan-India compliance framework must treat these as genuine exceptions, not edge cases.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Provision</w:t>
            </w:r>
          </w:p>
        </w:tc>
        <w:tc>
          <w:tcPr>
            <w:shd w:fill="F0F4FE"/>
            <w:tcMar>
              <w:top w:type="dxa" w:w="70"/>
              <w:left w:type="dxa" w:w="110"/>
              <w:bottom w:type="dxa" w:w="70"/>
              <w:right w:type="dxa" w:w="110"/>
            </w:tcMar>
          </w:tcPr>
          <w:p>
            <w:pPr>
              <w:spacing w:after="0"/>
            </w:pPr>
            <w:r>
              <w:rPr>
                <w:b/>
                <w:bCs/>
                <w:color w:val="112D6A"/>
              </w:rPr>
              <w:t xml:space="preserve">Region</w:t>
            </w:r>
          </w:p>
        </w:tc>
        <w:tc>
          <w:tcPr>
            <w:shd w:fill="F0F4FE"/>
            <w:tcMar>
              <w:top w:type="dxa" w:w="70"/>
              <w:left w:type="dxa" w:w="110"/>
              <w:bottom w:type="dxa" w:w="70"/>
              <w:right w:type="dxa" w:w="110"/>
            </w:tcMar>
          </w:tcPr>
          <w:p>
            <w:pPr>
              <w:spacing w:after="0"/>
            </w:pPr>
            <w:r>
              <w:rPr>
                <w:b/>
                <w:bCs/>
                <w:color w:val="112D6A"/>
              </w:rPr>
              <w:t xml:space="preserve">Effect on Business</w:t>
            </w:r>
          </w:p>
        </w:tc>
      </w:tr>
      <w:tr>
        <w:trPr>
          <w:cantSplit/>
          <w:tblHeader w:val="false"/>
        </w:trPr>
        <w:tc>
          <w:tcPr>
            <w:tcMar>
              <w:top w:type="dxa" w:w="70"/>
              <w:left w:type="dxa" w:w="110"/>
              <w:bottom w:type="dxa" w:w="70"/>
              <w:right w:type="dxa" w:w="110"/>
            </w:tcMar>
          </w:tcPr>
          <w:p>
            <w:pPr>
              <w:spacing w:after="0"/>
            </w:pPr>
            <w:r>
              <w:rPr>
                <w:b/>
                <w:bCs/>
              </w:rPr>
              <w:t xml:space="preserve">Article 371A</w:t>
            </w:r>
          </w:p>
        </w:tc>
        <w:tc>
          <w:tcPr>
            <w:tcMar>
              <w:top w:type="dxa" w:w="70"/>
              <w:left w:type="dxa" w:w="110"/>
              <w:bottom w:type="dxa" w:w="70"/>
              <w:right w:type="dxa" w:w="110"/>
            </w:tcMar>
          </w:tcPr>
          <w:p>
            <w:pPr>
              <w:spacing w:after="0"/>
            </w:pPr>
            <w:r>
              <w:t xml:space="preserve">Nagaland</w:t>
            </w:r>
          </w:p>
        </w:tc>
        <w:tc>
          <w:tcPr>
            <w:tcMar>
              <w:top w:type="dxa" w:w="70"/>
              <w:left w:type="dxa" w:w="110"/>
              <w:bottom w:type="dxa" w:w="70"/>
              <w:right w:type="dxa" w:w="110"/>
            </w:tcMar>
          </w:tcPr>
          <w:p>
            <w:pPr>
              <w:spacing w:after="0"/>
            </w:pPr>
            <w:r>
              <w:t xml:space="preserve">Parliament cannot legislate on Naga customary law, land and resources without Assembly consent; land is largely community-owned and not freely transferable</w:t>
            </w:r>
          </w:p>
        </w:tc>
      </w:tr>
      <w:tr>
        <w:trPr>
          <w:cantSplit/>
          <w:tblHeader w:val="false"/>
        </w:trPr>
        <w:tc>
          <w:tcPr>
            <w:tcMar>
              <w:top w:type="dxa" w:w="70"/>
              <w:left w:type="dxa" w:w="110"/>
              <w:bottom w:type="dxa" w:w="70"/>
              <w:right w:type="dxa" w:w="110"/>
            </w:tcMar>
          </w:tcPr>
          <w:p>
            <w:pPr>
              <w:spacing w:after="0"/>
            </w:pPr>
            <w:r>
              <w:rPr>
                <w:b/>
                <w:bCs/>
              </w:rPr>
              <w:t xml:space="preserve">Article 371G</w:t>
            </w:r>
          </w:p>
        </w:tc>
        <w:tc>
          <w:tcPr>
            <w:tcMar>
              <w:top w:type="dxa" w:w="70"/>
              <w:left w:type="dxa" w:w="110"/>
              <w:bottom w:type="dxa" w:w="70"/>
              <w:right w:type="dxa" w:w="110"/>
            </w:tcMar>
          </w:tcPr>
          <w:p>
            <w:pPr>
              <w:spacing w:after="0"/>
            </w:pPr>
            <w:r>
              <w:t xml:space="preserve">Mizoram</w:t>
            </w:r>
          </w:p>
        </w:tc>
        <w:tc>
          <w:tcPr>
            <w:tcMar>
              <w:top w:type="dxa" w:w="70"/>
              <w:left w:type="dxa" w:w="110"/>
              <w:bottom w:type="dxa" w:w="70"/>
              <w:right w:type="dxa" w:w="110"/>
            </w:tcMar>
          </w:tcPr>
          <w:p>
            <w:pPr>
              <w:spacing w:after="0"/>
            </w:pPr>
            <w:r>
              <w:t xml:space="preserve">Similar protection for Mizo customary law and land ownership</w:t>
            </w:r>
          </w:p>
        </w:tc>
      </w:tr>
      <w:tr>
        <w:trPr>
          <w:cantSplit/>
          <w:tblHeader w:val="false"/>
        </w:trPr>
        <w:tc>
          <w:tcPr>
            <w:tcMar>
              <w:top w:type="dxa" w:w="70"/>
              <w:left w:type="dxa" w:w="110"/>
              <w:bottom w:type="dxa" w:w="70"/>
              <w:right w:type="dxa" w:w="110"/>
            </w:tcMar>
          </w:tcPr>
          <w:p>
            <w:pPr>
              <w:spacing w:after="0"/>
            </w:pPr>
            <w:r>
              <w:rPr>
                <w:b/>
                <w:bCs/>
              </w:rPr>
              <w:t xml:space="preserve">Article 371H</w:t>
            </w:r>
          </w:p>
        </w:tc>
        <w:tc>
          <w:tcPr>
            <w:tcMar>
              <w:top w:type="dxa" w:w="70"/>
              <w:left w:type="dxa" w:w="110"/>
              <w:bottom w:type="dxa" w:w="70"/>
              <w:right w:type="dxa" w:w="110"/>
            </w:tcMar>
          </w:tcPr>
          <w:p>
            <w:pPr>
              <w:spacing w:after="0"/>
            </w:pPr>
            <w:r>
              <w:t xml:space="preserve">Arunachal Pradesh</w:t>
            </w:r>
          </w:p>
        </w:tc>
        <w:tc>
          <w:tcPr>
            <w:tcMar>
              <w:top w:type="dxa" w:w="70"/>
              <w:left w:type="dxa" w:w="110"/>
              <w:bottom w:type="dxa" w:w="70"/>
              <w:right w:type="dxa" w:w="110"/>
            </w:tcMar>
          </w:tcPr>
          <w:p>
            <w:pPr>
              <w:spacing w:after="0"/>
            </w:pPr>
            <w:r>
              <w:t xml:space="preserve">Special responsibility of the Governor over law and order; land restrictions</w:t>
            </w:r>
          </w:p>
        </w:tc>
      </w:tr>
      <w:tr>
        <w:trPr>
          <w:cantSplit/>
          <w:tblHeader w:val="false"/>
        </w:trPr>
        <w:tc>
          <w:tcPr>
            <w:tcMar>
              <w:top w:type="dxa" w:w="70"/>
              <w:left w:type="dxa" w:w="110"/>
              <w:bottom w:type="dxa" w:w="70"/>
              <w:right w:type="dxa" w:w="110"/>
            </w:tcMar>
          </w:tcPr>
          <w:p>
            <w:pPr>
              <w:spacing w:after="0"/>
            </w:pPr>
            <w:r>
              <w:rPr>
                <w:b/>
                <w:bCs/>
              </w:rPr>
              <w:t xml:space="preserve">Article 371F</w:t>
            </w:r>
          </w:p>
        </w:tc>
        <w:tc>
          <w:tcPr>
            <w:tcMar>
              <w:top w:type="dxa" w:w="70"/>
              <w:left w:type="dxa" w:w="110"/>
              <w:bottom w:type="dxa" w:w="70"/>
              <w:right w:type="dxa" w:w="110"/>
            </w:tcMar>
          </w:tcPr>
          <w:p>
            <w:pPr>
              <w:spacing w:after="0"/>
            </w:pPr>
            <w:r>
              <w:t xml:space="preserve">Sikkim</w:t>
            </w:r>
          </w:p>
        </w:tc>
        <w:tc>
          <w:tcPr>
            <w:tcMar>
              <w:top w:type="dxa" w:w="70"/>
              <w:left w:type="dxa" w:w="110"/>
              <w:bottom w:type="dxa" w:w="70"/>
              <w:right w:type="dxa" w:w="110"/>
            </w:tcMar>
          </w:tcPr>
          <w:p>
            <w:pPr>
              <w:spacing w:after="0"/>
            </w:pPr>
            <w:r>
              <w:t xml:space="preserve">Pre-merger laws preserved; land transfer to non-Sikkimese restricted; distinctive income tax position for Sikkimese</w:t>
            </w:r>
          </w:p>
        </w:tc>
      </w:tr>
      <w:tr>
        <w:trPr>
          <w:cantSplit/>
          <w:tblHeader w:val="false"/>
        </w:trPr>
        <w:tc>
          <w:tcPr>
            <w:tcMar>
              <w:top w:type="dxa" w:w="70"/>
              <w:left w:type="dxa" w:w="110"/>
              <w:bottom w:type="dxa" w:w="70"/>
              <w:right w:type="dxa" w:w="110"/>
            </w:tcMar>
          </w:tcPr>
          <w:p>
            <w:pPr>
              <w:spacing w:after="0"/>
            </w:pPr>
            <w:r>
              <w:rPr>
                <w:b/>
                <w:bCs/>
              </w:rPr>
              <w:t xml:space="preserve">Sixth Schedule</w:t>
            </w:r>
          </w:p>
        </w:tc>
        <w:tc>
          <w:tcPr>
            <w:tcMar>
              <w:top w:type="dxa" w:w="70"/>
              <w:left w:type="dxa" w:w="110"/>
              <w:bottom w:type="dxa" w:w="70"/>
              <w:right w:type="dxa" w:w="110"/>
            </w:tcMar>
          </w:tcPr>
          <w:p>
            <w:pPr>
              <w:spacing w:after="0"/>
            </w:pPr>
            <w:r>
              <w:t xml:space="preserve">Autonomous districts of Assam, Meghalaya, Tripura, Mizoram</w:t>
            </w:r>
          </w:p>
        </w:tc>
        <w:tc>
          <w:tcPr>
            <w:tcMar>
              <w:top w:type="dxa" w:w="70"/>
              <w:left w:type="dxa" w:w="110"/>
              <w:bottom w:type="dxa" w:w="70"/>
              <w:right w:type="dxa" w:w="110"/>
            </w:tcMar>
          </w:tcPr>
          <w:p>
            <w:pPr>
              <w:spacing w:after="0"/>
            </w:pPr>
            <w:r>
              <w:t xml:space="preserve">Autonomous District Councils regulate land, trade licensing and certain taxes independently of the state government</w:t>
            </w:r>
          </w:p>
        </w:tc>
      </w:tr>
      <w:tr>
        <w:trPr>
          <w:cantSplit/>
          <w:tblHeader w:val="false"/>
        </w:trPr>
        <w:tc>
          <w:tcPr>
            <w:tcMar>
              <w:top w:type="dxa" w:w="70"/>
              <w:left w:type="dxa" w:w="110"/>
              <w:bottom w:type="dxa" w:w="70"/>
              <w:right w:type="dxa" w:w="110"/>
            </w:tcMar>
          </w:tcPr>
          <w:p>
            <w:pPr>
              <w:spacing w:after="0"/>
            </w:pPr>
            <w:r>
              <w:rPr>
                <w:b/>
                <w:bCs/>
              </w:rPr>
              <w:t xml:space="preserve">Article 371D</w:t>
            </w:r>
          </w:p>
        </w:tc>
        <w:tc>
          <w:tcPr>
            <w:tcMar>
              <w:top w:type="dxa" w:w="70"/>
              <w:left w:type="dxa" w:w="110"/>
              <w:bottom w:type="dxa" w:w="70"/>
              <w:right w:type="dxa" w:w="110"/>
            </w:tcMar>
          </w:tcPr>
          <w:p>
            <w:pPr>
              <w:spacing w:after="0"/>
            </w:pPr>
            <w:r>
              <w:t xml:space="preserve">Andhra Pradesh and Telangana</w:t>
            </w:r>
          </w:p>
        </w:tc>
        <w:tc>
          <w:tcPr>
            <w:tcMar>
              <w:top w:type="dxa" w:w="70"/>
              <w:left w:type="dxa" w:w="110"/>
              <w:bottom w:type="dxa" w:w="70"/>
              <w:right w:type="dxa" w:w="110"/>
            </w:tcMar>
          </w:tcPr>
          <w:p>
            <w:pPr>
              <w:spacing w:after="0"/>
            </w:pPr>
            <w:r>
              <w:t xml:space="preserve">Local-cadre employment provisions</w:t>
            </w:r>
          </w:p>
        </w:tc>
      </w:tr>
      <w:tr>
        <w:trPr>
          <w:cantSplit/>
          <w:tblHeader w:val="false"/>
        </w:trPr>
        <w:tc>
          <w:tcPr>
            <w:tcMar>
              <w:top w:type="dxa" w:w="70"/>
              <w:left w:type="dxa" w:w="110"/>
              <w:bottom w:type="dxa" w:w="70"/>
              <w:right w:type="dxa" w:w="110"/>
            </w:tcMar>
          </w:tcPr>
          <w:p>
            <w:pPr>
              <w:spacing w:after="0"/>
            </w:pPr>
            <w:r>
              <w:rPr>
                <w:b/>
                <w:bCs/>
              </w:rPr>
              <w:t xml:space="preserve">Inner Line Permit (Bengal Eastern Frontier Regulation 1873)</w:t>
            </w:r>
          </w:p>
        </w:tc>
        <w:tc>
          <w:tcPr>
            <w:tcMar>
              <w:top w:type="dxa" w:w="70"/>
              <w:left w:type="dxa" w:w="110"/>
              <w:bottom w:type="dxa" w:w="70"/>
              <w:right w:type="dxa" w:w="110"/>
            </w:tcMar>
          </w:tcPr>
          <w:p>
            <w:pPr>
              <w:spacing w:after="0"/>
            </w:pPr>
            <w:r>
              <w:t xml:space="preserve">Arunachal Pradesh, Nagaland, Mizoram, Manipur</w:t>
            </w:r>
          </w:p>
        </w:tc>
        <w:tc>
          <w:tcPr>
            <w:tcMar>
              <w:top w:type="dxa" w:w="70"/>
              <w:left w:type="dxa" w:w="110"/>
              <w:bottom w:type="dxa" w:w="70"/>
              <w:right w:type="dxa" w:w="110"/>
            </w:tcMar>
          </w:tcPr>
          <w:p>
            <w:pPr>
              <w:spacing w:after="0"/>
            </w:pPr>
            <w:r>
              <w:t xml:space="preserve">Non-residents require a permit to enter — affects deployment of staff and contractors</w:t>
            </w:r>
          </w:p>
        </w:tc>
      </w:tr>
      <w:tr>
        <w:trPr>
          <w:cantSplit/>
          <w:tblHeader w:val="false"/>
        </w:trPr>
        <w:tc>
          <w:tcPr>
            <w:tcMar>
              <w:top w:type="dxa" w:w="70"/>
              <w:left w:type="dxa" w:w="110"/>
              <w:bottom w:type="dxa" w:w="70"/>
              <w:right w:type="dxa" w:w="110"/>
            </w:tcMar>
          </w:tcPr>
          <w:p>
            <w:pPr>
              <w:spacing w:after="0"/>
            </w:pPr>
            <w:r>
              <w:rPr>
                <w:b/>
                <w:bCs/>
              </w:rPr>
              <w:t xml:space="preserve">Fifth Schedule</w:t>
            </w:r>
          </w:p>
        </w:tc>
        <w:tc>
          <w:tcPr>
            <w:tcMar>
              <w:top w:type="dxa" w:w="70"/>
              <w:left w:type="dxa" w:w="110"/>
              <w:bottom w:type="dxa" w:w="70"/>
              <w:right w:type="dxa" w:w="110"/>
            </w:tcMar>
          </w:tcPr>
          <w:p>
            <w:pPr>
              <w:spacing w:after="0"/>
            </w:pPr>
            <w:r>
              <w:t xml:space="preserve">Scheduled Areas across ten states</w:t>
            </w:r>
          </w:p>
        </w:tc>
        <w:tc>
          <w:tcPr>
            <w:tcMar>
              <w:top w:type="dxa" w:w="70"/>
              <w:left w:type="dxa" w:w="110"/>
              <w:bottom w:type="dxa" w:w="70"/>
              <w:right w:type="dxa" w:w="110"/>
            </w:tcMar>
          </w:tcPr>
          <w:p>
            <w:pPr>
              <w:spacing w:after="0"/>
            </w:pPr>
            <w:r>
              <w:t xml:space="preserve">Restrictions on land transfer from tribal to non-tribal persons; PESA 1996 requires Gram Sabha consultation for land acquisition and minor minerals</w:t>
            </w:r>
          </w:p>
        </w:tc>
      </w:tr>
      <w:tr>
        <w:trPr>
          <w:cantSplit/>
          <w:tblHeader w:val="false"/>
        </w:trPr>
        <w:tc>
          <w:tcPr>
            <w:tcMar>
              <w:top w:type="dxa" w:w="70"/>
              <w:left w:type="dxa" w:w="110"/>
              <w:bottom w:type="dxa" w:w="70"/>
              <w:right w:type="dxa" w:w="110"/>
            </w:tcMar>
          </w:tcPr>
          <w:p>
            <w:pPr>
              <w:spacing w:after="0"/>
            </w:pPr>
            <w:r>
              <w:rPr>
                <w:b/>
                <w:bCs/>
              </w:rPr>
              <w:t xml:space="preserve">Article 370 abrogation (2019)</w:t>
            </w:r>
          </w:p>
        </w:tc>
        <w:tc>
          <w:tcPr>
            <w:tcMar>
              <w:top w:type="dxa" w:w="70"/>
              <w:left w:type="dxa" w:w="110"/>
              <w:bottom w:type="dxa" w:w="70"/>
              <w:right w:type="dxa" w:w="110"/>
            </w:tcMar>
          </w:tcPr>
          <w:p>
            <w:pPr>
              <w:spacing w:after="0"/>
            </w:pPr>
            <w:r>
              <w:t xml:space="preserve">Jammu &amp; Kashmir and Ladakh</w:t>
            </w:r>
          </w:p>
        </w:tc>
        <w:tc>
          <w:tcPr>
            <w:tcMar>
              <w:top w:type="dxa" w:w="70"/>
              <w:left w:type="dxa" w:w="110"/>
              <w:bottom w:type="dxa" w:w="70"/>
              <w:right w:type="dxa" w:w="110"/>
            </w:tcMar>
          </w:tcPr>
          <w:p>
            <w:pPr>
              <w:spacing w:after="0"/>
            </w:pPr>
            <w:r>
              <w:t xml:space="preserve">Central laws extended; land purchase restrictions substantially relaxed; the entire compliance framework was rebuilt between 2019 and 2021</w:t>
            </w:r>
          </w:p>
        </w:tc>
      </w:tr>
    </w:tbl>
    <w:p>
      <w:pPr>
        <w:spacing w:after="40"/>
      </w:pPr>
    </w:p>
    <w:p>
      <w:r>
        <w:t xml:space="preserve">The </w:t>
      </w:r>
      <w:r>
        <w:rPr>
          <w:b/>
          <w:bCs/>
        </w:rPr>
        <w:t xml:space="preserve">Fifth Schedule and PESA</w:t>
      </w:r>
      <w:r>
        <w:t xml:space="preserve"> point is under-appreciated: in Scheduled Areas of Andhra Pradesh, Telangana, Jharkhand, Chhattisgarh, Odisha, Madhya Pradesh, Maharashtra, Gujarat, Rajasthan and Himachal Pradesh, land acquisition and mining consent require Gram Sabha involvement, and Supreme Court jurisprudence (notably </w:t>
      </w:r>
      <w:r>
        <w:rPr>
          <w:i/>
          <w:iCs/>
        </w:rPr>
        <w:t xml:space="preserve">Samatha</w:t>
      </w:r>
      <w:r>
        <w:t xml:space="preserve"> and </w:t>
      </w:r>
      <w:r>
        <w:rPr>
          <w:i/>
          <w:iCs/>
        </w:rPr>
        <w:t xml:space="preserve">Niyamgiri</w:t>
      </w:r>
      <w:r>
        <w:t xml:space="preserve">) has invalidated projects that bypassed it.</w:t>
      </w:r>
    </w:p>
    <w:p>
      <w:pPr>
        <w:pStyle w:val="Heading1"/>
        <w:keepNext/>
        <w:keepLines/>
        <w:pBdr>
          <w:bottom w:val="single" w:color="2157CF" w:sz="8" w:space="3"/>
        </w:pBdr>
      </w:pPr>
      <w:r>
        <w:t xml:space="preserve">9. Ease of Doing Business Reform Landscape</w:t>
      </w:r>
    </w:p>
    <w:p>
      <w:r>
        <w:t xml:space="preserve">The Department for Promotion of Industry and Internal Trade (DPIIT) ran the </w:t>
      </w:r>
      <w:r>
        <w:rPr>
          <w:b/>
          <w:bCs/>
        </w:rPr>
        <w:t xml:space="preserve">Business Reform Action Plan (BRAP)</w:t>
      </w:r>
      <w:r>
        <w:t xml:space="preserve"> state ranking exercise, which drove genuine convergence in several areas:</w:t>
      </w:r>
    </w:p>
    <w:p>
      <w:r>
        <w:rPr>
          <w:b/>
          <w:bCs/>
        </w:rPr>
        <w:t xml:space="preserve">Reforms most widely adopted:</w:t>
      </w:r>
    </w:p>
    <w:p>
      <w:pPr>
        <w:pStyle w:val="ListParagraph"/>
        <w:numPr>
          <w:ilvl w:val="0"/>
          <w:numId w:val="1"/>
        </w:numPr>
        <w:spacing w:after="60"/>
      </w:pPr>
      <w:r>
        <w:t xml:space="preserve">Online single-window systems with time-bound clearance</w:t>
      </w:r>
    </w:p>
    <w:p>
      <w:pPr>
        <w:pStyle w:val="ListParagraph"/>
        <w:numPr>
          <w:ilvl w:val="0"/>
          <w:numId w:val="1"/>
        </w:numPr>
        <w:spacing w:after="60"/>
      </w:pPr>
      <w:r>
        <w:t xml:space="preserve">Combined application forms for multiple labour registrations</w:t>
      </w:r>
    </w:p>
    <w:p>
      <w:pPr>
        <w:pStyle w:val="ListParagraph"/>
        <w:numPr>
          <w:ilvl w:val="0"/>
          <w:numId w:val="1"/>
        </w:numPr>
        <w:spacing w:after="60"/>
      </w:pPr>
      <w:r>
        <w:t xml:space="preserve">Self-certification and third-party certification for factory and boiler inspection</w:t>
      </w:r>
    </w:p>
    <w:p>
      <w:pPr>
        <w:pStyle w:val="ListParagraph"/>
        <w:numPr>
          <w:ilvl w:val="0"/>
          <w:numId w:val="1"/>
        </w:numPr>
        <w:spacing w:after="60"/>
      </w:pPr>
      <w:r>
        <w:t xml:space="preserve">Randomised, computerised inspection allocation</w:t>
      </w:r>
    </w:p>
    <w:p>
      <w:pPr>
        <w:pStyle w:val="ListParagraph"/>
        <w:numPr>
          <w:ilvl w:val="0"/>
          <w:numId w:val="1"/>
        </w:numPr>
        <w:spacing w:after="60"/>
      </w:pPr>
      <w:r>
        <w:t xml:space="preserve">Extended registration validity (5–10 years) under Shops Acts</w:t>
      </w:r>
    </w:p>
    <w:p>
      <w:pPr>
        <w:pStyle w:val="ListParagraph"/>
        <w:numPr>
          <w:ilvl w:val="0"/>
          <w:numId w:val="1"/>
        </w:numPr>
        <w:spacing w:after="60"/>
      </w:pPr>
      <w:r>
        <w:t xml:space="preserve">Deemed approval provisions</w:t>
      </w:r>
    </w:p>
    <w:p>
      <w:pPr>
        <w:pStyle w:val="ListParagraph"/>
        <w:numPr>
          <w:ilvl w:val="0"/>
          <w:numId w:val="1"/>
        </w:numPr>
        <w:spacing w:after="60"/>
      </w:pPr>
      <w:r>
        <w:t xml:space="preserve">Online payment of stamp duty and e-registration of documents</w:t>
      </w:r>
    </w:p>
    <w:p>
      <w:pPr>
        <w:pStyle w:val="ListParagraph"/>
        <w:numPr>
          <w:ilvl w:val="0"/>
          <w:numId w:val="1"/>
        </w:numPr>
        <w:spacing w:after="60"/>
      </w:pPr>
      <w:r>
        <w:t xml:space="preserve">Digitised land records and online mutation</w:t>
      </w:r>
    </w:p>
    <w:p>
      <w:r>
        <w:rPr>
          <w:b/>
          <w:bCs/>
        </w:rPr>
        <w:t xml:space="preserve">Reforms with persistent divergence:</w:t>
      </w:r>
    </w:p>
    <w:p>
      <w:pPr>
        <w:pStyle w:val="ListParagraph"/>
        <w:numPr>
          <w:ilvl w:val="0"/>
          <w:numId w:val="1"/>
        </w:numPr>
        <w:spacing w:after="60"/>
      </w:pPr>
      <w:r>
        <w:t xml:space="preserve">Land acquisition and conversion timelines</w:t>
      </w:r>
    </w:p>
    <w:p>
      <w:pPr>
        <w:pStyle w:val="ListParagraph"/>
        <w:numPr>
          <w:ilvl w:val="0"/>
          <w:numId w:val="1"/>
        </w:numPr>
        <w:spacing w:after="60"/>
      </w:pPr>
      <w:r>
        <w:t xml:space="preserve">Actual (as opposed to notified) clearance turnaround</w:t>
      </w:r>
    </w:p>
    <w:p>
      <w:pPr>
        <w:pStyle w:val="ListParagraph"/>
        <w:numPr>
          <w:ilvl w:val="0"/>
          <w:numId w:val="1"/>
        </w:numPr>
        <w:spacing w:after="60"/>
      </w:pPr>
      <w:r>
        <w:t xml:space="preserve">Labour dispute resolution pendency</w:t>
      </w:r>
    </w:p>
    <w:p>
      <w:pPr>
        <w:pStyle w:val="ListParagraph"/>
        <w:numPr>
          <w:ilvl w:val="0"/>
          <w:numId w:val="1"/>
        </w:numPr>
        <w:spacing w:after="60"/>
      </w:pPr>
      <w:r>
        <w:t xml:space="preserve">Environmental consent processing</w:t>
      </w:r>
    </w:p>
    <w:p>
      <w:pPr>
        <w:pStyle w:val="ListParagraph"/>
        <w:numPr>
          <w:ilvl w:val="0"/>
          <w:numId w:val="1"/>
        </w:numPr>
        <w:spacing w:after="60"/>
      </w:pPr>
      <w:r>
        <w:t xml:space="preserve">Local body approvals, which BRAP barely touched</w:t>
      </w:r>
    </w:p>
    <w:p>
      <w:pPr>
        <w:pStyle w:val="ListParagraph"/>
        <w:numPr>
          <w:ilvl w:val="0"/>
          <w:numId w:val="1"/>
        </w:numPr>
        <w:spacing w:after="60"/>
      </w:pPr>
      <w:r>
        <w:t xml:space="preserve">Contract enforcement, which remains a function of judicial pendency in each state</w:t>
      </w:r>
    </w:p>
    <w:p>
      <w:r>
        <w:t xml:space="preserve">The states most consistently in the top tier of these rankings have been Andhra Pradesh, Telangana, Gujarat, Karnataka, Tamil Nadu, Haryana, Maharashtra, Madhya Pradesh, Punjab and Uttar Pradesh, with Uttar Pradesh showing the largest improvement over the decade. Rankings shift and the methodology changed to an “Achievers/Aspirers” band format, so specific ranks should not be quoted without checking the current edition.</w:t>
      </w:r>
    </w:p>
    <w:p>
      <w:pPr>
        <w:pStyle w:val="Heading1"/>
        <w:keepNext/>
        <w:keepLines/>
        <w:pBdr>
          <w:bottom w:val="single" w:color="2157CF" w:sz="8" w:space="3"/>
        </w:pBdr>
      </w:pPr>
      <w:r>
        <w:t xml:space="preserve">PART B — THE JURISDICTIONAL VIEW</w:t>
      </w:r>
    </w:p>
    <w:p>
      <w:pPr>
        <w:pStyle w:val="Heading1"/>
        <w:keepNext/>
        <w:keepLines/>
        <w:pBdr>
          <w:bottom w:val="single" w:color="2157CF" w:sz="8" w:space="3"/>
        </w:pBdr>
      </w:pPr>
      <w:r>
        <w:t xml:space="preserve">10. State and Union Territory Profiles</w:t>
      </w:r>
    </w:p>
    <w:p>
      <w:r>
        <w:t xml:space="preserve">Each profile uses the same field structure so any two jurisdictions can be compared directly:</w:t>
      </w:r>
    </w:p>
    <w:p>
      <w:r>
        <w:rPr>
          <w:b/>
          <w:bCs/>
        </w:rPr>
        <w:t xml:space="preserve">Shops Act | Professional Tax | Labour Welfare Fund | Stamp Duty | Industrial Agency | Single Window | Pollution Board | Excise Model | Distinctive Features</w:t>
      </w:r>
    </w:p>
    <w:p>
      <w:pPr>
        <w:pStyle w:val="Heading2"/>
        <w:keepNext/>
        <w:keepLines/>
      </w:pPr>
      <w:r>
        <w:t xml:space="preserve">10.1 THE STATES</w:t>
      </w:r>
    </w:p>
    <w:p>
      <w:pPr>
        <w:pStyle w:val="Heading3"/>
        <w:keepNext/>
        <w:keepLines/>
      </w:pPr>
      <w:r>
        <w:t xml:space="preserve">10.1.1 Andhra Pradesh</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AP Shops &amp; Establishments Act, 1988 — applies to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AP Act 1987; Commercial Taxes Dept; monthly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annual contribution, December cycle</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 conveyance + 1.5% transfer duty + 0.5% registration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APIIC</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AP Single Desk Portal</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APPCB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State-controlled retail model</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t xml:space="preserve">Conversion under the AP Agricultural Land (Conversion for Non-Agricultural Purposes) Act 2006; relatively open purchase rules</w:t>
            </w:r>
          </w:p>
        </w:tc>
      </w:tr>
    </w:tbl>
    <w:p>
      <w:pPr>
        <w:spacing w:after="40"/>
      </w:pPr>
    </w:p>
    <w:p>
      <w:r>
        <w:rPr>
          <w:b/>
          <w:bCs/>
        </w:rPr>
        <w:t xml:space="preserve">Distinctive:</w:t>
      </w:r>
      <w:r>
        <w:t xml:space="preserve"> Aggressive investor-facing administration and one of the strongest performers in BRAP rankings. Article 371D local-cadre provisions apply to public employment. Long coastline drives port-linked industrial corridors (Visakhapatnam-Chennai Industrial Corridor). Scheduled Areas in the agency districts trigger Fifth Schedule and PESA constraints on land.</w:t>
      </w:r>
    </w:p>
    <w:p>
      <w:pPr>
        <w:pStyle w:val="Heading3"/>
        <w:keepNext/>
        <w:keepLines/>
      </w:pPr>
      <w:r>
        <w:t xml:space="preserve">10.1.2 Arunachal Pradesh</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Arunachal Pradesh Shops &amp; Establishments Act, 2004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~6%</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Department of Industries</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Arunachal Single Window / Industries portal</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Arunachal Pradesh State 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GST</w:t>
            </w:r>
          </w:p>
        </w:tc>
        <w:tc>
          <w:tcPr>
            <w:tcMar>
              <w:top w:type="dxa" w:w="70"/>
              <w:left w:type="dxa" w:w="110"/>
              <w:bottom w:type="dxa" w:w="70"/>
              <w:right w:type="dxa" w:w="110"/>
            </w:tcMar>
          </w:tcPr>
          <w:p>
            <w:pPr>
              <w:spacing w:after="0"/>
            </w:pPr>
            <w:r>
              <w:t xml:space="preserve">Special category state — lower registration thresholds historically</w:t>
            </w:r>
          </w:p>
        </w:tc>
      </w:tr>
    </w:tbl>
    <w:p>
      <w:pPr>
        <w:spacing w:after="40"/>
      </w:pPr>
    </w:p>
    <w:p>
      <w:r>
        <w:rPr>
          <w:b/>
          <w:bCs/>
        </w:rPr>
        <w:t xml:space="preserve">Distinctive:</w:t>
      </w:r>
      <w:r>
        <w:t xml:space="preserve"> </w:t>
      </w:r>
      <w:r>
        <w:rPr>
          <w:b/>
          <w:bCs/>
        </w:rPr>
        <w:t xml:space="preserve">Article 371H</w:t>
      </w:r>
      <w:r>
        <w:t xml:space="preserve"> and </w:t>
      </w:r>
      <w:r>
        <w:rPr>
          <w:b/>
          <w:bCs/>
        </w:rPr>
        <w:t xml:space="preserve">Inner Line Permit</w:t>
      </w:r>
      <w:r>
        <w:t xml:space="preserve"> requirements. Land is largely community-owned under customary tenure and cannot be freely purchased by outsiders — industry operates on lease or in state-allotted estates. Hydropower is the dominant industrial sector, with its own clearance chain (CEA, MoEFCC, forest clearance). Difficult logistics and limited common environmental infrastructure materially affect what compliance is practically achievable.</w:t>
      </w:r>
    </w:p>
    <w:p>
      <w:pPr>
        <w:pStyle w:val="Heading3"/>
        <w:keepNext/>
        <w:keepLines/>
      </w:pPr>
      <w:r>
        <w:t xml:space="preserve">10.1.3 Assam</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Assam Shops &amp; Establishments Act, 1971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Assam Act 1947; Commissionerate of Taxes; monthly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~6%</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AIDC / Assam Industrial Development Corporation</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Assam Single Window (Ease of Doing Business portal)</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Assam State 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Factories Act</w:t>
            </w:r>
          </w:p>
        </w:tc>
        <w:tc>
          <w:tcPr>
            <w:tcMar>
              <w:top w:type="dxa" w:w="70"/>
              <w:left w:type="dxa" w:w="110"/>
              <w:bottom w:type="dxa" w:w="70"/>
              <w:right w:type="dxa" w:w="110"/>
            </w:tcMar>
          </w:tcPr>
          <w:p>
            <w:pPr>
              <w:spacing w:after="0"/>
            </w:pPr>
            <w:r>
              <w:t xml:space="preserve">State amendment raised worker thresholds</w:t>
            </w:r>
          </w:p>
        </w:tc>
      </w:tr>
    </w:tbl>
    <w:p>
      <w:pPr>
        <w:spacing w:after="40"/>
      </w:pPr>
    </w:p>
    <w:p>
      <w:r>
        <w:rPr>
          <w:b/>
          <w:bCs/>
        </w:rPr>
        <w:t xml:space="preserve">Distinctive:</w:t>
      </w:r>
      <w:r>
        <w:t xml:space="preserve"> Gateway state for the North-East, with the region’s largest industrial base — tea, petroleum refining, plywood and increasingly food processing. </w:t>
      </w:r>
      <w:r>
        <w:rPr>
          <w:b/>
          <w:bCs/>
        </w:rPr>
        <w:t xml:space="preserve">Sixth Schedule autonomous councils</w:t>
      </w:r>
      <w:r>
        <w:t xml:space="preserve"> (Bodoland Territorial Council, Karbi Anglong, Dima Hasao) regulate land and certain licensing independently. Tea industry carries its own dedicated legal framework — the Plantations Labour Act 1951 with Assam rules governing housing, health care and education obligations toward plantation workers, which is a compliance regime with no equivalent in most states.</w:t>
      </w:r>
    </w:p>
    <w:p>
      <w:pPr>
        <w:pStyle w:val="Heading3"/>
        <w:keepNext/>
        <w:keepLines/>
      </w:pPr>
      <w:r>
        <w:t xml:space="preserve">10.1.4 Bihar</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Bihar Shops &amp; Establishments Act, 1953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Bihar Act 2011; Commercial Taxes Dept; annual</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~6%, with concession on male-to-female transfers</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BIADA</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Bihar Single Window Clearance System</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Bihar State 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rPr>
                <w:b/>
                <w:bCs/>
              </w:rPr>
              <w:t xml:space="preserve">Total prohibition since April 2016</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t xml:space="preserve">Bihar Tenancy framework; land record digitisation ongoing</w:t>
            </w:r>
          </w:p>
        </w:tc>
      </w:tr>
    </w:tbl>
    <w:p>
      <w:pPr>
        <w:spacing w:after="40"/>
      </w:pPr>
    </w:p>
    <w:p>
      <w:r>
        <w:rPr>
          <w:b/>
          <w:bCs/>
        </w:rPr>
        <w:t xml:space="preserve">Distinctive:</w:t>
      </w:r>
      <w:r>
        <w:t xml:space="preserve"> The </w:t>
      </w:r>
      <w:r>
        <w:rPr>
          <w:b/>
          <w:bCs/>
        </w:rPr>
        <w:t xml:space="preserve">prohibition regime</w:t>
      </w:r>
      <w:r>
        <w:t xml:space="preserve"> is the defining feature — the Bihar Prohibition and Excise Act 2016 is among the strictest in India, criminalising possession and consumption with severe penalties, and it eliminated a major revenue stream while creating substantial enforcement infrastructure. For hospitality and retail businesses this makes Bihar structurally different from neighbouring Jharkhand and West Bengal. Industrial policy leans heavily on food processing, ethanol and textiles with capital subsidy incentives.</w:t>
      </w:r>
    </w:p>
    <w:p>
      <w:pPr>
        <w:pStyle w:val="Heading3"/>
        <w:keepNext/>
        <w:keepLines/>
      </w:pPr>
      <w:r>
        <w:t xml:space="preserve">10.1.5 Chhattisgarh</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Chhattisgarh Shops &amp; Establishments Act, 1958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Abolished in 2011 — 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half-yearly</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 rebate for women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CSIDC</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Chhattisgarh Single Window System</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Chhattisgarh Environment Conservation Board (CECB)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rPr>
                <w:b/>
                <w:bCs/>
              </w:rPr>
              <w:t xml:space="preserve">State-run retail</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t xml:space="preserve">Extensive Fifth Schedule Scheduled Areas</w:t>
            </w:r>
          </w:p>
        </w:tc>
      </w:tr>
    </w:tbl>
    <w:p>
      <w:pPr>
        <w:spacing w:after="40"/>
      </w:pPr>
    </w:p>
    <w:p>
      <w:r>
        <w:rPr>
          <w:b/>
          <w:bCs/>
        </w:rPr>
        <w:t xml:space="preserve">Distinctive:</w:t>
      </w:r>
      <w:r>
        <w:t xml:space="preserve"> A mineral-economy state — coal, iron ore, bauxite — so the </w:t>
      </w:r>
      <w:r>
        <w:rPr>
          <w:b/>
          <w:bCs/>
        </w:rPr>
        <w:t xml:space="preserve">minor and major mineral concession framework, forest clearance and PESA Gram Sabha consent</w:t>
      </w:r>
      <w:r>
        <w:t xml:space="preserve"> dominate industrial approvals far more than in most states. The state runs liquor retail directly. The combination of extensive Scheduled Areas and forest cover makes land assembly the binding constraint on industrial projects.</w:t>
      </w:r>
    </w:p>
    <w:p>
      <w:pPr>
        <w:pStyle w:val="Heading3"/>
        <w:keepNext/>
        <w:keepLines/>
      </w:pPr>
      <w:r>
        <w:t xml:space="preserve">10.1.6 Goa</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Goa, Daman &amp; Diu Shops &amp; Establishments Act, 1973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half-yearly</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3.5–5%, slab-based on consideration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Goa-IDC</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Goa Investment Promotion Board (Goa-IPB)</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Goa State 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rPr>
                <w:b/>
                <w:bCs/>
              </w:rPr>
              <w:t xml:space="preserve">Private retail with notably low duty</w:t>
            </w:r>
            <w:r>
              <w:t xml:space="preserve">; drinking age 18</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t xml:space="preserve">Portuguese-era </w:t>
            </w:r>
            <w:r>
              <w:rPr>
                <w:b/>
                <w:bCs/>
              </w:rPr>
              <w:t xml:space="preserve">Civil Code</w:t>
            </w:r>
            <w:r>
              <w:t xml:space="preserve"> still applies to succession and matrimonial property — unique in India</w:t>
            </w:r>
          </w:p>
        </w:tc>
      </w:tr>
    </w:tbl>
    <w:p>
      <w:pPr>
        <w:spacing w:after="40"/>
      </w:pPr>
    </w:p>
    <w:p>
      <w:r>
        <w:rPr>
          <w:b/>
          <w:bCs/>
        </w:rPr>
        <w:t xml:space="preserve">Distinctive:</w:t>
      </w:r>
      <w:r>
        <w:t xml:space="preserve"> The </w:t>
      </w:r>
      <w:r>
        <w:rPr>
          <w:b/>
          <w:bCs/>
        </w:rPr>
        <w:t xml:space="preserve">Goa Civil Code</w:t>
      </w:r>
      <w:r>
        <w:t xml:space="preserve"> is the only surviving uniform civil code in India, applying Portuguese-derived law to succession and matrimonial property — relevant to family business structuring and property devolution. Very low excise duty makes Goa a structurally distinct market for alcohol. Tourism, pharmaceuticals and mining are the industrial pillars; iron ore mining has been repeatedly suspended and restarted by Supreme Court orders, making it one of the most legally volatile sectors in any state. Coastal Regulation Zone (CRZ) rules bind almost all commercially valuable land.</w:t>
      </w:r>
    </w:p>
    <w:p>
      <w:pPr>
        <w:pStyle w:val="Heading3"/>
        <w:keepNext/>
        <w:keepLines/>
      </w:pPr>
      <w:r>
        <w:t xml:space="preserve">10.1.7 Gujarat</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Gujarat Shops &amp; Establishments (Regulation of Employment &amp; Conditions of Service) Act, </w:t>
            </w:r>
            <w:r>
              <w:rPr>
                <w:b/>
                <w:bCs/>
              </w:rPr>
              <w:t xml:space="preserve">2019</w:t>
            </w:r>
            <w:r>
              <w:t xml:space="preserve"> — full Act at </w:t>
            </w:r>
            <w:r>
              <w:rPr>
                <w:b/>
                <w:bCs/>
              </w:rPr>
              <w:t xml:space="preserve">10+ workers</w:t>
            </w:r>
            <w:r>
              <w:t xml:space="preserve">; intimation only below</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Gujarat Act 1976; </w:t>
            </w:r>
            <w:r>
              <w:rPr>
                <w:b/>
                <w:bCs/>
              </w:rPr>
              <w:t xml:space="preserve">collection devolved to municipal bodies from 2022</w:t>
            </w:r>
            <w:r>
              <w:t xml:space="preserve">; monthly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half-yearly</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~4.9%; registration fee waived for sole female buyer</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rPr>
                <w:b/>
                <w:bCs/>
              </w:rPr>
              <w:t xml:space="preserve">GIDC</w:t>
            </w:r>
            <w:r>
              <w:t xml:space="preserve"> — the largest industrial estate network in India</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Investor Facilitation Portal (IFP)</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GPCB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rPr>
                <w:b/>
                <w:bCs/>
              </w:rPr>
              <w:t xml:space="preserve">Prohibition since 1960</w:t>
            </w:r>
            <w:r>
              <w:t xml:space="preserve">, with a permit system for visitors and health permits</w:t>
            </w:r>
          </w:p>
        </w:tc>
      </w:tr>
      <w:tr>
        <w:trPr>
          <w:cantSplit/>
          <w:tblHeader w:val="false"/>
        </w:trPr>
        <w:tc>
          <w:tcPr>
            <w:tcMar>
              <w:top w:type="dxa" w:w="70"/>
              <w:left w:type="dxa" w:w="110"/>
              <w:bottom w:type="dxa" w:w="70"/>
              <w:right w:type="dxa" w:w="110"/>
            </w:tcMar>
          </w:tcPr>
          <w:p>
            <w:pPr>
              <w:spacing w:after="0"/>
            </w:pPr>
            <w:r>
              <w:t xml:space="preserve">Enforcement</w:t>
            </w:r>
          </w:p>
        </w:tc>
        <w:tc>
          <w:tcPr>
            <w:tcMar>
              <w:top w:type="dxa" w:w="70"/>
              <w:left w:type="dxa" w:w="110"/>
              <w:bottom w:type="dxa" w:w="70"/>
              <w:right w:type="dxa" w:w="110"/>
            </w:tcMar>
          </w:tcPr>
          <w:p>
            <w:pPr>
              <w:spacing w:after="0"/>
            </w:pPr>
            <w:r>
              <w:t xml:space="preserve">Uses the </w:t>
            </w:r>
            <w:r>
              <w:rPr>
                <w:b/>
                <w:bCs/>
              </w:rPr>
              <w:t xml:space="preserve">“Facilitator”</w:t>
            </w:r>
            <w:r>
              <w:t xml:space="preserve"> model rather than Inspector</w:t>
            </w:r>
          </w:p>
        </w:tc>
      </w:tr>
    </w:tbl>
    <w:p>
      <w:pPr>
        <w:spacing w:after="40"/>
      </w:pPr>
    </w:p>
    <w:p>
      <w:r>
        <w:rPr>
          <w:b/>
          <w:bCs/>
        </w:rPr>
        <w:t xml:space="preserve">Distinctive:</w:t>
      </w:r>
      <w:r>
        <w:t xml:space="preserve"> One of only two states (with Maharashtra) using the 10-worker Shops Act threshold, so small establishments face a materially lighter regime. Prohibition has been in force since state formation. Extensive chemical, petrochemical and pharmaceutical clusters mean the </w:t>
      </w:r>
      <w:r>
        <w:rPr>
          <w:b/>
          <w:bCs/>
        </w:rPr>
        <w:t xml:space="preserve">hazardous waste, MSIHC and Factories Act hazardous-process regimes</w:t>
      </w:r>
      <w:r>
        <w:t xml:space="preserve"> are unusually prominent. Strong self-certification and third-party inspection adoption. GIFT City operates as an IFSC with a separate regulator (IFSCA) and a distinct tax and regulatory regime that is effectively an offshore jurisdiction inside India.</w:t>
      </w:r>
    </w:p>
    <w:p>
      <w:pPr>
        <w:pStyle w:val="Heading3"/>
        <w:keepNext/>
        <w:keepLines/>
      </w:pPr>
      <w:r>
        <w:t xml:space="preserve">10.1.8 Haryana</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Punjab Shops &amp; Commercial Establishments Act, 1958 as applicable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monthly</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 rural / 7% urban, with concession for women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HSIIDC (IMT model — Manesar, Rohtak, Faridabad)</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Haryana Enterprises Promotion Centre (HEPC)</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HSPCB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Minimum Wages</w:t>
            </w:r>
          </w:p>
        </w:tc>
        <w:tc>
          <w:tcPr>
            <w:tcMar>
              <w:top w:type="dxa" w:w="70"/>
              <w:left w:type="dxa" w:w="110"/>
              <w:bottom w:type="dxa" w:w="70"/>
              <w:right w:type="dxa" w:w="110"/>
            </w:tcMar>
          </w:tcPr>
          <w:p>
            <w:pPr>
              <w:spacing w:after="0"/>
            </w:pPr>
            <w:r>
              <w:t xml:space="preserve">Among the highest in India</w:t>
            </w:r>
          </w:p>
        </w:tc>
      </w:tr>
    </w:tbl>
    <w:p>
      <w:pPr>
        <w:spacing w:after="40"/>
      </w:pPr>
    </w:p>
    <w:p>
      <w:r>
        <w:rPr>
          <w:b/>
          <w:bCs/>
        </w:rPr>
        <w:t xml:space="preserve">Distinctive:</w:t>
      </w:r>
      <w:r>
        <w:t xml:space="preserve"> NCR-adjacent, so a large share of the economy sits under </w:t>
      </w:r>
      <w:r>
        <w:rPr>
          <w:b/>
          <w:bCs/>
        </w:rPr>
        <w:t xml:space="preserve">NCR-specific environmental restrictions</w:t>
      </w:r>
      <w:r>
        <w:t xml:space="preserve"> — GRAP construction bans, fuel restrictions, and the ban on certain industrial fuels in the NCR airshed, administered by the </w:t>
      </w:r>
      <w:r>
        <w:rPr>
          <w:b/>
          <w:bCs/>
        </w:rPr>
        <w:t xml:space="preserve">Commission for Air Quality Management (CAQM)</w:t>
      </w:r>
      <w:r>
        <w:t xml:space="preserve">, a body with no equivalent elsewhere in India. Very high minimum wages relative to neighbouring states. Raised the standing orders and retrenchment thresholds to 300 by state amendment. The state’s local-employment reservation legislation was struck down by the High Court, an example of state labour experimentation running into constitutional limits.</w:t>
      </w:r>
    </w:p>
    <w:p>
      <w:pPr>
        <w:pStyle w:val="Heading3"/>
        <w:keepNext/>
        <w:keepLines/>
      </w:pPr>
      <w:r>
        <w:t xml:space="preserve">10.1.9 Himachal Pradesh</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HP Shops &amp; Commercial Establishments Act, 1969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 (4% for women)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HPSIDC / Department of Industries</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HP Single Window Clearance Agency</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HPSPCB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rPr>
                <w:b/>
                <w:bCs/>
              </w:rPr>
              <w:t xml:space="preserve">Section 118, HP Tenancy &amp; Land Reforms Act 1972 — non-agriculturists require state government permission to buy land</w:t>
            </w:r>
          </w:p>
        </w:tc>
      </w:tr>
    </w:tbl>
    <w:p>
      <w:pPr>
        <w:spacing w:after="40"/>
      </w:pPr>
    </w:p>
    <w:p>
      <w:r>
        <w:rPr>
          <w:b/>
          <w:bCs/>
        </w:rPr>
        <w:t xml:space="preserve">Distinctive:</w:t>
      </w:r>
      <w:r>
        <w:t xml:space="preserve"> Section 118 is the most consequential single provision for business entry in the state; permission is granted case by case and is a real gating item for any project. The </w:t>
      </w:r>
      <w:r>
        <w:rPr>
          <w:b/>
          <w:bCs/>
        </w:rPr>
        <w:t xml:space="preserve">Baddi-Barotiwala-Nalagarh (BBN) belt</w:t>
      </w:r>
      <w:r>
        <w:t xml:space="preserve"> is one of India’s largest pharmaceutical manufacturing clusters, built on a historical central excise exemption. Hydropower is the dominant large-industry sector. Eco-sensitive zone notifications and forest clearance constrain a large fraction of land. Was an early adopter of a state-level plastic ban.</w:t>
      </w:r>
    </w:p>
    <w:p>
      <w:pPr>
        <w:pStyle w:val="Heading3"/>
        <w:keepNext/>
        <w:keepLines/>
      </w:pPr>
      <w:r>
        <w:t xml:space="preserve">10.1.10 Jharkhand</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Bihar Shops &amp; Establishments Act, 1953 as adopted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Jharkhand Act 2011; annual</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~4% + 3% registration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JIADA</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Jharkhand Single Window Portal</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JSPCB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 (model has alternated with state control)</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rPr>
                <w:b/>
                <w:bCs/>
              </w:rPr>
              <w:t xml:space="preserve">Chotanagpur Tenancy Act 1908</w:t>
            </w:r>
            <w:r>
              <w:t xml:space="preserve"> and </w:t>
            </w:r>
            <w:r>
              <w:rPr>
                <w:b/>
                <w:bCs/>
              </w:rPr>
              <w:t xml:space="preserve">Santhal Pargana Tenancy Act 1949</w:t>
            </w:r>
            <w:r>
              <w:t xml:space="preserve"> — severe restrictions on transfer of tribal land</w:t>
            </w:r>
          </w:p>
        </w:tc>
      </w:tr>
    </w:tbl>
    <w:p>
      <w:pPr>
        <w:spacing w:after="40"/>
      </w:pPr>
    </w:p>
    <w:p>
      <w:r>
        <w:rPr>
          <w:b/>
          <w:bCs/>
        </w:rPr>
        <w:t xml:space="preserve">Distinctive:</w:t>
      </w:r>
      <w:r>
        <w:t xml:space="preserve"> The CNT and SPT Acts are the defining land constraint — tribal land cannot be transferred to non-tribals, and attempts to amend these Acts have triggered major political conflict. Combined with extensive Fifth Schedule Scheduled Areas and PESA, land assembly for industry is exceptionally difficult. Mining and steel dominate; the mineral concession, forest clearance and rehabilitation framework is the core regulatory pathway rather than the ordinary industrial licensing chain.</w:t>
      </w:r>
    </w:p>
    <w:p>
      <w:pPr>
        <w:pStyle w:val="Heading3"/>
        <w:keepNext/>
        <w:keepLines/>
      </w:pPr>
      <w:r>
        <w:t xml:space="preserve">10.1.11 Karnataka</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Karnataka Shops &amp; Commercial Establishments Act, 1961 — all establishments; multi-year registration available</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Karnataka Act 1976; Commercial Taxes Dept; monthly; statewide uniform</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annual, December</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2% / 3% / 5% slab by consideration, plus cess and surcharge</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KIADB (large), KSSIDC (small)</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Karnataka Udyog Mitra</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KSPCB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 among the highest excise duty rates in India</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rPr>
                <w:b/>
                <w:bCs/>
              </w:rPr>
              <w:t xml:space="preserve">Karnataka Land Reforms (Amendment) Act 2020 removed the requirement that buyers of agricultural land be agriculturists</w:t>
            </w:r>
            <w:r>
              <w:t xml:space="preserve"> — a major liberalisation</w:t>
            </w:r>
          </w:p>
        </w:tc>
      </w:tr>
    </w:tbl>
    <w:p>
      <w:pPr>
        <w:spacing w:after="40"/>
      </w:pPr>
    </w:p>
    <w:p>
      <w:r>
        <w:rPr>
          <w:b/>
          <w:bCs/>
        </w:rPr>
        <w:t xml:space="preserve">Distinctive:</w:t>
      </w:r>
      <w:r>
        <w:t xml:space="preserve"> The 2020 land reform is one of the most significant land liberalisations by any state. Bengaluru’s IT/ITeS sector operates under </w:t>
      </w:r>
      <w:r>
        <w:rPr>
          <w:b/>
          <w:bCs/>
        </w:rPr>
        <w:t xml:space="preserve">long-standing exemptions from many Shops Act provisions</w:t>
      </w:r>
      <w:r>
        <w:t xml:space="preserve"> (night shifts for women, working hours, weekly holiday) granted by rolling notification — the template most other IT states copied. High excise duty. Karnataka has among the more active labour departments in enforcing name-board language requirements. Substantial overtime cap relaxations by notification.</w:t>
      </w:r>
    </w:p>
    <w:p>
      <w:pPr>
        <w:pStyle w:val="Heading3"/>
        <w:keepNext/>
        <w:keepLines/>
      </w:pPr>
      <w:r>
        <w:t xml:space="preserve">10.1.12 Kerala</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Kerala Shops &amp; Commercial Establishments Act, 1960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under the </w:t>
            </w:r>
            <w:r>
              <w:rPr>
                <w:b/>
                <w:bCs/>
              </w:rPr>
              <w:t xml:space="preserve">Kerala Municipality Act 1994 / Panchayat Raj Act</w:t>
            </w:r>
            <w:r>
              <w:t xml:space="preserve"> — collected by </w:t>
            </w:r>
            <w:r>
              <w:rPr>
                <w:b/>
                <w:bCs/>
              </w:rPr>
              <w:t xml:space="preserve">local self-government institutions</w:t>
            </w:r>
            <w:r>
              <w:t xml:space="preserve">; half-yearly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monthly; Kerala also operates numerous sector-specific welfare fund boards</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~8% + 2% registration — among the highest in India</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KINFRA and KSIDC (park-led model)</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rPr>
                <w:b/>
                <w:bCs/>
              </w:rPr>
              <w:t xml:space="preserve">K-SWIFT</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Kerala State 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rPr>
                <w:b/>
                <w:bCs/>
              </w:rPr>
              <w:t xml:space="preserve">State-run retail (Bevco/Consumerfed)</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rPr>
                <w:b/>
                <w:bCs/>
              </w:rPr>
              <w:t xml:space="preserve">Kerala Conservation of Paddy Land &amp; Wetland Act 2008 — the most restrictive land conversion regime in India</w:t>
            </w:r>
          </w:p>
        </w:tc>
      </w:tr>
    </w:tbl>
    <w:p>
      <w:pPr>
        <w:spacing w:after="40"/>
      </w:pPr>
    </w:p>
    <w:p>
      <w:r>
        <w:rPr>
          <w:b/>
          <w:bCs/>
        </w:rPr>
        <w:t xml:space="preserve">Distinctive:</w:t>
      </w:r>
      <w:r>
        <w:t xml:space="preserve"> Kerala’s compliance environment is defined by three things: the paddy land Act, which makes conversion of wet land for industry extremely difficult; an exceptionally dense </w:t>
      </w:r>
      <w:r>
        <w:rPr>
          <w:b/>
          <w:bCs/>
        </w:rPr>
        <w:t xml:space="preserve">network of sector-specific labour welfare fund boards</w:t>
      </w:r>
      <w:r>
        <w:t xml:space="preserve"> (headload workers, motor transport, construction, cashew, coir, toddy, abkari and many more), each with its own registration and contribution; and high stamp duty. Trade union density is the highest in India, making industrial relations compliance materially more demanding. K-SWIFT offers a genuine composite application with deemed approval for MSMEs, including a three-year exemption from most licences for new MSMEs under the Kerala MSME Facilitation Act — a distinctive and business-friendly counterweight.</w:t>
      </w:r>
    </w:p>
    <w:p>
      <w:pPr>
        <w:pStyle w:val="Heading3"/>
        <w:keepNext/>
        <w:keepLines/>
      </w:pPr>
      <w:r>
        <w:t xml:space="preserve">10.1.13 Madhya Pradesh</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MP Shops &amp; Establishments Act, 1958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MP Vritti Kar Adhiniyam 1995; monthly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half-yearly</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~7.5% including cess</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MPIDC</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MP Single Window / Invest MP</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MPPCB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Labour</w:t>
            </w:r>
          </w:p>
        </w:tc>
        <w:tc>
          <w:tcPr>
            <w:tcMar>
              <w:top w:type="dxa" w:w="70"/>
              <w:left w:type="dxa" w:w="110"/>
              <w:bottom w:type="dxa" w:w="70"/>
              <w:right w:type="dxa" w:w="110"/>
            </w:tcMar>
          </w:tcPr>
          <w:p>
            <w:pPr>
              <w:spacing w:after="0"/>
            </w:pPr>
            <w:r>
              <w:t xml:space="preserve">Raised standing orders and retrenchment thresholds by state amendment; extensive self-certification</w:t>
            </w:r>
          </w:p>
        </w:tc>
      </w:tr>
    </w:tbl>
    <w:p>
      <w:pPr>
        <w:spacing w:after="40"/>
      </w:pPr>
    </w:p>
    <w:p>
      <w:r>
        <w:rPr>
          <w:b/>
          <w:bCs/>
        </w:rPr>
        <w:t xml:space="preserve">Distinctive:</w:t>
      </w:r>
      <w:r>
        <w:t xml:space="preserve"> One of the more aggressive labour-flexibility reformers, having exempted a range of establishments from several labour law provisions and extended registration validity substantially. Large Fifth Schedule Scheduled Areas trigger PESA. Land-locked geography makes logistics and the state’s industrial corridor policy central to industrial location. Strong adoption of randomised computerised inspection.</w:t>
      </w:r>
    </w:p>
    <w:p>
      <w:pPr>
        <w:pStyle w:val="Heading3"/>
        <w:keepNext/>
        <w:keepLines/>
      </w:pPr>
      <w:r>
        <w:t xml:space="preserve">10.1.14 Maharashtra</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Maharashtra Shops &amp; Establishments (Regulation of Employment &amp; Conditions of Service) Act, </w:t>
            </w:r>
            <w:r>
              <w:rPr>
                <w:b/>
                <w:bCs/>
              </w:rPr>
              <w:t xml:space="preserve">2017</w:t>
            </w:r>
            <w:r>
              <w:t xml:space="preserve"> — full Act at </w:t>
            </w:r>
            <w:r>
              <w:rPr>
                <w:b/>
                <w:bCs/>
              </w:rPr>
              <w:t xml:space="preserve">10+ workers</w:t>
            </w:r>
            <w:r>
              <w:t xml:space="preserve">; Form F intimation below; registration valid </w:t>
            </w:r>
            <w:r>
              <w:rPr>
                <w:b/>
                <w:bCs/>
              </w:rPr>
              <w:t xml:space="preserve">up to 10 years</w:t>
            </w:r>
            <w:r>
              <w:t xml:space="preserve">; leave accumulation up to </w:t>
            </w:r>
            <w:r>
              <w:rPr>
                <w:b/>
                <w:bCs/>
              </w:rPr>
              <w:t xml:space="preserve">45 days</w:t>
            </w:r>
            <w:r>
              <w:t xml:space="preserve">; creche at 50+</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Maharashtra Act 1975; </w:t>
            </w:r>
            <w:r>
              <w:rPr>
                <w:b/>
                <w:bCs/>
              </w:rPr>
              <w:t xml:space="preserve">State Tax Dept, uniform statewide</w:t>
            </w:r>
            <w:r>
              <w:t xml:space="preserve">; monthly — </w:t>
            </w:r>
            <w:r>
              <w:rPr>
                <w:b/>
                <w:bCs/>
              </w:rPr>
              <w:t xml:space="preserve">₹200 × 11 months + ₹300 in February = ₹2,500</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half-yearly, June and December</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5–7% including metro cess and local body tax; Mumbai ~6%; 1% concession for women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rPr>
                <w:b/>
                <w:bCs/>
              </w:rPr>
              <w:t xml:space="preserve">MIDC</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rPr>
                <w:b/>
                <w:bCs/>
              </w:rPr>
              <w:t xml:space="preserve">MAITRI</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MPCB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retail and bar licences; </w:t>
            </w:r>
            <w:r>
              <w:rPr>
                <w:b/>
                <w:bCs/>
              </w:rPr>
              <w:t xml:space="preserve">drinking age 25 for spirits</w:t>
            </w:r>
            <w:r>
              <w:t xml:space="preserve">; permit requirement historically</w:t>
            </w:r>
          </w:p>
        </w:tc>
      </w:tr>
      <w:tr>
        <w:trPr>
          <w:cantSplit/>
          <w:tblHeader w:val="false"/>
        </w:trPr>
        <w:tc>
          <w:tcPr>
            <w:tcMar>
              <w:top w:type="dxa" w:w="70"/>
              <w:left w:type="dxa" w:w="110"/>
              <w:bottom w:type="dxa" w:w="70"/>
              <w:right w:type="dxa" w:w="110"/>
            </w:tcMar>
          </w:tcPr>
          <w:p>
            <w:pPr>
              <w:spacing w:after="0"/>
            </w:pPr>
            <w:r>
              <w:t xml:space="preserve">Enforcement</w:t>
            </w:r>
          </w:p>
        </w:tc>
        <w:tc>
          <w:tcPr>
            <w:tcMar>
              <w:top w:type="dxa" w:w="70"/>
              <w:left w:type="dxa" w:w="110"/>
              <w:bottom w:type="dxa" w:w="70"/>
              <w:right w:type="dxa" w:w="110"/>
            </w:tcMar>
          </w:tcPr>
          <w:p>
            <w:pPr>
              <w:spacing w:after="0"/>
            </w:pPr>
            <w:r>
              <w:t xml:space="preserve">Uses </w:t>
            </w:r>
            <w:r>
              <w:rPr>
                <w:b/>
                <w:bCs/>
              </w:rPr>
              <w:t xml:space="preserve">“Facilitator”</w:t>
            </w:r>
            <w:r>
              <w:t xml:space="preserve"> rather than Inspector</w:t>
            </w:r>
          </w:p>
        </w:tc>
      </w:tr>
      <w:tr>
        <w:trPr>
          <w:cantSplit/>
          <w:tblHeader w:val="false"/>
        </w:trPr>
        <w:tc>
          <w:tcPr>
            <w:tcMar>
              <w:top w:type="dxa" w:w="70"/>
              <w:left w:type="dxa" w:w="110"/>
              <w:bottom w:type="dxa" w:w="70"/>
              <w:right w:type="dxa" w:w="110"/>
            </w:tcMar>
          </w:tcPr>
          <w:p>
            <w:pPr>
              <w:spacing w:after="0"/>
            </w:pPr>
            <w:r>
              <w:t xml:space="preserve">Trusts</w:t>
            </w:r>
          </w:p>
        </w:tc>
        <w:tc>
          <w:tcPr>
            <w:tcMar>
              <w:top w:type="dxa" w:w="70"/>
              <w:left w:type="dxa" w:w="110"/>
              <w:bottom w:type="dxa" w:w="70"/>
              <w:right w:type="dxa" w:w="110"/>
            </w:tcMar>
          </w:tcPr>
          <w:p>
            <w:pPr>
              <w:spacing w:after="0"/>
            </w:pPr>
            <w:r>
              <w:rPr>
                <w:b/>
                <w:bCs/>
              </w:rPr>
              <w:t xml:space="preserve">Charity Commissioner</w:t>
            </w:r>
            <w:r>
              <w:t xml:space="preserve"> under the Maharashtra Public Trusts Act 1950 — public trusts must register with a dedicated authority</w:t>
            </w:r>
          </w:p>
        </w:tc>
      </w:tr>
    </w:tbl>
    <w:p>
      <w:pPr>
        <w:spacing w:after="40"/>
      </w:pPr>
    </w:p>
    <w:p>
      <w:r>
        <w:rPr>
          <w:b/>
          <w:bCs/>
        </w:rPr>
        <w:t xml:space="preserve">Distinctive:</w:t>
      </w:r>
      <w:r>
        <w:t xml:space="preserve"> The 2017 Act is among the most modernised Shops Acts in India — high threshold, long validity, generous leave accumulation, facilitator model. Mumbai’s status as the financial capital brings concentrated SEBI, RBI and IRDAI-regulated activity. The Charity Commissioner regime for public trusts is a genuine outlier. Ready Reckoner rates for stamp duty are revised annually and published at ward level. The UDCPR unified development control regulations apply statewide outside Mumbai, one of the few genuinely unified building regimes in an Indian state.</w:t>
      </w:r>
    </w:p>
    <w:p>
      <w:pPr>
        <w:pStyle w:val="Heading3"/>
        <w:keepNext/>
        <w:keepLines/>
      </w:pPr>
      <w:r>
        <w:t xml:space="preserve">10.1.15 Manipur</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Manipur Shops &amp; Establishments Act, 1972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Manipur Act 1981; annual</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~7%</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Manipur Industrial Development Corporation</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Manipur Single Window Portal</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Manipur State 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Prohibition substantially relaxed in recent years after decades of restriction</w:t>
            </w:r>
          </w:p>
        </w:tc>
      </w:tr>
      <w:tr>
        <w:trPr>
          <w:cantSplit/>
          <w:tblHeader w:val="false"/>
        </w:trPr>
        <w:tc>
          <w:tcPr>
            <w:tcMar>
              <w:top w:type="dxa" w:w="70"/>
              <w:left w:type="dxa" w:w="110"/>
              <w:bottom w:type="dxa" w:w="70"/>
              <w:right w:type="dxa" w:w="110"/>
            </w:tcMar>
          </w:tcPr>
          <w:p>
            <w:pPr>
              <w:spacing w:after="0"/>
            </w:pPr>
            <w:r>
              <w:t xml:space="preserve">Access</w:t>
            </w:r>
          </w:p>
        </w:tc>
        <w:tc>
          <w:tcPr>
            <w:tcMar>
              <w:top w:type="dxa" w:w="70"/>
              <w:left w:type="dxa" w:w="110"/>
              <w:bottom w:type="dxa" w:w="70"/>
              <w:right w:type="dxa" w:w="110"/>
            </w:tcMar>
          </w:tcPr>
          <w:p>
            <w:pPr>
              <w:spacing w:after="0"/>
            </w:pPr>
            <w:r>
              <w:rPr>
                <w:b/>
                <w:bCs/>
              </w:rPr>
              <w:t xml:space="preserve">Inner Line Permit</w:t>
            </w:r>
            <w:r>
              <w:t xml:space="preserve"> applies</w:t>
            </w:r>
          </w:p>
        </w:tc>
      </w:tr>
    </w:tbl>
    <w:p>
      <w:pPr>
        <w:spacing w:after="40"/>
      </w:pPr>
    </w:p>
    <w:p>
      <w:r>
        <w:rPr>
          <w:b/>
          <w:bCs/>
        </w:rPr>
        <w:t xml:space="preserve">Distinctive:</w:t>
      </w:r>
      <w:r>
        <w:t xml:space="preserve"> Special category state with lower GST thresholds. Long-standing prohibition was significantly liberalised, changing the hospitality regulatory picture. Hill-valley land tenure distinctions restrict purchase in hill districts. Border trade with Myanmar creates a distinct customs and cross-border regulatory dimension. Limited common environmental infrastructure.</w:t>
      </w:r>
    </w:p>
    <w:p>
      <w:pPr>
        <w:pStyle w:val="Heading3"/>
        <w:keepNext/>
        <w:keepLines/>
      </w:pPr>
      <w:r>
        <w:t xml:space="preserve">10.1.16 Meghalaya</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Meghalaya Shops &amp; Establishments Act, 2003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Meghalaya Act 1947; monthly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Slab-based, rising to ~9.9% at top slabs</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Meghalaya Industrial Development Corporation</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Meghalaya Investment Facilitation Portal</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Meghalaya State 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rPr>
                <w:b/>
                <w:bCs/>
              </w:rPr>
              <w:t xml:space="preserve">Sixth Schedule</w:t>
            </w:r>
            <w:r>
              <w:t xml:space="preserve"> — Khasi, Jaintia and Garo Hills Autonomous District Councils control land</w:t>
            </w:r>
          </w:p>
        </w:tc>
      </w:tr>
    </w:tbl>
    <w:p>
      <w:pPr>
        <w:spacing w:after="40"/>
      </w:pPr>
    </w:p>
    <w:p>
      <w:r>
        <w:rPr>
          <w:b/>
          <w:bCs/>
        </w:rPr>
        <w:t xml:space="preserve">Distinctive:</w:t>
      </w:r>
      <w:r>
        <w:t xml:space="preserve"> Almost the entire state is under </w:t>
      </w:r>
      <w:r>
        <w:rPr>
          <w:b/>
          <w:bCs/>
        </w:rPr>
        <w:t xml:space="preserve">Sixth Schedule</w:t>
      </w:r>
      <w:r>
        <w:t xml:space="preserve"> administration, so the Autonomous District Councils — not the state government — regulate land allotment, trade by non-tribals, and certain licensing. A non-tribal business typically requires a </w:t>
      </w:r>
      <w:r>
        <w:rPr>
          <w:b/>
          <w:bCs/>
        </w:rPr>
        <w:t xml:space="preserve">trading licence from the District Council</w:t>
      </w:r>
      <w:r>
        <w:t xml:space="preserve"> in addition to state and municipal licences, a requirement with no parallel elsewhere. Coal mining was banned by the NGT and has operated only under tightly regulated conditions since, making it one of the most litigated sectors.</w:t>
      </w:r>
    </w:p>
    <w:p>
      <w:pPr>
        <w:pStyle w:val="Heading3"/>
        <w:keepNext/>
        <w:keepLines/>
      </w:pPr>
      <w:r>
        <w:t xml:space="preserve">10.1.17 Mizoram</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Mizoram Shops &amp; Establishments Act, 2007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Mizoram Act 1995; annual</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~9%</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ZIDCO</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Mizoram Single Window Agency</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Mizoram State 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Prohibition regime, subject to repeated policy reversal</w:t>
            </w:r>
          </w:p>
        </w:tc>
      </w:tr>
      <w:tr>
        <w:trPr>
          <w:cantSplit/>
          <w:tblHeader w:val="false"/>
        </w:trPr>
        <w:tc>
          <w:tcPr>
            <w:tcMar>
              <w:top w:type="dxa" w:w="70"/>
              <w:left w:type="dxa" w:w="110"/>
              <w:bottom w:type="dxa" w:w="70"/>
              <w:right w:type="dxa" w:w="110"/>
            </w:tcMar>
          </w:tcPr>
          <w:p>
            <w:pPr>
              <w:spacing w:after="0"/>
            </w:pPr>
            <w:r>
              <w:t xml:space="preserve">Access</w:t>
            </w:r>
          </w:p>
        </w:tc>
        <w:tc>
          <w:tcPr>
            <w:tcMar>
              <w:top w:type="dxa" w:w="70"/>
              <w:left w:type="dxa" w:w="110"/>
              <w:bottom w:type="dxa" w:w="70"/>
              <w:right w:type="dxa" w:w="110"/>
            </w:tcMar>
          </w:tcPr>
          <w:p>
            <w:pPr>
              <w:spacing w:after="0"/>
            </w:pPr>
            <w:r>
              <w:rPr>
                <w:b/>
                <w:bCs/>
              </w:rPr>
              <w:t xml:space="preserve">Inner Line Permit</w:t>
            </w:r>
            <w:r>
              <w:t xml:space="preserve"> applies</w:t>
            </w:r>
          </w:p>
        </w:tc>
      </w:tr>
    </w:tbl>
    <w:p>
      <w:pPr>
        <w:spacing w:after="40"/>
      </w:pPr>
    </w:p>
    <w:p>
      <w:r>
        <w:rPr>
          <w:b/>
          <w:bCs/>
        </w:rPr>
        <w:t xml:space="preserve">Distinctive:</w:t>
      </w:r>
      <w:r>
        <w:t xml:space="preserve"> </w:t>
      </w:r>
      <w:r>
        <w:rPr>
          <w:b/>
          <w:bCs/>
        </w:rPr>
        <w:t xml:space="preserve">Article 371G</w:t>
      </w:r>
      <w:r>
        <w:t xml:space="preserve"> protects Mizo customary law and land ownership from parliamentary legislation without Assembly consent. Excise policy has cycled through prohibition, liberalisation and re-imposition more than any other state, making it the least predictable liquor jurisdiction in India. Special category GST thresholds. Land held largely under customary tenure with limited freehold transfer.</w:t>
      </w:r>
    </w:p>
    <w:p>
      <w:pPr>
        <w:pStyle w:val="Heading3"/>
        <w:keepNext/>
        <w:keepLines/>
      </w:pPr>
      <w:r>
        <w:t xml:space="preserve">10.1.18 Nagaland</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Nagaland Shops &amp; Establishments Act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Nagaland Act 1968; annual</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~8.25%</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NIDC</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Nagaland Single Window Clearance</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Nagaland State 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rPr>
                <w:b/>
                <w:bCs/>
              </w:rPr>
              <w:t xml:space="preserve">Prohibition since 1989</w:t>
            </w:r>
            <w:r>
              <w:t xml:space="preserve"> (Nagaland Liquor Total Prohibition Act)</w:t>
            </w:r>
          </w:p>
        </w:tc>
      </w:tr>
      <w:tr>
        <w:trPr>
          <w:cantSplit/>
          <w:tblHeader w:val="false"/>
        </w:trPr>
        <w:tc>
          <w:tcPr>
            <w:tcMar>
              <w:top w:type="dxa" w:w="70"/>
              <w:left w:type="dxa" w:w="110"/>
              <w:bottom w:type="dxa" w:w="70"/>
              <w:right w:type="dxa" w:w="110"/>
            </w:tcMar>
          </w:tcPr>
          <w:p>
            <w:pPr>
              <w:spacing w:after="0"/>
            </w:pPr>
            <w:r>
              <w:t xml:space="preserve">Access</w:t>
            </w:r>
          </w:p>
        </w:tc>
        <w:tc>
          <w:tcPr>
            <w:tcMar>
              <w:top w:type="dxa" w:w="70"/>
              <w:left w:type="dxa" w:w="110"/>
              <w:bottom w:type="dxa" w:w="70"/>
              <w:right w:type="dxa" w:w="110"/>
            </w:tcMar>
          </w:tcPr>
          <w:p>
            <w:pPr>
              <w:spacing w:after="0"/>
            </w:pPr>
            <w:r>
              <w:rPr>
                <w:b/>
                <w:bCs/>
              </w:rPr>
              <w:t xml:space="preserve">Inner Line Permit</w:t>
            </w:r>
            <w:r>
              <w:t xml:space="preserve"> applies</w:t>
            </w:r>
          </w:p>
        </w:tc>
      </w:tr>
    </w:tbl>
    <w:p>
      <w:pPr>
        <w:spacing w:after="40"/>
      </w:pPr>
    </w:p>
    <w:p>
      <w:r>
        <w:rPr>
          <w:b/>
          <w:bCs/>
        </w:rPr>
        <w:t xml:space="preserve">Distinctive:</w:t>
      </w:r>
      <w:r>
        <w:t xml:space="preserve"> </w:t>
      </w:r>
      <w:r>
        <w:rPr>
          <w:b/>
          <w:bCs/>
        </w:rPr>
        <w:t xml:space="preserve">Article 371A</w:t>
      </w:r>
      <w:r>
        <w:t xml:space="preserve"> is the strongest such protection in the Constitution — no Act of Parliament relating to Naga customary law and procedure, ownership and transfer of land and its resources applies unless the Legislative Assembly resolves that it shall. This has real consequences: land is village or clan-owned, freehold purchase by outsiders is effectively unavailable, and industry operates through lease arrangements. Prohibition has been in force for over three decades.</w:t>
      </w:r>
    </w:p>
    <w:p>
      <w:pPr>
        <w:pStyle w:val="Heading3"/>
        <w:keepNext/>
        <w:keepLines/>
      </w:pPr>
      <w:r>
        <w:t xml:space="preserve">10.1.19 Odisha</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Odisha Shops &amp; Commercial Establishments Act, 1956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Odisha Act 2000; monthly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half-yearly</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 (4% for women)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rPr>
                <w:b/>
                <w:bCs/>
              </w:rPr>
              <w:t xml:space="preserve">IDCO</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rPr>
                <w:b/>
                <w:bCs/>
              </w:rPr>
              <w:t xml:space="preserve">GO SWIFT</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OSPCB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t xml:space="preserve">Extensive Fifth Schedule Scheduled Areas; OLR Act restrictions on tribal land transfer</w:t>
            </w:r>
          </w:p>
        </w:tc>
      </w:tr>
    </w:tbl>
    <w:p>
      <w:pPr>
        <w:spacing w:after="40"/>
      </w:pPr>
    </w:p>
    <w:p>
      <w:r>
        <w:rPr>
          <w:b/>
          <w:bCs/>
        </w:rPr>
        <w:t xml:space="preserve">Distinctive:</w:t>
      </w:r>
      <w:r>
        <w:t xml:space="preserve"> A minerals and metals economy — iron ore, bauxite, coal, aluminium and steel. The binding regulatory pathway is therefore </w:t>
      </w:r>
      <w:r>
        <w:rPr>
          <w:b/>
          <w:bCs/>
        </w:rPr>
        <w:t xml:space="preserve">mining leases, forest clearance, and rehabilitation &amp; resettlement</w:t>
      </w:r>
      <w:r>
        <w:t xml:space="preserve">, not ordinary industrial licensing. The </w:t>
      </w:r>
      <w:r>
        <w:rPr>
          <w:i/>
          <w:iCs/>
        </w:rPr>
        <w:t xml:space="preserve">Niyamgiri</w:t>
      </w:r>
      <w:r>
        <w:t xml:space="preserve"> judgment, requiring Gram Sabha consent for bauxite mining in a Scheduled Area, originated here and reshaped national jurisprudence on PESA and forest rights. Long coastline with major port-linked industrial clusters and consequent CRZ compliance.</w:t>
      </w:r>
    </w:p>
    <w:p>
      <w:pPr>
        <w:pStyle w:val="Heading3"/>
        <w:keepNext/>
        <w:keepLines/>
      </w:pPr>
      <w:r>
        <w:t xml:space="preserve">10.1.20 Punjab</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Punjab Shops &amp; Commercial Establishments Act, 1958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as </w:t>
            </w:r>
            <w:r>
              <w:rPr>
                <w:b/>
                <w:bCs/>
              </w:rPr>
              <w:t xml:space="preserve">“Development Tax”</w:t>
            </w:r>
            <w:r>
              <w:t xml:space="preserve"> under the Punjab State Development Tax Act 2018 — flat ₹200/month on income-tax payers</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monthly</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~7% including social infrastructure cess (5% for women)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PSIEC</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Invest Punjab Business First Portal</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PPCB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 significant revenue source</w:t>
            </w:r>
          </w:p>
        </w:tc>
      </w:tr>
      <w:tr>
        <w:trPr>
          <w:cantSplit/>
          <w:tblHeader w:val="false"/>
        </w:trPr>
        <w:tc>
          <w:tcPr>
            <w:tcMar>
              <w:top w:type="dxa" w:w="70"/>
              <w:left w:type="dxa" w:w="110"/>
              <w:bottom w:type="dxa" w:w="70"/>
              <w:right w:type="dxa" w:w="110"/>
            </w:tcMar>
          </w:tcPr>
          <w:p>
            <w:pPr>
              <w:spacing w:after="0"/>
            </w:pPr>
            <w:r>
              <w:t xml:space="preserve">Agriculture</w:t>
            </w:r>
          </w:p>
        </w:tc>
        <w:tc>
          <w:tcPr>
            <w:tcMar>
              <w:top w:type="dxa" w:w="70"/>
              <w:left w:type="dxa" w:w="110"/>
              <w:bottom w:type="dxa" w:w="70"/>
              <w:right w:type="dxa" w:w="110"/>
            </w:tcMar>
          </w:tcPr>
          <w:p>
            <w:pPr>
              <w:spacing w:after="0"/>
            </w:pPr>
            <w:r>
              <w:t xml:space="preserve">APMC framework and procurement structure central to the economy</w:t>
            </w:r>
          </w:p>
        </w:tc>
      </w:tr>
    </w:tbl>
    <w:p>
      <w:pPr>
        <w:spacing w:after="40"/>
      </w:pPr>
    </w:p>
    <w:p>
      <w:r>
        <w:rPr>
          <w:b/>
          <w:bCs/>
        </w:rPr>
        <w:t xml:space="preserve">Distinctive:</w:t>
      </w:r>
      <w:r>
        <w:t xml:space="preserve"> The Development Tax framing is unique — Punjab avoided the traditional slab structure by levying a flat monthly amount only on those liable to income tax. Agro-processing, textiles (Ludhiana), bicycles and light engineering dominate. Stubble-burning air quality regulation and the CAQM’s reach create seasonal compliance pressure. Punjab’s Shops Act also governs Haryana and Chandigarh in adapted form, making it one of the most widely applied state labour statutes.</w:t>
      </w:r>
    </w:p>
    <w:p>
      <w:pPr>
        <w:pStyle w:val="Heading3"/>
        <w:keepNext/>
        <w:keepLines/>
      </w:pPr>
      <w:r>
        <w:t xml:space="preserve">10.1.21 Rajasthan</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Rajasthan Shops &amp; Commercial Establishments Act, 1958 — all establishments; </w:t>
            </w:r>
            <w:r>
              <w:rPr>
                <w:b/>
                <w:bCs/>
              </w:rPr>
              <w:t xml:space="preserve">IT/ITeS and several sectors largely exempted by notification</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~6% (5% for women) plus 20% labour cess on duty</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rPr>
                <w:b/>
                <w:bCs/>
              </w:rPr>
              <w:t xml:space="preserve">RIICO</w:t>
            </w:r>
            <w:r>
              <w:t xml:space="preserve"> — very large land bank</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Raj Nivesh (SSO-linked)</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RSPCB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Labour</w:t>
            </w:r>
          </w:p>
        </w:tc>
        <w:tc>
          <w:tcPr>
            <w:tcMar>
              <w:top w:type="dxa" w:w="70"/>
              <w:left w:type="dxa" w:w="110"/>
              <w:bottom w:type="dxa" w:w="70"/>
              <w:right w:type="dxa" w:w="110"/>
            </w:tcMar>
          </w:tcPr>
          <w:p>
            <w:pPr>
              <w:spacing w:after="0"/>
            </w:pPr>
            <w:r>
              <w:rPr>
                <w:b/>
                <w:bCs/>
              </w:rPr>
              <w:t xml:space="preserve">Pioneered raising the Chapter V-B retrenchment threshold from 100 to 300 in 2014</w:t>
            </w:r>
          </w:p>
        </w:tc>
      </w:tr>
    </w:tbl>
    <w:p>
      <w:pPr>
        <w:spacing w:after="40"/>
      </w:pPr>
    </w:p>
    <w:p>
      <w:r>
        <w:rPr>
          <w:b/>
          <w:bCs/>
        </w:rPr>
        <w:t xml:space="preserve">Distinctive:</w:t>
      </w:r>
      <w:r>
        <w:t xml:space="preserve"> Rajasthan was the first mover on labour flexibility reform in 2014, raising the retrenchment/closure permission threshold to 300, the standing orders threshold to 300, and the contract labour threshold to 50 — reforms subsequently adopted nationally in the labour codes. No professional tax. Massive land availability along the Delhi-Mumbai Industrial Corridor. Solar power capacity and the associated open-access and land-lease framework are a major regulatory area. Water scarcity makes the PCB’s consent conditions on groundwater extraction unusually binding.</w:t>
      </w:r>
    </w:p>
    <w:p>
      <w:pPr>
        <w:pStyle w:val="Heading3"/>
        <w:keepNext/>
        <w:keepLines/>
      </w:pPr>
      <w:r>
        <w:t xml:space="preserve">10.1.22 Sikkim</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Sikkim Shops &amp; Commercial Establishments Act, 1983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Sikkim Act 2006; quarterly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 higher for non-Sikkimese</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SIDICO</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Sikkim Single Window Clearance</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Sikkim State 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 with low duty; drinking age 18</w:t>
            </w:r>
          </w:p>
        </w:tc>
      </w:tr>
      <w:tr>
        <w:trPr>
          <w:cantSplit/>
          <w:tblHeader w:val="false"/>
        </w:trPr>
        <w:tc>
          <w:tcPr>
            <w:tcMar>
              <w:top w:type="dxa" w:w="70"/>
              <w:left w:type="dxa" w:w="110"/>
              <w:bottom w:type="dxa" w:w="70"/>
              <w:right w:type="dxa" w:w="110"/>
            </w:tcMar>
          </w:tcPr>
          <w:p>
            <w:pPr>
              <w:spacing w:after="0"/>
            </w:pPr>
            <w:r>
              <w:t xml:space="preserve">Constitutional</w:t>
            </w:r>
          </w:p>
        </w:tc>
        <w:tc>
          <w:tcPr>
            <w:tcMar>
              <w:top w:type="dxa" w:w="70"/>
              <w:left w:type="dxa" w:w="110"/>
              <w:bottom w:type="dxa" w:w="70"/>
              <w:right w:type="dxa" w:w="110"/>
            </w:tcMar>
          </w:tcPr>
          <w:p>
            <w:pPr>
              <w:spacing w:after="0"/>
            </w:pPr>
            <w:r>
              <w:rPr>
                <w:b/>
                <w:bCs/>
              </w:rPr>
              <w:t xml:space="preserve">Article 371F</w:t>
            </w:r>
            <w:r>
              <w:t xml:space="preserve"> — pre-merger laws preserved</w:t>
            </w:r>
          </w:p>
        </w:tc>
      </w:tr>
    </w:tbl>
    <w:p>
      <w:pPr>
        <w:spacing w:after="40"/>
      </w:pPr>
    </w:p>
    <w:p>
      <w:r>
        <w:rPr>
          <w:b/>
          <w:bCs/>
        </w:rPr>
        <w:t xml:space="preserve">Distinctive:</w:t>
      </w:r>
      <w:r>
        <w:t xml:space="preserve"> Article 371F restricts land transfer to non-Sikkimese, and Sikkimese individuals have historically enjoyed a distinctive income-tax position under Section 10(26AAA) of the Income Tax Act — a genuine tax-law divergence tied to a state. Built a substantial pharmaceutical manufacturing cluster on the back of central fiscal incentives. Declared itself a fully organic farming state, with attendant regulation on agri-inputs that has no parallel elsewhere. Special category GST thresholds.</w:t>
      </w:r>
    </w:p>
    <w:p>
      <w:pPr>
        <w:pStyle w:val="Heading3"/>
        <w:keepNext/>
        <w:keepLines/>
      </w:pPr>
      <w:r>
        <w:t xml:space="preserve">10.1.23 Tamil Nadu</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Tamil Nadu Shops &amp; Establishments Act, </w:t>
            </w:r>
            <w:r>
              <w:rPr>
                <w:b/>
                <w:bCs/>
              </w:rPr>
              <w:t xml:space="preserve">1947</w:t>
            </w:r>
            <w:r>
              <w:t xml:space="preserve"> — applies to </w:t>
            </w:r>
            <w:r>
              <w:rPr>
                <w:b/>
                <w:bCs/>
              </w:rPr>
              <w:t xml:space="preserve">all establishments regardless of headcount</w:t>
            </w:r>
            <w:r>
              <w:t xml:space="preserve">; </w:t>
            </w:r>
            <w:r>
              <w:rPr>
                <w:b/>
                <w:bCs/>
              </w:rPr>
              <w:t xml:space="preserve">register within 30 days</w:t>
            </w:r>
            <w:r>
              <w:t xml:space="preserve"> of commencing</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under the 1988 Rules; </w:t>
            </w:r>
            <w:r>
              <w:rPr>
                <w:b/>
                <w:bCs/>
              </w:rPr>
              <w:t xml:space="preserve">collected by local bodies — slabs can differ between Greater Chennai Corporation and other municipalities</w:t>
            </w:r>
            <w:r>
              <w:t xml:space="preserve">; half-yearly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annual, December</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~7% + </w:t>
            </w:r>
            <w:r>
              <w:rPr>
                <w:b/>
                <w:bCs/>
              </w:rPr>
              <w:t xml:space="preserve">4% registration fee</w:t>
            </w:r>
            <w:r>
              <w:t xml:space="preserve"> — the highest combined transaction cost in India</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rPr>
                <w:b/>
                <w:bCs/>
              </w:rPr>
              <w:t xml:space="preserve">SIPCOT</w:t>
            </w:r>
            <w:r>
              <w:t xml:space="preserve"> (large), </w:t>
            </w:r>
            <w:r>
              <w:rPr>
                <w:b/>
                <w:bCs/>
              </w:rPr>
              <w:t xml:space="preserve">SIDCO</w:t>
            </w:r>
            <w:r>
              <w:t xml:space="preserve"> (small), </w:t>
            </w:r>
            <w:r>
              <w:rPr>
                <w:b/>
                <w:bCs/>
              </w:rPr>
              <w:t xml:space="preserve">TIDCO</w:t>
            </w:r>
            <w:r>
              <w:t xml:space="preserve"> (promotion)</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Guidance Tamil Nadu Single Window Portal</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TNPCB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rPr>
                <w:b/>
                <w:bCs/>
              </w:rPr>
              <w:t xml:space="preserve">TASMAC state retail monopoly</w:t>
            </w:r>
          </w:p>
        </w:tc>
      </w:tr>
      <w:tr>
        <w:trPr>
          <w:cantSplit/>
          <w:tblHeader w:val="false"/>
        </w:trPr>
        <w:tc>
          <w:tcPr>
            <w:tcMar>
              <w:top w:type="dxa" w:w="70"/>
              <w:left w:type="dxa" w:w="110"/>
              <w:bottom w:type="dxa" w:w="70"/>
              <w:right w:type="dxa" w:w="110"/>
            </w:tcMar>
          </w:tcPr>
          <w:p>
            <w:pPr>
              <w:spacing w:after="0"/>
            </w:pPr>
            <w:r>
              <w:t xml:space="preserve">24x7</w:t>
            </w:r>
          </w:p>
        </w:tc>
        <w:tc>
          <w:tcPr>
            <w:tcMar>
              <w:top w:type="dxa" w:w="70"/>
              <w:left w:type="dxa" w:w="110"/>
              <w:bottom w:type="dxa" w:w="70"/>
              <w:right w:type="dxa" w:w="110"/>
            </w:tcMar>
          </w:tcPr>
          <w:p>
            <w:pPr>
              <w:spacing w:after="0"/>
            </w:pPr>
            <w:r>
              <w:t xml:space="preserve">Permitted for 10+ employee establishments by periodic exemption notification, subject to rotational weekly holiday and women’s safety measures</w:t>
            </w:r>
          </w:p>
        </w:tc>
      </w:tr>
      <w:tr>
        <w:trPr>
          <w:cantSplit/>
          <w:tblHeader w:val="false"/>
        </w:trPr>
        <w:tc>
          <w:tcPr>
            <w:tcMar>
              <w:top w:type="dxa" w:w="70"/>
              <w:left w:type="dxa" w:w="110"/>
              <w:bottom w:type="dxa" w:w="70"/>
              <w:right w:type="dxa" w:w="110"/>
            </w:tcMar>
          </w:tcPr>
          <w:p>
            <w:pPr>
              <w:spacing w:after="0"/>
            </w:pPr>
            <w:r>
              <w:t xml:space="preserve">Young persons</w:t>
            </w:r>
          </w:p>
        </w:tc>
        <w:tc>
          <w:tcPr>
            <w:tcMar>
              <w:top w:type="dxa" w:w="70"/>
              <w:left w:type="dxa" w:w="110"/>
              <w:bottom w:type="dxa" w:w="70"/>
              <w:right w:type="dxa" w:w="110"/>
            </w:tcMar>
          </w:tcPr>
          <w:p>
            <w:pPr>
              <w:spacing w:after="0"/>
            </w:pPr>
            <w:r>
              <w:t xml:space="preserve">15–18 years capped at 42 hours/week</w:t>
            </w:r>
          </w:p>
        </w:tc>
      </w:tr>
    </w:tbl>
    <w:p>
      <w:pPr>
        <w:spacing w:after="40"/>
      </w:pPr>
    </w:p>
    <w:p>
      <w:r>
        <w:rPr>
          <w:b/>
          <w:bCs/>
        </w:rPr>
        <w:t xml:space="preserve">Distinctive:</w:t>
      </w:r>
      <w:r>
        <w:t xml:space="preserve"> The 1947 Act is among the oldest still in force, and its universal applicability means even a two-person shop must register — a marked contrast with Maharashtra and Gujarat. Professional tax devolved to local bodies means a multi-city business deals with each municipality separately. The 4% registration fee on top of 7% stamp duty makes property transactions unusually expensive. TASMAC is the largest state liquor retail monopoly in India. Automotive, textiles, leather and electronics manufacturing clusters give the Factories Act and hazardous-process regimes high prominence. Strong enforcement of Tamil name-board requirements.</w:t>
      </w:r>
    </w:p>
    <w:p>
      <w:pPr>
        <w:pStyle w:val="Heading3"/>
        <w:keepNext/>
        <w:keepLines/>
      </w:pPr>
      <w:r>
        <w:t xml:space="preserve">10.1.24 Telangana</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Telangana Shops &amp; Establishments Act, 1988 — all establishments; multi-year registration available</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Telangana Act 1987; Commercial Taxes Dept; monthly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annual, December</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 + 1.5% transfer duty + 0.5% registration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TSIIC</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rPr>
                <w:b/>
                <w:bCs/>
              </w:rPr>
              <w:t xml:space="preserve">TS-iPASS — a statutory right to time-bound clearance with deemed approval</w:t>
            </w:r>
          </w:p>
        </w:tc>
      </w:tr>
      <w:tr>
        <w:trPr>
          <w:cantSplit/>
          <w:tblHeader w:val="false"/>
        </w:trPr>
        <w:tc>
          <w:tcPr>
            <w:tcMar>
              <w:top w:type="dxa" w:w="70"/>
              <w:left w:type="dxa" w:w="110"/>
              <w:bottom w:type="dxa" w:w="70"/>
              <w:right w:type="dxa" w:w="110"/>
            </w:tcMar>
          </w:tcPr>
          <w:p>
            <w:pPr>
              <w:spacing w:after="0"/>
            </w:pPr>
            <w:r>
              <w:t xml:space="preserve">Building</w:t>
            </w:r>
          </w:p>
        </w:tc>
        <w:tc>
          <w:tcPr>
            <w:tcMar>
              <w:top w:type="dxa" w:w="70"/>
              <w:left w:type="dxa" w:w="110"/>
              <w:bottom w:type="dxa" w:w="70"/>
              <w:right w:type="dxa" w:w="110"/>
            </w:tcMar>
          </w:tcPr>
          <w:p>
            <w:pPr>
              <w:spacing w:after="0"/>
            </w:pPr>
            <w:r>
              <w:rPr>
                <w:b/>
                <w:bCs/>
              </w:rPr>
              <w:t xml:space="preserve">TS-bPASS — instant approval for small plots, deemed approval above</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TSPCB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 major revenue source</w:t>
            </w:r>
          </w:p>
        </w:tc>
      </w:tr>
    </w:tbl>
    <w:p>
      <w:pPr>
        <w:spacing w:after="40"/>
      </w:pPr>
    </w:p>
    <w:p>
      <w:r>
        <w:rPr>
          <w:b/>
          <w:bCs/>
        </w:rPr>
        <w:t xml:space="preserve">Distinctive:</w:t>
      </w:r>
      <w:r>
        <w:t xml:space="preserve"> TS-iPASS is the strongest single-window framework in India because it is a </w:t>
      </w:r>
      <w:r>
        <w:rPr>
          <w:b/>
          <w:bCs/>
        </w:rPr>
        <w:t xml:space="preserve">statute conferring a legal right</w:t>
      </w:r>
      <w:r>
        <w:t xml:space="preserve">, not merely an administrative portal — if the department does not decide within the stipulated period, approval is deemed granted and the defaulting officer is liable. TS-bPASS extends the same logic to building permissions. Hyderabad’s pharmaceutical and IT clusters, and the Genome Valley life-sciences zone, drive drug licensing and effluent-treatment compliance. Article 371D local-cadre provisions apply.</w:t>
      </w:r>
    </w:p>
    <w:p>
      <w:pPr>
        <w:pStyle w:val="Heading3"/>
        <w:keepNext/>
        <w:keepLines/>
      </w:pPr>
      <w:r>
        <w:t xml:space="preserve">10.1.25 Tripura</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Tripura Shops &amp; Establishments Act, 1970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Tripura Act 1997; monthly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TIDC</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Tripura Single Window Agency</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Tripura State 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rPr>
                <w:b/>
                <w:bCs/>
              </w:rPr>
              <w:t xml:space="preserve">Sixth Schedule</w:t>
            </w:r>
            <w:r>
              <w:t xml:space="preserve"> — Tripura Tribal Areas Autonomous District Council</w:t>
            </w:r>
          </w:p>
        </w:tc>
      </w:tr>
    </w:tbl>
    <w:p>
      <w:pPr>
        <w:spacing w:after="40"/>
      </w:pPr>
    </w:p>
    <w:p>
      <w:r>
        <w:rPr>
          <w:b/>
          <w:bCs/>
        </w:rPr>
        <w:t xml:space="preserve">Distinctive:</w:t>
      </w:r>
      <w:r>
        <w:t xml:space="preserve"> Special category GST thresholds. Natural gas is the principal industrial resource, with rubber, tea and bamboo-based industry following. The Autonomous District Council administers a substantial portion of the state’s area with its own land and licensing powers. Border trade with Bangladesh creates land-port and customs dimensions unusual for an inland state.</w:t>
      </w:r>
    </w:p>
    <w:p>
      <w:pPr>
        <w:pStyle w:val="Heading3"/>
        <w:keepNext/>
        <w:keepLines/>
      </w:pPr>
      <w:r>
        <w:t xml:space="preserve">10.1.26 Uttar Pradesh</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UP Dookan Aur Vanijya Adhishthan Adhiniyam, 1962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~7%; ₹10,000 rebate for female buyers up to ₹10 lakh consideration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UPSIDA, plus </w:t>
            </w:r>
            <w:r>
              <w:rPr>
                <w:b/>
                <w:bCs/>
              </w:rPr>
              <w:t xml:space="preserve">NOIDA, Greater NOIDA and YEIDA</w:t>
            </w:r>
            <w:r>
              <w:t xml:space="preserve"> as separate statutory authorities</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rPr>
                <w:b/>
                <w:bCs/>
              </w:rPr>
              <w:t xml:space="preserve">Nivesh Mitra</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UPPCB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 among the largest excise revenue bases in India</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t xml:space="preserve">UP Revenue Code 2006 governs conversion</w:t>
            </w:r>
          </w:p>
        </w:tc>
      </w:tr>
    </w:tbl>
    <w:p>
      <w:pPr>
        <w:spacing w:after="40"/>
      </w:pPr>
    </w:p>
    <w:p>
      <w:r>
        <w:rPr>
          <w:b/>
          <w:bCs/>
        </w:rPr>
        <w:t xml:space="preserve">Distinctive:</w:t>
      </w:r>
      <w:r>
        <w:t xml:space="preserve"> No professional tax — a meaningful simplification for employers. The </w:t>
      </w:r>
      <w:r>
        <w:rPr>
          <w:b/>
          <w:bCs/>
        </w:rPr>
        <w:t xml:space="preserve">NCR districts</w:t>
      </w:r>
      <w:r>
        <w:t xml:space="preserve"> fall under CAQM jurisdiction with fuel and construction restrictions absent elsewhere in the state, so UP effectively has two environmental regimes within one state. NOIDA, Greater NOIDA and YEIDA are independent authorities allotting land on long lease with their own building bye-laws and transfer charges — a structure distinct from ordinary municipal approval. Raised standing orders thresholds by state amendment and has been the largest improver in ease-of-doing-business rankings.</w:t>
      </w:r>
    </w:p>
    <w:p>
      <w:pPr>
        <w:pStyle w:val="Heading3"/>
        <w:keepNext/>
        <w:keepLines/>
      </w:pPr>
      <w:r>
        <w:t xml:space="preserve">10.1.27 Uttarakhand</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UP Act 1962 as adopted, with Uttarakhand rules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Generally not operational</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 (3.75% for women)</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rPr>
                <w:b/>
                <w:bCs/>
              </w:rPr>
              <w:t xml:space="preserve">SIIDCUL</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t xml:space="preserve">Uttarakhand Single Window</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UKPCB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t xml:space="preserve">Ceiling on land purchase by outsiders; restrictions tightened in recent years</w:t>
            </w:r>
          </w:p>
        </w:tc>
      </w:tr>
      <w:tr>
        <w:trPr>
          <w:cantSplit/>
          <w:tblHeader w:val="false"/>
        </w:trPr>
        <w:tc>
          <w:tcPr>
            <w:tcMar>
              <w:top w:type="dxa" w:w="70"/>
              <w:left w:type="dxa" w:w="110"/>
              <w:bottom w:type="dxa" w:w="70"/>
              <w:right w:type="dxa" w:w="110"/>
            </w:tcMar>
          </w:tcPr>
          <w:p>
            <w:pPr>
              <w:spacing w:after="0"/>
            </w:pPr>
            <w:r>
              <w:t xml:space="preserve">GST</w:t>
            </w:r>
          </w:p>
        </w:tc>
        <w:tc>
          <w:tcPr>
            <w:tcMar>
              <w:top w:type="dxa" w:w="70"/>
              <w:left w:type="dxa" w:w="110"/>
              <w:bottom w:type="dxa" w:w="70"/>
              <w:right w:type="dxa" w:w="110"/>
            </w:tcMar>
          </w:tcPr>
          <w:p>
            <w:pPr>
              <w:spacing w:after="0"/>
            </w:pPr>
            <w:r>
              <w:t xml:space="preserve">Special category state thresholds</w:t>
            </w:r>
          </w:p>
        </w:tc>
      </w:tr>
    </w:tbl>
    <w:p>
      <w:pPr>
        <w:spacing w:after="40"/>
      </w:pPr>
    </w:p>
    <w:p>
      <w:r>
        <w:rPr>
          <w:b/>
          <w:bCs/>
        </w:rPr>
        <w:t xml:space="preserve">Distinctive:</w:t>
      </w:r>
      <w:r>
        <w:t xml:space="preserve"> The Haridwar-Rudrapur-Pantnagar industrial belt was built on a central excise and income tax holiday package that made it one of India’s fastest-growing manufacturing zones in the 2000s. Above the plains, </w:t>
      </w:r>
      <w:r>
        <w:rPr>
          <w:b/>
          <w:bCs/>
        </w:rPr>
        <w:t xml:space="preserve">eco-sensitive zone notifications, the Bhagirathi ESZ, and forest clearance</w:t>
      </w:r>
      <w:r>
        <w:t xml:space="preserve"> constrain almost all development, and Supreme Court supervision of Himalayan construction is an active constraint. Restrictions on land purchase by non-domiciles have been progressively tightened.</w:t>
      </w:r>
    </w:p>
    <w:p>
      <w:pPr>
        <w:pStyle w:val="Heading3"/>
        <w:keepNext/>
        <w:keepLines/>
      </w:pPr>
      <w:r>
        <w:t xml:space="preserve">10.1.28 West Bengal</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WB Shops &amp; Establishments Act, 1963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WB Act 1979; Directorate of Commercial Taxes; monthly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half-yearly, December</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 rural / 6% urban, +1% above ₹1 crore</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WBIDC</w:t>
            </w:r>
          </w:p>
        </w:tc>
      </w:tr>
      <w:tr>
        <w:trPr>
          <w:cantSplit/>
          <w:tblHeader w:val="false"/>
        </w:trPr>
        <w:tc>
          <w:tcPr>
            <w:tcMar>
              <w:top w:type="dxa" w:w="70"/>
              <w:left w:type="dxa" w:w="110"/>
              <w:bottom w:type="dxa" w:w="70"/>
              <w:right w:type="dxa" w:w="110"/>
            </w:tcMar>
          </w:tcPr>
          <w:p>
            <w:pPr>
              <w:spacing w:after="0"/>
            </w:pPr>
            <w:r>
              <w:t xml:space="preserve">Single Window</w:t>
            </w:r>
          </w:p>
        </w:tc>
        <w:tc>
          <w:tcPr>
            <w:tcMar>
              <w:top w:type="dxa" w:w="70"/>
              <w:left w:type="dxa" w:w="110"/>
              <w:bottom w:type="dxa" w:w="70"/>
              <w:right w:type="dxa" w:w="110"/>
            </w:tcMar>
          </w:tcPr>
          <w:p>
            <w:pPr>
              <w:spacing w:after="0"/>
            </w:pPr>
            <w:r>
              <w:rPr>
                <w:b/>
                <w:bCs/>
              </w:rPr>
              <w:t xml:space="preserve">Silpasathi</w:t>
            </w:r>
          </w:p>
        </w:tc>
      </w:tr>
      <w:tr>
        <w:trPr>
          <w:cantSplit/>
          <w:tblHeader w:val="false"/>
        </w:trPr>
        <w:tc>
          <w:tcPr>
            <w:tcMar>
              <w:top w:type="dxa" w:w="70"/>
              <w:left w:type="dxa" w:w="110"/>
              <w:bottom w:type="dxa" w:w="70"/>
              <w:right w:type="dxa" w:w="110"/>
            </w:tcMar>
          </w:tcPr>
          <w:p>
            <w:pPr>
              <w:spacing w:after="0"/>
            </w:pPr>
            <w:r>
              <w:t xml:space="preserve">Pollution Board</w:t>
            </w:r>
          </w:p>
        </w:tc>
        <w:tc>
          <w:tcPr>
            <w:tcMar>
              <w:top w:type="dxa" w:w="70"/>
              <w:left w:type="dxa" w:w="110"/>
              <w:bottom w:type="dxa" w:w="70"/>
              <w:right w:type="dxa" w:w="110"/>
            </w:tcMar>
          </w:tcPr>
          <w:p>
            <w:pPr>
              <w:spacing w:after="0"/>
            </w:pPr>
            <w:r>
              <w:t xml:space="preserve">WBPCB</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Land</w:t>
            </w:r>
          </w:p>
        </w:tc>
        <w:tc>
          <w:tcPr>
            <w:tcMar>
              <w:top w:type="dxa" w:w="70"/>
              <w:left w:type="dxa" w:w="110"/>
              <w:bottom w:type="dxa" w:w="70"/>
              <w:right w:type="dxa" w:w="110"/>
            </w:tcMar>
          </w:tcPr>
          <w:p>
            <w:pPr>
              <w:spacing w:after="0"/>
            </w:pPr>
            <w:r>
              <w:t xml:space="preserve">WB Land Reforms Act 1955; strong ceiling regime and a politically sensitive acquisition history</w:t>
            </w:r>
          </w:p>
        </w:tc>
      </w:tr>
    </w:tbl>
    <w:p>
      <w:pPr>
        <w:spacing w:after="40"/>
      </w:pPr>
    </w:p>
    <w:p>
      <w:r>
        <w:rPr>
          <w:b/>
          <w:bCs/>
        </w:rPr>
        <w:t xml:space="preserve">Distinctive:</w:t>
      </w:r>
      <w:r>
        <w:t xml:space="preserve"> The Singur and Nandigram episodes made land acquisition politically decisive in West Bengal and left the state with a policy of not acquiring land for private industry, requiring direct negotiation or land bank allotment — a structurally different approach from RIICO or KIADB models. Trade union density is high. Kolkata is the RoC and regional hub for the eastern states and the Andaman &amp; Nicobar Islands. Tea plantations in the north bring the Plantations Labour Act regime.</w:t>
      </w:r>
    </w:p>
    <w:p>
      <w:pPr>
        <w:pStyle w:val="Heading2"/>
        <w:keepNext/>
        <w:keepLines/>
      </w:pPr>
      <w:r>
        <w:t xml:space="preserve">10.2 THE UNION TERRITORIES</w:t>
      </w:r>
    </w:p>
    <w:p>
      <w:r>
        <w:t xml:space="preserve">Union Territories divide into two constitutional classes, and the distinction drives everything else:</w:t>
      </w:r>
    </w:p>
    <w:p>
      <w:pPr>
        <w:pStyle w:val="ListParagraph"/>
        <w:numPr>
          <w:ilvl w:val="0"/>
          <w:numId w:val="1"/>
        </w:numPr>
        <w:spacing w:after="60"/>
      </w:pPr>
      <w:r>
        <w:rPr>
          <w:b/>
          <w:bCs/>
        </w:rPr>
        <w:t xml:space="preserve">With a legislature</w:t>
      </w:r>
      <w:r>
        <w:t xml:space="preserve"> — Delhi, Puducherry, Jammu &amp; Kashmir. These pass their own Shops Act, professional tax, stamp duty and excise legislation, levy </w:t>
      </w:r>
      <w:r>
        <w:rPr>
          <w:b/>
          <w:bCs/>
        </w:rPr>
        <w:t xml:space="preserve">SGST</w:t>
      </w:r>
      <w:r>
        <w:t xml:space="preserve">, and behave much like states.</w:t>
      </w:r>
    </w:p>
    <w:p>
      <w:pPr>
        <w:pStyle w:val="ListParagraph"/>
        <w:numPr>
          <w:ilvl w:val="0"/>
          <w:numId w:val="1"/>
        </w:numPr>
        <w:spacing w:after="60"/>
      </w:pPr>
      <w:r>
        <w:rPr>
          <w:b/>
          <w:bCs/>
        </w:rPr>
        <w:t xml:space="preserve">Without a legislature</w:t>
      </w:r>
      <w:r>
        <w:t xml:space="preserve"> — Chandigarh, Andaman &amp; Nicobar Islands, Lakshadweep, Dadra &amp; Nagar Haveli and Daman &amp; Diu, Ladakh. These are administered by the President through an Administrator, typically apply a neighbouring state’s law by extension or regulation, levy </w:t>
      </w:r>
      <w:r>
        <w:rPr>
          <w:b/>
          <w:bCs/>
        </w:rPr>
        <w:t xml:space="preserve">UTGST</w:t>
      </w:r>
      <w:r>
        <w:t xml:space="preserve">, and have a </w:t>
      </w:r>
      <w:r>
        <w:rPr>
          <w:b/>
          <w:bCs/>
        </w:rPr>
        <w:t xml:space="preserve">Pollution Control Committee</w:t>
      </w:r>
      <w:r>
        <w:t xml:space="preserve"> rather than a Board.</w:t>
      </w:r>
    </w:p>
    <w:p>
      <w:pPr>
        <w:pStyle w:val="Heading3"/>
        <w:keepNext/>
        <w:keepLines/>
      </w:pPr>
      <w:r>
        <w:t xml:space="preserve">10.2.1 Delhi (NCT)</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Legislature</w:t>
            </w:r>
          </w:p>
        </w:tc>
        <w:tc>
          <w:tcPr>
            <w:tcMar>
              <w:top w:type="dxa" w:w="70"/>
              <w:left w:type="dxa" w:w="110"/>
              <w:bottom w:type="dxa" w:w="70"/>
              <w:right w:type="dxa" w:w="110"/>
            </w:tcMar>
          </w:tcPr>
          <w:p>
            <w:pPr>
              <w:spacing w:after="0"/>
            </w:pPr>
            <w:r>
              <w:t xml:space="preserve">Yes</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Delhi Shops &amp; Establishments Act, 1954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half-yearly</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rPr>
                <w:b/>
                <w:bCs/>
              </w:rPr>
              <w:t xml:space="preserve">6% men / 4% women / 5% joint</w:t>
            </w:r>
            <w:r>
              <w:t xml:space="preserve">, plus 1% registration</w:t>
            </w:r>
          </w:p>
        </w:tc>
      </w:tr>
      <w:tr>
        <w:trPr>
          <w:cantSplit/>
          <w:tblHeader w:val="false"/>
        </w:trPr>
        <w:tc>
          <w:tcPr>
            <w:tcMar>
              <w:top w:type="dxa" w:w="70"/>
              <w:left w:type="dxa" w:w="110"/>
              <w:bottom w:type="dxa" w:w="70"/>
              <w:right w:type="dxa" w:w="110"/>
            </w:tcMar>
          </w:tcPr>
          <w:p>
            <w:pPr>
              <w:spacing w:after="0"/>
            </w:pPr>
            <w:r>
              <w:t xml:space="preserve">GST</w:t>
            </w:r>
          </w:p>
        </w:tc>
        <w:tc>
          <w:tcPr>
            <w:tcMar>
              <w:top w:type="dxa" w:w="70"/>
              <w:left w:type="dxa" w:w="110"/>
              <w:bottom w:type="dxa" w:w="70"/>
              <w:right w:type="dxa" w:w="110"/>
            </w:tcMar>
          </w:tcPr>
          <w:p>
            <w:pPr>
              <w:spacing w:after="0"/>
            </w:pPr>
            <w:r>
              <w:t xml:space="preserve">SGST</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DSIIDC</w:t>
            </w:r>
          </w:p>
        </w:tc>
      </w:tr>
      <w:tr>
        <w:trPr>
          <w:cantSplit/>
          <w:tblHeader w:val="false"/>
        </w:trPr>
        <w:tc>
          <w:tcPr>
            <w:tcMar>
              <w:top w:type="dxa" w:w="70"/>
              <w:left w:type="dxa" w:w="110"/>
              <w:bottom w:type="dxa" w:w="70"/>
              <w:right w:type="dxa" w:w="110"/>
            </w:tcMar>
          </w:tcPr>
          <w:p>
            <w:pPr>
              <w:spacing w:after="0"/>
            </w:pPr>
            <w:r>
              <w:t xml:space="preserve">Pollution Body</w:t>
            </w:r>
          </w:p>
        </w:tc>
        <w:tc>
          <w:tcPr>
            <w:tcMar>
              <w:top w:type="dxa" w:w="70"/>
              <w:left w:type="dxa" w:w="110"/>
              <w:bottom w:type="dxa" w:w="70"/>
              <w:right w:type="dxa" w:w="110"/>
            </w:tcMar>
          </w:tcPr>
          <w:p>
            <w:pPr>
              <w:spacing w:after="0"/>
            </w:pPr>
            <w:r>
              <w:rPr>
                <w:b/>
                <w:bCs/>
              </w:rPr>
              <w:t xml:space="preserve">DPCC</w:t>
            </w:r>
            <w:r>
              <w:t xml:space="preserve"> (Delhi Pollution Control Committee)</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Returned to </w:t>
            </w:r>
            <w:r>
              <w:rPr>
                <w:b/>
                <w:bCs/>
              </w:rPr>
              <w:t xml:space="preserve">government corporation retail</w:t>
            </w:r>
            <w:r>
              <w:t xml:space="preserve"> after the 2021–22 private licensing policy was withdrawn</w:t>
            </w:r>
          </w:p>
        </w:tc>
      </w:tr>
      <w:tr>
        <w:trPr>
          <w:cantSplit/>
          <w:tblHeader w:val="false"/>
        </w:trPr>
        <w:tc>
          <w:tcPr>
            <w:tcMar>
              <w:top w:type="dxa" w:w="70"/>
              <w:left w:type="dxa" w:w="110"/>
              <w:bottom w:type="dxa" w:w="70"/>
              <w:right w:type="dxa" w:w="110"/>
            </w:tcMar>
          </w:tcPr>
          <w:p>
            <w:pPr>
              <w:spacing w:after="0"/>
            </w:pPr>
            <w:r>
              <w:t xml:space="preserve">Minimum Wages</w:t>
            </w:r>
          </w:p>
        </w:tc>
        <w:tc>
          <w:tcPr>
            <w:tcMar>
              <w:top w:type="dxa" w:w="70"/>
              <w:left w:type="dxa" w:w="110"/>
              <w:bottom w:type="dxa" w:w="70"/>
              <w:right w:type="dxa" w:w="110"/>
            </w:tcMar>
          </w:tcPr>
          <w:p>
            <w:pPr>
              <w:spacing w:after="0"/>
            </w:pPr>
            <w:r>
              <w:t xml:space="preserve">Among the highest in India</w:t>
            </w:r>
          </w:p>
        </w:tc>
      </w:tr>
    </w:tbl>
    <w:p>
      <w:pPr>
        <w:spacing w:after="40"/>
      </w:pPr>
    </w:p>
    <w:p>
      <w:r>
        <w:rPr>
          <w:b/>
          <w:bCs/>
        </w:rPr>
        <w:t xml:space="preserve">Distinctive:</w:t>
      </w:r>
      <w:r>
        <w:t xml:space="preserve"> Delhi’s defining regulatory feature is </w:t>
      </w:r>
      <w:r>
        <w:rPr>
          <w:b/>
          <w:bCs/>
        </w:rPr>
        <w:t xml:space="preserve">air quality</w:t>
      </w:r>
      <w:r>
        <w:t xml:space="preserve">. The </w:t>
      </w:r>
      <w:r>
        <w:rPr>
          <w:b/>
          <w:bCs/>
        </w:rPr>
        <w:t xml:space="preserve">Commission for Air Quality Management (CAQM)</w:t>
      </w:r>
      <w:r>
        <w:t xml:space="preserve"> and the </w:t>
      </w:r>
      <w:r>
        <w:rPr>
          <w:b/>
          <w:bCs/>
        </w:rPr>
        <w:t xml:space="preserve">Graded Response Action Plan (GRAP)</w:t>
      </w:r>
      <w:r>
        <w:t xml:space="preserve"> impose seasonal bans on construction, diesel generator sets, certain industrial fuels and truck entry — restrictions with no equivalent anywhere else in India and which can halt a construction project mid-season. Delhi is also subject to Supreme Court-supervised restrictions on polluting industry within city limits, effectively barring most manufacturing. The gender-differentiated stamp duty is the largest such gap in the country. The 2021–22 excise policy reversal is a case study in regulatory volatility.</w:t>
      </w:r>
    </w:p>
    <w:p>
      <w:pPr>
        <w:pStyle w:val="Heading3"/>
        <w:keepNext/>
        <w:keepLines/>
      </w:pPr>
      <w:r>
        <w:t xml:space="preserve">10.2.2 Puducherry</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Legislature</w:t>
            </w:r>
          </w:p>
        </w:tc>
        <w:tc>
          <w:tcPr>
            <w:tcMar>
              <w:top w:type="dxa" w:w="70"/>
              <w:left w:type="dxa" w:w="110"/>
              <w:bottom w:type="dxa" w:w="70"/>
              <w:right w:type="dxa" w:w="110"/>
            </w:tcMar>
          </w:tcPr>
          <w:p>
            <w:pPr>
              <w:spacing w:after="0"/>
            </w:pPr>
            <w:r>
              <w:t xml:space="preserve">Yes</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Puducherry Shops &amp; Establishments Act, 1964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t xml:space="preserve">Levied, collected by local bodies; half-yearly</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Limited</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~7% plus registration</w:t>
            </w:r>
          </w:p>
        </w:tc>
      </w:tr>
      <w:tr>
        <w:trPr>
          <w:cantSplit/>
          <w:tblHeader w:val="false"/>
        </w:trPr>
        <w:tc>
          <w:tcPr>
            <w:tcMar>
              <w:top w:type="dxa" w:w="70"/>
              <w:left w:type="dxa" w:w="110"/>
              <w:bottom w:type="dxa" w:w="70"/>
              <w:right w:type="dxa" w:w="110"/>
            </w:tcMar>
          </w:tcPr>
          <w:p>
            <w:pPr>
              <w:spacing w:after="0"/>
            </w:pPr>
            <w:r>
              <w:t xml:space="preserve">GST</w:t>
            </w:r>
          </w:p>
        </w:tc>
        <w:tc>
          <w:tcPr>
            <w:tcMar>
              <w:top w:type="dxa" w:w="70"/>
              <w:left w:type="dxa" w:w="110"/>
              <w:bottom w:type="dxa" w:w="70"/>
              <w:right w:type="dxa" w:w="110"/>
            </w:tcMar>
          </w:tcPr>
          <w:p>
            <w:pPr>
              <w:spacing w:after="0"/>
            </w:pPr>
            <w:r>
              <w:t xml:space="preserve">SGST; </w:t>
            </w:r>
            <w:r>
              <w:rPr>
                <w:b/>
                <w:bCs/>
              </w:rPr>
              <w:t xml:space="preserve">special category thresholds</w:t>
            </w:r>
            <w:r>
              <w:t xml:space="preserve"> historically</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PIPDIC</w:t>
            </w:r>
          </w:p>
        </w:tc>
      </w:tr>
      <w:tr>
        <w:trPr>
          <w:cantSplit/>
          <w:tblHeader w:val="false"/>
        </w:trPr>
        <w:tc>
          <w:tcPr>
            <w:tcMar>
              <w:top w:type="dxa" w:w="70"/>
              <w:left w:type="dxa" w:w="110"/>
              <w:bottom w:type="dxa" w:w="70"/>
              <w:right w:type="dxa" w:w="110"/>
            </w:tcMar>
          </w:tcPr>
          <w:p>
            <w:pPr>
              <w:spacing w:after="0"/>
            </w:pPr>
            <w:r>
              <w:t xml:space="preserve">Pollution Body</w:t>
            </w:r>
          </w:p>
        </w:tc>
        <w:tc>
          <w:tcPr>
            <w:tcMar>
              <w:top w:type="dxa" w:w="70"/>
              <w:left w:type="dxa" w:w="110"/>
              <w:bottom w:type="dxa" w:w="70"/>
              <w:right w:type="dxa" w:w="110"/>
            </w:tcMar>
          </w:tcPr>
          <w:p>
            <w:pPr>
              <w:spacing w:after="0"/>
            </w:pPr>
            <w:r>
              <w:rPr>
                <w:b/>
                <w:bCs/>
              </w:rPr>
              <w:t xml:space="preserve">PPCC</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 with </w:t>
            </w:r>
            <w:r>
              <w:rPr>
                <w:b/>
                <w:bCs/>
              </w:rPr>
              <w:t xml:space="preserve">notably low duty</w:t>
            </w:r>
            <w:r>
              <w:t xml:space="preserve">; drinking age 18</w:t>
            </w:r>
          </w:p>
        </w:tc>
      </w:tr>
      <w:tr>
        <w:trPr>
          <w:cantSplit/>
          <w:tblHeader w:val="false"/>
        </w:trPr>
        <w:tc>
          <w:tcPr>
            <w:tcMar>
              <w:top w:type="dxa" w:w="70"/>
              <w:left w:type="dxa" w:w="110"/>
              <w:bottom w:type="dxa" w:w="70"/>
              <w:right w:type="dxa" w:w="110"/>
            </w:tcMar>
          </w:tcPr>
          <w:p>
            <w:pPr>
              <w:spacing w:after="0"/>
            </w:pPr>
            <w:r>
              <w:t xml:space="preserve">RoC</w:t>
            </w:r>
          </w:p>
        </w:tc>
        <w:tc>
          <w:tcPr>
            <w:tcMar>
              <w:top w:type="dxa" w:w="70"/>
              <w:left w:type="dxa" w:w="110"/>
              <w:bottom w:type="dxa" w:w="70"/>
              <w:right w:type="dxa" w:w="110"/>
            </w:tcMar>
          </w:tcPr>
          <w:p>
            <w:pPr>
              <w:spacing w:after="0"/>
            </w:pPr>
            <w:r>
              <w:t xml:space="preserve">Chennai</w:t>
            </w:r>
          </w:p>
        </w:tc>
      </w:tr>
    </w:tbl>
    <w:p>
      <w:pPr>
        <w:spacing w:after="40"/>
      </w:pPr>
    </w:p>
    <w:p>
      <w:r>
        <w:rPr>
          <w:b/>
          <w:bCs/>
        </w:rPr>
        <w:t xml:space="preserve">Distinctive:</w:t>
      </w:r>
      <w:r>
        <w:t xml:space="preserve"> Non-contiguous territory — Puducherry, Karaikal, Mahe and Yanam are enclaves within Tamil Nadu, Kerala and Andhra Pradesh respectively, which creates genuine practical complications for inter-state movement, e-way bills and inspection jurisdiction. Low excise duty relative to surrounding Tamil Nadu drives significant cross-border trade and correspondingly heavy enforcement at the borders. Retains some French-era legal remnants in civil matters.</w:t>
      </w:r>
    </w:p>
    <w:p>
      <w:pPr>
        <w:pStyle w:val="Heading3"/>
        <w:keepNext/>
        <w:keepLines/>
      </w:pPr>
      <w:r>
        <w:t xml:space="preserve">10.2.3 Jammu &amp; Kashmir</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Legislature</w:t>
            </w:r>
          </w:p>
        </w:tc>
        <w:tc>
          <w:tcPr>
            <w:tcMar>
              <w:top w:type="dxa" w:w="70"/>
              <w:left w:type="dxa" w:w="110"/>
              <w:bottom w:type="dxa" w:w="70"/>
              <w:right w:type="dxa" w:w="110"/>
            </w:tcMar>
          </w:tcPr>
          <w:p>
            <w:pPr>
              <w:spacing w:after="0"/>
            </w:pPr>
            <w:r>
              <w:t xml:space="preserve">Yes (UT with legislature since the 2019 reorganisation)</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J&amp;K Shops &amp; Establishments Act, 1966 — all establishments</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Limited</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 (3% for women)</w:t>
            </w:r>
          </w:p>
        </w:tc>
      </w:tr>
      <w:tr>
        <w:trPr>
          <w:cantSplit/>
          <w:tblHeader w:val="false"/>
        </w:trPr>
        <w:tc>
          <w:tcPr>
            <w:tcMar>
              <w:top w:type="dxa" w:w="70"/>
              <w:left w:type="dxa" w:w="110"/>
              <w:bottom w:type="dxa" w:w="70"/>
              <w:right w:type="dxa" w:w="110"/>
            </w:tcMar>
          </w:tcPr>
          <w:p>
            <w:pPr>
              <w:spacing w:after="0"/>
            </w:pPr>
            <w:r>
              <w:t xml:space="preserve">GST</w:t>
            </w:r>
          </w:p>
        </w:tc>
        <w:tc>
          <w:tcPr>
            <w:tcMar>
              <w:top w:type="dxa" w:w="70"/>
              <w:left w:type="dxa" w:w="110"/>
              <w:bottom w:type="dxa" w:w="70"/>
              <w:right w:type="dxa" w:w="110"/>
            </w:tcMar>
          </w:tcPr>
          <w:p>
            <w:pPr>
              <w:spacing w:after="0"/>
            </w:pPr>
            <w:r>
              <w:t xml:space="preserve">SGST</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JKIDC / SIDCO</w:t>
            </w:r>
          </w:p>
        </w:tc>
      </w:tr>
      <w:tr>
        <w:trPr>
          <w:cantSplit/>
          <w:tblHeader w:val="false"/>
        </w:trPr>
        <w:tc>
          <w:tcPr>
            <w:tcMar>
              <w:top w:type="dxa" w:w="70"/>
              <w:left w:type="dxa" w:w="110"/>
              <w:bottom w:type="dxa" w:w="70"/>
              <w:right w:type="dxa" w:w="110"/>
            </w:tcMar>
          </w:tcPr>
          <w:p>
            <w:pPr>
              <w:spacing w:after="0"/>
            </w:pPr>
            <w:r>
              <w:t xml:space="preserve">Pollution Body</w:t>
            </w:r>
          </w:p>
        </w:tc>
        <w:tc>
          <w:tcPr>
            <w:tcMar>
              <w:top w:type="dxa" w:w="70"/>
              <w:left w:type="dxa" w:w="110"/>
              <w:bottom w:type="dxa" w:w="70"/>
              <w:right w:type="dxa" w:w="110"/>
            </w:tcMar>
          </w:tcPr>
          <w:p>
            <w:pPr>
              <w:spacing w:after="0"/>
            </w:pPr>
            <w:r>
              <w:t xml:space="preserve">J&amp;K Pollution Control Committee/Board</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RoC</w:t>
            </w:r>
          </w:p>
        </w:tc>
        <w:tc>
          <w:tcPr>
            <w:tcMar>
              <w:top w:type="dxa" w:w="70"/>
              <w:left w:type="dxa" w:w="110"/>
              <w:bottom w:type="dxa" w:w="70"/>
              <w:right w:type="dxa" w:w="110"/>
            </w:tcMar>
          </w:tcPr>
          <w:p>
            <w:pPr>
              <w:spacing w:after="0"/>
            </w:pPr>
            <w:r>
              <w:t xml:space="preserve">Jammu</w:t>
            </w:r>
          </w:p>
        </w:tc>
      </w:tr>
    </w:tbl>
    <w:p>
      <w:pPr>
        <w:spacing w:after="40"/>
      </w:pPr>
    </w:p>
    <w:p>
      <w:r>
        <w:rPr>
          <w:b/>
          <w:bCs/>
        </w:rPr>
        <w:t xml:space="preserve">Distinctive:</w:t>
      </w:r>
      <w:r>
        <w:t xml:space="preserve"> The </w:t>
      </w:r>
      <w:r>
        <w:rPr>
          <w:b/>
          <w:bCs/>
        </w:rPr>
        <w:t xml:space="preserve">abrogation of Article 370 in August 2019</w:t>
      </w:r>
      <w:r>
        <w:t xml:space="preserve"> rebuilt the entire legal framework. Central laws were extended wholesale, the J&amp;K-specific Ranbir Penal Code and other state statutes were repealed, and </w:t>
      </w:r>
      <w:r>
        <w:rPr>
          <w:b/>
          <w:bCs/>
        </w:rPr>
        <w:t xml:space="preserve">restrictions on land purchase by non-residents were substantially relaxed</w:t>
      </w:r>
      <w:r>
        <w:t xml:space="preserve"> — a transformation with no parallel in modern Indian regulatory history. Horticulture, handicrafts and tourism dominate; the central industrial development scheme for J&amp;K offers substantial capital and interest subsidies. Connectivity and seasonal access remain practical constraints on compliance logistics.</w:t>
      </w:r>
    </w:p>
    <w:p>
      <w:pPr>
        <w:pStyle w:val="Heading3"/>
        <w:keepNext/>
        <w:keepLines/>
      </w:pPr>
      <w:r>
        <w:t xml:space="preserve">10.2.4 Chandigarh</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Legislature</w:t>
            </w:r>
          </w:p>
        </w:tc>
        <w:tc>
          <w:tcPr>
            <w:tcMar>
              <w:top w:type="dxa" w:w="70"/>
              <w:left w:type="dxa" w:w="110"/>
              <w:bottom w:type="dxa" w:w="70"/>
              <w:right w:type="dxa" w:w="110"/>
            </w:tcMar>
          </w:tcPr>
          <w:p>
            <w:pPr>
              <w:spacing w:after="0"/>
            </w:pPr>
            <w:r>
              <w:t xml:space="preserve">No — Administrator (the Governor of Punjab acts as Administrator)</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rPr>
                <w:b/>
                <w:bCs/>
              </w:rPr>
              <w:t xml:space="preserve">Punjab Shops &amp; Commercial Establishments Act, 1958 as extended</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Yes — monthly</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~6%</w:t>
            </w:r>
          </w:p>
        </w:tc>
      </w:tr>
      <w:tr>
        <w:trPr>
          <w:cantSplit/>
          <w:tblHeader w:val="false"/>
        </w:trPr>
        <w:tc>
          <w:tcPr>
            <w:tcMar>
              <w:top w:type="dxa" w:w="70"/>
              <w:left w:type="dxa" w:w="110"/>
              <w:bottom w:type="dxa" w:w="70"/>
              <w:right w:type="dxa" w:w="110"/>
            </w:tcMar>
          </w:tcPr>
          <w:p>
            <w:pPr>
              <w:spacing w:after="0"/>
            </w:pPr>
            <w:r>
              <w:t xml:space="preserve">GST</w:t>
            </w:r>
          </w:p>
        </w:tc>
        <w:tc>
          <w:tcPr>
            <w:tcMar>
              <w:top w:type="dxa" w:w="70"/>
              <w:left w:type="dxa" w:w="110"/>
              <w:bottom w:type="dxa" w:w="70"/>
              <w:right w:type="dxa" w:w="110"/>
            </w:tcMar>
          </w:tcPr>
          <w:p>
            <w:pPr>
              <w:spacing w:after="0"/>
            </w:pPr>
            <w:r>
              <w:rPr>
                <w:b/>
                <w:bCs/>
              </w:rPr>
              <w:t xml:space="preserve">UTGST</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CITCO</w:t>
            </w:r>
          </w:p>
        </w:tc>
      </w:tr>
      <w:tr>
        <w:trPr>
          <w:cantSplit/>
          <w:tblHeader w:val="false"/>
        </w:trPr>
        <w:tc>
          <w:tcPr>
            <w:tcMar>
              <w:top w:type="dxa" w:w="70"/>
              <w:left w:type="dxa" w:w="110"/>
              <w:bottom w:type="dxa" w:w="70"/>
              <w:right w:type="dxa" w:w="110"/>
            </w:tcMar>
          </w:tcPr>
          <w:p>
            <w:pPr>
              <w:spacing w:after="0"/>
            </w:pPr>
            <w:r>
              <w:t xml:space="preserve">Pollution Body</w:t>
            </w:r>
          </w:p>
        </w:tc>
        <w:tc>
          <w:tcPr>
            <w:tcMar>
              <w:top w:type="dxa" w:w="70"/>
              <w:left w:type="dxa" w:w="110"/>
              <w:bottom w:type="dxa" w:w="70"/>
              <w:right w:type="dxa" w:w="110"/>
            </w:tcMar>
          </w:tcPr>
          <w:p>
            <w:pPr>
              <w:spacing w:after="0"/>
            </w:pPr>
            <w:r>
              <w:rPr>
                <w:b/>
                <w:bCs/>
              </w:rPr>
              <w:t xml:space="preserve">CPCC</w:t>
            </w:r>
            <w:r>
              <w:t xml:space="preserve"> (Chandigarh Pollution Control Committee)</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RoC</w:t>
            </w:r>
          </w:p>
        </w:tc>
        <w:tc>
          <w:tcPr>
            <w:tcMar>
              <w:top w:type="dxa" w:w="70"/>
              <w:left w:type="dxa" w:w="110"/>
              <w:bottom w:type="dxa" w:w="70"/>
              <w:right w:type="dxa" w:w="110"/>
            </w:tcMar>
          </w:tcPr>
          <w:p>
            <w:pPr>
              <w:spacing w:after="0"/>
            </w:pPr>
            <w:r>
              <w:t xml:space="preserve">Chandigarh (also serves Punjab and Himachal Pradesh)</w:t>
            </w:r>
          </w:p>
        </w:tc>
      </w:tr>
    </w:tbl>
    <w:p>
      <w:pPr>
        <w:spacing w:after="40"/>
      </w:pPr>
    </w:p>
    <w:p>
      <w:r>
        <w:rPr>
          <w:b/>
          <w:bCs/>
        </w:rPr>
        <w:t xml:space="preserve">Distinctive:</w:t>
      </w:r>
      <w:r>
        <w:t xml:space="preserve"> Serves as the joint capital of Punjab and Haryana while being a UT — a unique arrangement. </w:t>
      </w:r>
      <w:r>
        <w:rPr>
          <w:b/>
          <w:bCs/>
        </w:rPr>
        <w:t xml:space="preserve">The Capital of Punjab (Development and Regulation) Act 1952 and the Chandigarh Master Plan</w:t>
      </w:r>
      <w:r>
        <w:t xml:space="preserve"> impose exceptionally strict building and land-use control, including restrictions on apartmentalisation and on commercial use of residential property, enforced far more rigorously than typical municipal bye-laws. Le Corbusier’s heritage plan constrains development in ways that are essentially unique in India. Industry is largely limited to the designated Industrial Area.</w:t>
      </w:r>
    </w:p>
    <w:p>
      <w:pPr>
        <w:pStyle w:val="Heading3"/>
        <w:keepNext/>
        <w:keepLines/>
      </w:pPr>
      <w:r>
        <w:t xml:space="preserve">10.2.5 Andaman &amp; Nicobar Islands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Legislature</w:t>
            </w:r>
          </w:p>
        </w:tc>
        <w:tc>
          <w:tcPr>
            <w:tcMar>
              <w:top w:type="dxa" w:w="70"/>
              <w:left w:type="dxa" w:w="110"/>
              <w:bottom w:type="dxa" w:w="70"/>
              <w:right w:type="dxa" w:w="110"/>
            </w:tcMar>
          </w:tcPr>
          <w:p>
            <w:pPr>
              <w:spacing w:after="0"/>
            </w:pPr>
            <w:r>
              <w:t xml:space="preserve">No — Administrator</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A&amp;N Islands Shops &amp; Establishments Regulation, 2004</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w:t>
            </w:r>
          </w:p>
        </w:tc>
      </w:tr>
      <w:tr>
        <w:trPr>
          <w:cantSplit/>
          <w:tblHeader w:val="false"/>
        </w:trPr>
        <w:tc>
          <w:tcPr>
            <w:tcMar>
              <w:top w:type="dxa" w:w="70"/>
              <w:left w:type="dxa" w:w="110"/>
              <w:bottom w:type="dxa" w:w="70"/>
              <w:right w:type="dxa" w:w="110"/>
            </w:tcMar>
          </w:tcPr>
          <w:p>
            <w:pPr>
              <w:spacing w:after="0"/>
            </w:pPr>
            <w:r>
              <w:t xml:space="preserve">GST</w:t>
            </w:r>
          </w:p>
        </w:tc>
        <w:tc>
          <w:tcPr>
            <w:tcMar>
              <w:top w:type="dxa" w:w="70"/>
              <w:left w:type="dxa" w:w="110"/>
              <w:bottom w:type="dxa" w:w="70"/>
              <w:right w:type="dxa" w:w="110"/>
            </w:tcMar>
          </w:tcPr>
          <w:p>
            <w:pPr>
              <w:spacing w:after="0"/>
            </w:pPr>
            <w:r>
              <w:rPr>
                <w:b/>
                <w:bCs/>
              </w:rPr>
              <w:t xml:space="preserve">UTGST</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ANIIDCO</w:t>
            </w:r>
          </w:p>
        </w:tc>
      </w:tr>
      <w:tr>
        <w:trPr>
          <w:cantSplit/>
          <w:tblHeader w:val="false"/>
        </w:trPr>
        <w:tc>
          <w:tcPr>
            <w:tcMar>
              <w:top w:type="dxa" w:w="70"/>
              <w:left w:type="dxa" w:w="110"/>
              <w:bottom w:type="dxa" w:w="70"/>
              <w:right w:type="dxa" w:w="110"/>
            </w:tcMar>
          </w:tcPr>
          <w:p>
            <w:pPr>
              <w:spacing w:after="0"/>
            </w:pPr>
            <w:r>
              <w:t xml:space="preserve">Pollution Body</w:t>
            </w:r>
          </w:p>
        </w:tc>
        <w:tc>
          <w:tcPr>
            <w:tcMar>
              <w:top w:type="dxa" w:w="70"/>
              <w:left w:type="dxa" w:w="110"/>
              <w:bottom w:type="dxa" w:w="70"/>
              <w:right w:type="dxa" w:w="110"/>
            </w:tcMar>
          </w:tcPr>
          <w:p>
            <w:pPr>
              <w:spacing w:after="0"/>
            </w:pPr>
            <w:r>
              <w:t xml:space="preserve">A&amp;N Pollution Control Committee</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licensed retail</w:t>
            </w:r>
          </w:p>
        </w:tc>
      </w:tr>
      <w:tr>
        <w:trPr>
          <w:cantSplit/>
          <w:tblHeader w:val="false"/>
        </w:trPr>
        <w:tc>
          <w:tcPr>
            <w:tcMar>
              <w:top w:type="dxa" w:w="70"/>
              <w:left w:type="dxa" w:w="110"/>
              <w:bottom w:type="dxa" w:w="70"/>
              <w:right w:type="dxa" w:w="110"/>
            </w:tcMar>
          </w:tcPr>
          <w:p>
            <w:pPr>
              <w:spacing w:after="0"/>
            </w:pPr>
            <w:r>
              <w:t xml:space="preserve">RoC</w:t>
            </w:r>
          </w:p>
        </w:tc>
        <w:tc>
          <w:tcPr>
            <w:tcMar>
              <w:top w:type="dxa" w:w="70"/>
              <w:left w:type="dxa" w:w="110"/>
              <w:bottom w:type="dxa" w:w="70"/>
              <w:right w:type="dxa" w:w="110"/>
            </w:tcMar>
          </w:tcPr>
          <w:p>
            <w:pPr>
              <w:spacing w:after="0"/>
            </w:pPr>
            <w:r>
              <w:t xml:space="preserve">Kolkata</w:t>
            </w:r>
          </w:p>
        </w:tc>
      </w:tr>
    </w:tbl>
    <w:p>
      <w:pPr>
        <w:spacing w:after="40"/>
      </w:pPr>
    </w:p>
    <w:p>
      <w:r>
        <w:rPr>
          <w:b/>
          <w:bCs/>
        </w:rPr>
        <w:t xml:space="preserve">Distinctive:</w:t>
      </w:r>
      <w:r>
        <w:t xml:space="preserve"> Almost the entire commercially usable land is subject to </w:t>
      </w:r>
      <w:r>
        <w:rPr>
          <w:b/>
          <w:bCs/>
        </w:rPr>
        <w:t xml:space="preserve">Coastal Regulation Zone</w:t>
      </w:r>
      <w:r>
        <w:t xml:space="preserve"> rules and a very high proportion of the territory is forest or protected area. The </w:t>
      </w:r>
      <w:r>
        <w:rPr>
          <w:b/>
          <w:bCs/>
        </w:rPr>
        <w:t xml:space="preserve">Protection of Aboriginal Tribes Regulation 1956</w:t>
      </w:r>
      <w:r>
        <w:t xml:space="preserve"> restricts access to tribal reserves, including the Sentinelese and Jarawa areas, and the Andaman Trunk Road corridor is subject to Supreme Court-supervised restrictions. Land purchase by outsiders is tightly controlled. Tourism, fisheries and coconut processing are the viable sectors; the Great Nicobar development project has made environmental clearance here nationally contentious.</w:t>
      </w:r>
    </w:p>
    <w:p>
      <w:pPr>
        <w:pStyle w:val="Heading3"/>
        <w:keepNext/>
        <w:keepLines/>
      </w:pPr>
      <w:r>
        <w:t xml:space="preserve">10.2.6 Lakshadweep</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Legislature</w:t>
            </w:r>
          </w:p>
        </w:tc>
        <w:tc>
          <w:tcPr>
            <w:tcMar>
              <w:top w:type="dxa" w:w="70"/>
              <w:left w:type="dxa" w:w="110"/>
              <w:bottom w:type="dxa" w:w="70"/>
              <w:right w:type="dxa" w:w="110"/>
            </w:tcMar>
          </w:tcPr>
          <w:p>
            <w:pPr>
              <w:spacing w:after="0"/>
            </w:pPr>
            <w:r>
              <w:t xml:space="preserve">No — Administrator</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Administrator notification</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Administrator notification</w:t>
            </w:r>
          </w:p>
        </w:tc>
      </w:tr>
      <w:tr>
        <w:trPr>
          <w:cantSplit/>
          <w:tblHeader w:val="false"/>
        </w:trPr>
        <w:tc>
          <w:tcPr>
            <w:tcMar>
              <w:top w:type="dxa" w:w="70"/>
              <w:left w:type="dxa" w:w="110"/>
              <w:bottom w:type="dxa" w:w="70"/>
              <w:right w:type="dxa" w:w="110"/>
            </w:tcMar>
          </w:tcPr>
          <w:p>
            <w:pPr>
              <w:spacing w:after="0"/>
            </w:pPr>
            <w:r>
              <w:t xml:space="preserve">GST</w:t>
            </w:r>
          </w:p>
        </w:tc>
        <w:tc>
          <w:tcPr>
            <w:tcMar>
              <w:top w:type="dxa" w:w="70"/>
              <w:left w:type="dxa" w:w="110"/>
              <w:bottom w:type="dxa" w:w="70"/>
              <w:right w:type="dxa" w:w="110"/>
            </w:tcMar>
          </w:tcPr>
          <w:p>
            <w:pPr>
              <w:spacing w:after="0"/>
            </w:pPr>
            <w:r>
              <w:rPr>
                <w:b/>
                <w:bCs/>
              </w:rPr>
              <w:t xml:space="preserve">UTGST</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Administration Industries Department</w:t>
            </w:r>
          </w:p>
        </w:tc>
      </w:tr>
      <w:tr>
        <w:trPr>
          <w:cantSplit/>
          <w:tblHeader w:val="false"/>
        </w:trPr>
        <w:tc>
          <w:tcPr>
            <w:tcMar>
              <w:top w:type="dxa" w:w="70"/>
              <w:left w:type="dxa" w:w="110"/>
              <w:bottom w:type="dxa" w:w="70"/>
              <w:right w:type="dxa" w:w="110"/>
            </w:tcMar>
          </w:tcPr>
          <w:p>
            <w:pPr>
              <w:spacing w:after="0"/>
            </w:pPr>
            <w:r>
              <w:t xml:space="preserve">Pollution Body</w:t>
            </w:r>
          </w:p>
        </w:tc>
        <w:tc>
          <w:tcPr>
            <w:tcMar>
              <w:top w:type="dxa" w:w="70"/>
              <w:left w:type="dxa" w:w="110"/>
              <w:bottom w:type="dxa" w:w="70"/>
              <w:right w:type="dxa" w:w="110"/>
            </w:tcMar>
          </w:tcPr>
          <w:p>
            <w:pPr>
              <w:spacing w:after="0"/>
            </w:pPr>
            <w:r>
              <w:t xml:space="preserve">Lakshadweep Pollution Control Committee</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rPr>
                <w:b/>
                <w:bCs/>
              </w:rPr>
              <w:t xml:space="preserve">Prohibition</w:t>
            </w:r>
            <w:r>
              <w:t xml:space="preserve">, except historically on Bangaram island</w:t>
            </w:r>
          </w:p>
        </w:tc>
      </w:tr>
      <w:tr>
        <w:trPr>
          <w:cantSplit/>
          <w:tblHeader w:val="false"/>
        </w:trPr>
        <w:tc>
          <w:tcPr>
            <w:tcMar>
              <w:top w:type="dxa" w:w="70"/>
              <w:left w:type="dxa" w:w="110"/>
              <w:bottom w:type="dxa" w:w="70"/>
              <w:right w:type="dxa" w:w="110"/>
            </w:tcMar>
          </w:tcPr>
          <w:p>
            <w:pPr>
              <w:spacing w:after="0"/>
            </w:pPr>
            <w:r>
              <w:t xml:space="preserve">RoC</w:t>
            </w:r>
          </w:p>
        </w:tc>
        <w:tc>
          <w:tcPr>
            <w:tcMar>
              <w:top w:type="dxa" w:w="70"/>
              <w:left w:type="dxa" w:w="110"/>
              <w:bottom w:type="dxa" w:w="70"/>
              <w:right w:type="dxa" w:w="110"/>
            </w:tcMar>
          </w:tcPr>
          <w:p>
            <w:pPr>
              <w:spacing w:after="0"/>
            </w:pPr>
            <w:r>
              <w:t xml:space="preserve">Ernakulam</w:t>
            </w:r>
          </w:p>
        </w:tc>
      </w:tr>
    </w:tbl>
    <w:p>
      <w:pPr>
        <w:spacing w:after="40"/>
      </w:pPr>
    </w:p>
    <w:p>
      <w:r>
        <w:rPr>
          <w:b/>
          <w:bCs/>
        </w:rPr>
        <w:t xml:space="preserve">Distinctive:</w:t>
      </w:r>
      <w:r>
        <w:t xml:space="preserve"> The smallest UT and the most restricted. Land is held under a distinctive tenure system, and </w:t>
      </w:r>
      <w:r>
        <w:rPr>
          <w:b/>
          <w:bCs/>
        </w:rPr>
        <w:t xml:space="preserve">non-islanders essentially cannot purchase land</w:t>
      </w:r>
      <w:r>
        <w:t xml:space="preserve">. Entry requires a permit. The entire territory is coral atoll, so CRZ and Island Protection Zone rules govern all construction. Proposed regulatory changes in 2021 concerning land development, prohibition and preventive detention were heavily contested and litigated — a reminder that in a UT without a legislature, business-relevant law can change by Administrator regulation without a legislative process.</w:t>
      </w:r>
    </w:p>
    <w:p>
      <w:pPr>
        <w:pStyle w:val="Heading3"/>
        <w:keepNext/>
        <w:keepLines/>
      </w:pPr>
      <w:r>
        <w:t xml:space="preserve">10.2.7 Dadra &amp; Nagar Haveli and Daman &amp; Diu</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Legislature</w:t>
            </w:r>
          </w:p>
        </w:tc>
        <w:tc>
          <w:tcPr>
            <w:tcMar>
              <w:top w:type="dxa" w:w="70"/>
              <w:left w:type="dxa" w:w="110"/>
              <w:bottom w:type="dxa" w:w="70"/>
              <w:right w:type="dxa" w:w="110"/>
            </w:tcMar>
          </w:tcPr>
          <w:p>
            <w:pPr>
              <w:spacing w:after="0"/>
            </w:pPr>
            <w:r>
              <w:t xml:space="preserve">No — Administrator; </w:t>
            </w:r>
            <w:r>
              <w:rPr>
                <w:b/>
                <w:bCs/>
              </w:rPr>
              <w:t xml:space="preserve">the two UTs were merged in January 2020</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Goa, Daman &amp; Diu Act 1973 / DNH Regulation as applied</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w:t>
            </w:r>
          </w:p>
        </w:tc>
      </w:tr>
      <w:tr>
        <w:trPr>
          <w:cantSplit/>
          <w:tblHeader w:val="false"/>
        </w:trPr>
        <w:tc>
          <w:tcPr>
            <w:tcMar>
              <w:top w:type="dxa" w:w="70"/>
              <w:left w:type="dxa" w:w="110"/>
              <w:bottom w:type="dxa" w:w="70"/>
              <w:right w:type="dxa" w:w="110"/>
            </w:tcMar>
          </w:tcPr>
          <w:p>
            <w:pPr>
              <w:spacing w:after="0"/>
            </w:pPr>
            <w:r>
              <w:t xml:space="preserve">GST</w:t>
            </w:r>
          </w:p>
        </w:tc>
        <w:tc>
          <w:tcPr>
            <w:tcMar>
              <w:top w:type="dxa" w:w="70"/>
              <w:left w:type="dxa" w:w="110"/>
              <w:bottom w:type="dxa" w:w="70"/>
              <w:right w:type="dxa" w:w="110"/>
            </w:tcMar>
          </w:tcPr>
          <w:p>
            <w:pPr>
              <w:spacing w:after="0"/>
            </w:pPr>
            <w:r>
              <w:rPr>
                <w:b/>
                <w:bCs/>
              </w:rPr>
              <w:t xml:space="preserve">UTGST</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rPr>
                <w:b/>
                <w:bCs/>
              </w:rPr>
              <w:t xml:space="preserve">OIDC</w:t>
            </w:r>
            <w:r>
              <w:t xml:space="preserve"> (Omnibus Industrial Development Corporation)</w:t>
            </w:r>
          </w:p>
        </w:tc>
      </w:tr>
      <w:tr>
        <w:trPr>
          <w:cantSplit/>
          <w:tblHeader w:val="false"/>
        </w:trPr>
        <w:tc>
          <w:tcPr>
            <w:tcMar>
              <w:top w:type="dxa" w:w="70"/>
              <w:left w:type="dxa" w:w="110"/>
              <w:bottom w:type="dxa" w:w="70"/>
              <w:right w:type="dxa" w:w="110"/>
            </w:tcMar>
          </w:tcPr>
          <w:p>
            <w:pPr>
              <w:spacing w:after="0"/>
            </w:pPr>
            <w:r>
              <w:t xml:space="preserve">Pollution Body</w:t>
            </w:r>
          </w:p>
        </w:tc>
        <w:tc>
          <w:tcPr>
            <w:tcMar>
              <w:top w:type="dxa" w:w="70"/>
              <w:left w:type="dxa" w:w="110"/>
              <w:bottom w:type="dxa" w:w="70"/>
              <w:right w:type="dxa" w:w="110"/>
            </w:tcMar>
          </w:tcPr>
          <w:p>
            <w:pPr>
              <w:spacing w:after="0"/>
            </w:pPr>
            <w:r>
              <w:t xml:space="preserve">DNH &amp; DD Pollution Control Committee</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Private retail with </w:t>
            </w:r>
            <w:r>
              <w:rPr>
                <w:b/>
                <w:bCs/>
              </w:rPr>
              <w:t xml:space="preserve">low duty</w:t>
            </w:r>
          </w:p>
        </w:tc>
      </w:tr>
      <w:tr>
        <w:trPr>
          <w:cantSplit/>
          <w:tblHeader w:val="false"/>
        </w:trPr>
        <w:tc>
          <w:tcPr>
            <w:tcMar>
              <w:top w:type="dxa" w:w="70"/>
              <w:left w:type="dxa" w:w="110"/>
              <w:bottom w:type="dxa" w:w="70"/>
              <w:right w:type="dxa" w:w="110"/>
            </w:tcMar>
          </w:tcPr>
          <w:p>
            <w:pPr>
              <w:spacing w:after="0"/>
            </w:pPr>
            <w:r>
              <w:t xml:space="preserve">RoC</w:t>
            </w:r>
          </w:p>
        </w:tc>
        <w:tc>
          <w:tcPr>
            <w:tcMar>
              <w:top w:type="dxa" w:w="70"/>
              <w:left w:type="dxa" w:w="110"/>
              <w:bottom w:type="dxa" w:w="70"/>
              <w:right w:type="dxa" w:w="110"/>
            </w:tcMar>
          </w:tcPr>
          <w:p>
            <w:pPr>
              <w:spacing w:after="0"/>
            </w:pPr>
            <w:r>
              <w:t xml:space="preserve">Ahmedabad</w:t>
            </w:r>
          </w:p>
        </w:tc>
      </w:tr>
    </w:tbl>
    <w:p>
      <w:pPr>
        <w:spacing w:after="40"/>
      </w:pPr>
    </w:p>
    <w:p>
      <w:r>
        <w:rPr>
          <w:b/>
          <w:bCs/>
        </w:rPr>
        <w:t xml:space="preserve">Distinctive:</w:t>
      </w:r>
      <w:r>
        <w:t xml:space="preserve"> Silvassa and the surrounding DNH area host an unusually dense concentration of manufacturing — textiles, plastics, engineering — built originally on central excise exemptions and sustained by low local levies and proximity to Mumbai and Surat. </w:t>
      </w:r>
      <w:r>
        <w:rPr>
          <w:b/>
          <w:bCs/>
        </w:rPr>
        <w:t xml:space="preserve">Low excise duty next to prohibition-state Gujarat</w:t>
      </w:r>
      <w:r>
        <w:t xml:space="preserve"> creates a pronounced border dynamic. The 2020 merger required harmonising two separate sets of regulations, a process that has produced transitional inconsistencies. Land is limited and industrial estates are the primary route to premises.</w:t>
      </w:r>
    </w:p>
    <w:p>
      <w:pPr>
        <w:pStyle w:val="Heading3"/>
        <w:keepNext/>
        <w:keepLines/>
      </w:pPr>
      <w:r>
        <w:t xml:space="preserve">10.2.8 Ladakh</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Field</w:t>
            </w:r>
          </w:p>
        </w:tc>
        <w:tc>
          <w:tcPr>
            <w:shd w:fill="F0F4FE"/>
            <w:tcMar>
              <w:top w:type="dxa" w:w="70"/>
              <w:left w:type="dxa" w:w="110"/>
              <w:bottom w:type="dxa" w:w="70"/>
              <w:right w:type="dxa" w:w="110"/>
            </w:tcMar>
          </w:tcPr>
          <w:p>
            <w:pPr>
              <w:spacing w:after="0"/>
            </w:pPr>
            <w:r>
              <w:rPr>
                <w:b/>
                <w:bCs/>
                <w:color w:val="112D6A"/>
              </w:rPr>
              <w:t xml:space="preserve">Position</w:t>
            </w:r>
          </w:p>
        </w:tc>
      </w:tr>
      <w:tr>
        <w:trPr>
          <w:cantSplit/>
          <w:tblHeader w:val="false"/>
        </w:trPr>
        <w:tc>
          <w:tcPr>
            <w:tcMar>
              <w:top w:type="dxa" w:w="70"/>
              <w:left w:type="dxa" w:w="110"/>
              <w:bottom w:type="dxa" w:w="70"/>
              <w:right w:type="dxa" w:w="110"/>
            </w:tcMar>
          </w:tcPr>
          <w:p>
            <w:pPr>
              <w:spacing w:after="0"/>
            </w:pPr>
            <w:r>
              <w:t xml:space="preserve">Legislature</w:t>
            </w:r>
          </w:p>
        </w:tc>
        <w:tc>
          <w:tcPr>
            <w:tcMar>
              <w:top w:type="dxa" w:w="70"/>
              <w:left w:type="dxa" w:w="110"/>
              <w:bottom w:type="dxa" w:w="70"/>
              <w:right w:type="dxa" w:w="110"/>
            </w:tcMar>
          </w:tcPr>
          <w:p>
            <w:pPr>
              <w:spacing w:after="0"/>
            </w:pPr>
            <w:r>
              <w:t xml:space="preserve">No — Administrator; </w:t>
            </w:r>
            <w:r>
              <w:rPr>
                <w:b/>
                <w:bCs/>
              </w:rPr>
              <w:t xml:space="preserve">created in 2019</w:t>
            </w:r>
            <w:r>
              <w:t xml:space="preserve"> from the erstwhile J&amp;K</w:t>
            </w:r>
          </w:p>
        </w:tc>
      </w:tr>
      <w:tr>
        <w:trPr>
          <w:cantSplit/>
          <w:tblHeader w:val="false"/>
        </w:trPr>
        <w:tc>
          <w:tcPr>
            <w:tcMar>
              <w:top w:type="dxa" w:w="70"/>
              <w:left w:type="dxa" w:w="110"/>
              <w:bottom w:type="dxa" w:w="70"/>
              <w:right w:type="dxa" w:w="110"/>
            </w:tcMar>
          </w:tcPr>
          <w:p>
            <w:pPr>
              <w:spacing w:after="0"/>
            </w:pPr>
            <w:r>
              <w:t xml:space="preserve">Shops Act</w:t>
            </w:r>
          </w:p>
        </w:tc>
        <w:tc>
          <w:tcPr>
            <w:tcMar>
              <w:top w:type="dxa" w:w="70"/>
              <w:left w:type="dxa" w:w="110"/>
              <w:bottom w:type="dxa" w:w="70"/>
              <w:right w:type="dxa" w:w="110"/>
            </w:tcMar>
          </w:tcPr>
          <w:p>
            <w:pPr>
              <w:spacing w:after="0"/>
            </w:pPr>
            <w:r>
              <w:t xml:space="preserve">J&amp;K Act 1966 as applied</w:t>
            </w:r>
          </w:p>
        </w:tc>
      </w:tr>
      <w:tr>
        <w:trPr>
          <w:cantSplit/>
          <w:tblHeader w:val="false"/>
        </w:trPr>
        <w:tc>
          <w:tcPr>
            <w:tcMar>
              <w:top w:type="dxa" w:w="70"/>
              <w:left w:type="dxa" w:w="110"/>
              <w:bottom w:type="dxa" w:w="70"/>
              <w:right w:type="dxa" w:w="110"/>
            </w:tcMar>
          </w:tcPr>
          <w:p>
            <w:pPr>
              <w:spacing w:after="0"/>
            </w:pPr>
            <w:r>
              <w:t xml:space="preserve">Professional Tax</w:t>
            </w:r>
          </w:p>
        </w:tc>
        <w:tc>
          <w:tcPr>
            <w:tcMar>
              <w:top w:type="dxa" w:w="70"/>
              <w:left w:type="dxa" w:w="110"/>
              <w:bottom w:type="dxa" w:w="70"/>
              <w:right w:type="dxa" w:w="110"/>
            </w:tcMar>
          </w:tcPr>
          <w:p>
            <w:pPr>
              <w:spacing w:after="0"/>
            </w:pPr>
            <w:r>
              <w:rPr>
                <w:b/>
                <w:bCs/>
              </w:rPr>
              <w:t xml:space="preserve">Not levied</w:t>
            </w:r>
          </w:p>
        </w:tc>
      </w:tr>
      <w:tr>
        <w:trPr>
          <w:cantSplit/>
          <w:tblHeader w:val="false"/>
        </w:trPr>
        <w:tc>
          <w:tcPr>
            <w:tcMar>
              <w:top w:type="dxa" w:w="70"/>
              <w:left w:type="dxa" w:w="110"/>
              <w:bottom w:type="dxa" w:w="70"/>
              <w:right w:type="dxa" w:w="110"/>
            </w:tcMar>
          </w:tcPr>
          <w:p>
            <w:pPr>
              <w:spacing w:after="0"/>
            </w:pPr>
            <w:r>
              <w:t xml:space="preserve">Labour Welfare Fund</w:t>
            </w:r>
          </w:p>
        </w:tc>
        <w:tc>
          <w:tcPr>
            <w:tcMar>
              <w:top w:type="dxa" w:w="70"/>
              <w:left w:type="dxa" w:w="110"/>
              <w:bottom w:type="dxa" w:w="70"/>
              <w:right w:type="dxa" w:w="110"/>
            </w:tcMar>
          </w:tcPr>
          <w:p>
            <w:pPr>
              <w:spacing w:after="0"/>
            </w:pPr>
            <w:r>
              <w:t xml:space="preserve">No</w:t>
            </w:r>
          </w:p>
        </w:tc>
      </w:tr>
      <w:tr>
        <w:trPr>
          <w:cantSplit/>
          <w:tblHeader w:val="false"/>
        </w:trPr>
        <w:tc>
          <w:tcPr>
            <w:tcMar>
              <w:top w:type="dxa" w:w="70"/>
              <w:left w:type="dxa" w:w="110"/>
              <w:bottom w:type="dxa" w:w="70"/>
              <w:right w:type="dxa" w:w="110"/>
            </w:tcMar>
          </w:tcPr>
          <w:p>
            <w:pPr>
              <w:spacing w:after="0"/>
            </w:pPr>
            <w:r>
              <w:t xml:space="preserve">Stamp Duty</w:t>
            </w:r>
          </w:p>
        </w:tc>
        <w:tc>
          <w:tcPr>
            <w:tcMar>
              <w:top w:type="dxa" w:w="70"/>
              <w:left w:type="dxa" w:w="110"/>
              <w:bottom w:type="dxa" w:w="70"/>
              <w:right w:type="dxa" w:w="110"/>
            </w:tcMar>
          </w:tcPr>
          <w:p>
            <w:pPr>
              <w:spacing w:after="0"/>
            </w:pPr>
            <w:r>
              <w:t xml:space="preserve">~5%</w:t>
            </w:r>
          </w:p>
        </w:tc>
      </w:tr>
      <w:tr>
        <w:trPr>
          <w:cantSplit/>
          <w:tblHeader w:val="false"/>
        </w:trPr>
        <w:tc>
          <w:tcPr>
            <w:tcMar>
              <w:top w:type="dxa" w:w="70"/>
              <w:left w:type="dxa" w:w="110"/>
              <w:bottom w:type="dxa" w:w="70"/>
              <w:right w:type="dxa" w:w="110"/>
            </w:tcMar>
          </w:tcPr>
          <w:p>
            <w:pPr>
              <w:spacing w:after="0"/>
            </w:pPr>
            <w:r>
              <w:t xml:space="preserve">GST</w:t>
            </w:r>
          </w:p>
        </w:tc>
        <w:tc>
          <w:tcPr>
            <w:tcMar>
              <w:top w:type="dxa" w:w="70"/>
              <w:left w:type="dxa" w:w="110"/>
              <w:bottom w:type="dxa" w:w="70"/>
              <w:right w:type="dxa" w:w="110"/>
            </w:tcMar>
          </w:tcPr>
          <w:p>
            <w:pPr>
              <w:spacing w:after="0"/>
            </w:pPr>
            <w:r>
              <w:rPr>
                <w:b/>
                <w:bCs/>
              </w:rPr>
              <w:t xml:space="preserve">UTGST</w:t>
            </w:r>
          </w:p>
        </w:tc>
      </w:tr>
      <w:tr>
        <w:trPr>
          <w:cantSplit/>
          <w:tblHeader w:val="false"/>
        </w:trPr>
        <w:tc>
          <w:tcPr>
            <w:tcMar>
              <w:top w:type="dxa" w:w="70"/>
              <w:left w:type="dxa" w:w="110"/>
              <w:bottom w:type="dxa" w:w="70"/>
              <w:right w:type="dxa" w:w="110"/>
            </w:tcMar>
          </w:tcPr>
          <w:p>
            <w:pPr>
              <w:spacing w:after="0"/>
            </w:pPr>
            <w:r>
              <w:t xml:space="preserve">Industrial Agency</w:t>
            </w:r>
          </w:p>
        </w:tc>
        <w:tc>
          <w:tcPr>
            <w:tcMar>
              <w:top w:type="dxa" w:w="70"/>
              <w:left w:type="dxa" w:w="110"/>
              <w:bottom w:type="dxa" w:w="70"/>
              <w:right w:type="dxa" w:w="110"/>
            </w:tcMar>
          </w:tcPr>
          <w:p>
            <w:pPr>
              <w:spacing w:after="0"/>
            </w:pPr>
            <w:r>
              <w:t xml:space="preserve">Industries Department</w:t>
            </w:r>
          </w:p>
        </w:tc>
      </w:tr>
      <w:tr>
        <w:trPr>
          <w:cantSplit/>
          <w:tblHeader w:val="false"/>
        </w:trPr>
        <w:tc>
          <w:tcPr>
            <w:tcMar>
              <w:top w:type="dxa" w:w="70"/>
              <w:left w:type="dxa" w:w="110"/>
              <w:bottom w:type="dxa" w:w="70"/>
              <w:right w:type="dxa" w:w="110"/>
            </w:tcMar>
          </w:tcPr>
          <w:p>
            <w:pPr>
              <w:spacing w:after="0"/>
            </w:pPr>
            <w:r>
              <w:t xml:space="preserve">Pollution Body</w:t>
            </w:r>
          </w:p>
        </w:tc>
        <w:tc>
          <w:tcPr>
            <w:tcMar>
              <w:top w:type="dxa" w:w="70"/>
              <w:left w:type="dxa" w:w="110"/>
              <w:bottom w:type="dxa" w:w="70"/>
              <w:right w:type="dxa" w:w="110"/>
            </w:tcMar>
          </w:tcPr>
          <w:p>
            <w:pPr>
              <w:spacing w:after="0"/>
            </w:pPr>
            <w:r>
              <w:t xml:space="preserve">Ladakh Pollution Control Committee</w:t>
            </w:r>
          </w:p>
        </w:tc>
      </w:tr>
      <w:tr>
        <w:trPr>
          <w:cantSplit/>
          <w:tblHeader w:val="false"/>
        </w:trPr>
        <w:tc>
          <w:tcPr>
            <w:tcMar>
              <w:top w:type="dxa" w:w="70"/>
              <w:left w:type="dxa" w:w="110"/>
              <w:bottom w:type="dxa" w:w="70"/>
              <w:right w:type="dxa" w:w="110"/>
            </w:tcMar>
          </w:tcPr>
          <w:p>
            <w:pPr>
              <w:spacing w:after="0"/>
            </w:pPr>
            <w:r>
              <w:t xml:space="preserve">Excise</w:t>
            </w:r>
          </w:p>
        </w:tc>
        <w:tc>
          <w:tcPr>
            <w:tcMar>
              <w:top w:type="dxa" w:w="70"/>
              <w:left w:type="dxa" w:w="110"/>
              <w:bottom w:type="dxa" w:w="70"/>
              <w:right w:type="dxa" w:w="110"/>
            </w:tcMar>
          </w:tcPr>
          <w:p>
            <w:pPr>
              <w:spacing w:after="0"/>
            </w:pPr>
            <w:r>
              <w:t xml:space="preserve">Restricted licensed retail</w:t>
            </w:r>
          </w:p>
        </w:tc>
      </w:tr>
      <w:tr>
        <w:trPr>
          <w:cantSplit/>
          <w:tblHeader w:val="false"/>
        </w:trPr>
        <w:tc>
          <w:tcPr>
            <w:tcMar>
              <w:top w:type="dxa" w:w="70"/>
              <w:left w:type="dxa" w:w="110"/>
              <w:bottom w:type="dxa" w:w="70"/>
              <w:right w:type="dxa" w:w="110"/>
            </w:tcMar>
          </w:tcPr>
          <w:p>
            <w:pPr>
              <w:spacing w:after="0"/>
            </w:pPr>
            <w:r>
              <w:t xml:space="preserve">RoC</w:t>
            </w:r>
          </w:p>
        </w:tc>
        <w:tc>
          <w:tcPr>
            <w:tcMar>
              <w:top w:type="dxa" w:w="70"/>
              <w:left w:type="dxa" w:w="110"/>
              <w:bottom w:type="dxa" w:w="70"/>
              <w:right w:type="dxa" w:w="110"/>
            </w:tcMar>
          </w:tcPr>
          <w:p>
            <w:pPr>
              <w:spacing w:after="0"/>
            </w:pPr>
            <w:r>
              <w:t xml:space="preserve">Jammu</w:t>
            </w:r>
          </w:p>
        </w:tc>
      </w:tr>
      <w:tr>
        <w:trPr>
          <w:cantSplit/>
          <w:tblHeader w:val="false"/>
        </w:trPr>
        <w:tc>
          <w:tcPr>
            <w:tcMar>
              <w:top w:type="dxa" w:w="70"/>
              <w:left w:type="dxa" w:w="110"/>
              <w:bottom w:type="dxa" w:w="70"/>
              <w:right w:type="dxa" w:w="110"/>
            </w:tcMar>
          </w:tcPr>
          <w:p>
            <w:pPr>
              <w:spacing w:after="0"/>
            </w:pPr>
            <w:r>
              <w:t xml:space="preserve">Local bodies</w:t>
            </w:r>
          </w:p>
        </w:tc>
        <w:tc>
          <w:tcPr>
            <w:tcMar>
              <w:top w:type="dxa" w:w="70"/>
              <w:left w:type="dxa" w:w="110"/>
              <w:bottom w:type="dxa" w:w="70"/>
              <w:right w:type="dxa" w:w="110"/>
            </w:tcMar>
          </w:tcPr>
          <w:p>
            <w:pPr>
              <w:spacing w:after="0"/>
            </w:pPr>
            <w:r>
              <w:t xml:space="preserve">Ladakh Autonomous Hill Development Councils (Leh and Kargil)</w:t>
            </w:r>
          </w:p>
        </w:tc>
      </w:tr>
    </w:tbl>
    <w:p>
      <w:pPr>
        <w:spacing w:after="40"/>
      </w:pPr>
    </w:p>
    <w:p>
      <w:r>
        <w:rPr>
          <w:b/>
          <w:bCs/>
        </w:rPr>
        <w:t xml:space="preserve">Distinctive:</w:t>
      </w:r>
      <w:r>
        <w:t xml:space="preserve"> The newest UT, with a regulatory framework still being assembled. The </w:t>
      </w:r>
      <w:r>
        <w:rPr>
          <w:b/>
          <w:bCs/>
        </w:rPr>
        <w:t xml:space="preserve">Hill Development Councils</w:t>
      </w:r>
      <w:r>
        <w:t xml:space="preserve"> hold substantial local authority. Extreme altitude and seasonal road closure make the practical logistics of compliance — inspections, document filing, supply of materials — genuinely different from anywhere else. There is an active and unresolved public demand for </w:t>
      </w:r>
      <w:r>
        <w:rPr>
          <w:b/>
          <w:bCs/>
        </w:rPr>
        <w:t xml:space="preserve">Sixth Schedule status</w:t>
      </w:r>
      <w:r>
        <w:t xml:space="preserve">, which if granted would fundamentally change land and licensing regulation here. Tourism, handicrafts, apricot and solar power are the principal sectors. Fragile-ecology constraints bind almost all construction.</w:t>
      </w:r>
    </w:p>
    <w:p>
      <w:pPr>
        <w:pStyle w:val="Heading1"/>
        <w:keepNext/>
        <w:keepLines/>
        <w:pBdr>
          <w:bottom w:val="single" w:color="2157CF" w:sz="8" w:space="3"/>
        </w:pBdr>
      </w:pPr>
      <w:r>
        <w:t xml:space="preserve">PART C — THE OPERATIONAL VIEW</w:t>
      </w:r>
    </w:p>
    <w:p>
      <w:pPr>
        <w:pStyle w:val="Heading1"/>
        <w:keepNext/>
        <w:keepLines/>
        <w:pBdr>
          <w:bottom w:val="single" w:color="2157CF" w:sz="8" w:space="3"/>
        </w:pBdr>
      </w:pPr>
      <w:r>
        <w:t xml:space="preserve">11. Consolidated Comparison Matrices</w:t>
      </w:r>
    </w:p>
    <w:p>
      <w:pPr>
        <w:pStyle w:val="Heading2"/>
        <w:keepNext/>
        <w:keepLines/>
      </w:pPr>
      <w:r>
        <w:t xml:space="preserve">11.1 The Four Highest-Impact Divergences at a Glance</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State / UT</w:t>
            </w:r>
          </w:p>
        </w:tc>
        <w:tc>
          <w:tcPr>
            <w:shd w:fill="F0F4FE"/>
            <w:tcMar>
              <w:top w:type="dxa" w:w="70"/>
              <w:left w:type="dxa" w:w="110"/>
              <w:bottom w:type="dxa" w:w="70"/>
              <w:right w:type="dxa" w:w="110"/>
            </w:tcMar>
          </w:tcPr>
          <w:p>
            <w:pPr>
              <w:spacing w:after="0"/>
            </w:pPr>
            <w:r>
              <w:rPr>
                <w:b/>
                <w:bCs/>
                <w:color w:val="112D6A"/>
              </w:rPr>
              <w:t xml:space="preserve">Prof. Tax</w:t>
            </w:r>
          </w:p>
        </w:tc>
        <w:tc>
          <w:tcPr>
            <w:shd w:fill="F0F4FE"/>
            <w:tcMar>
              <w:top w:type="dxa" w:w="70"/>
              <w:left w:type="dxa" w:w="110"/>
              <w:bottom w:type="dxa" w:w="70"/>
              <w:right w:type="dxa" w:w="110"/>
            </w:tcMar>
          </w:tcPr>
          <w:p>
            <w:pPr>
              <w:spacing w:after="0"/>
            </w:pPr>
            <w:r>
              <w:rPr>
                <w:b/>
                <w:bCs/>
                <w:color w:val="112D6A"/>
              </w:rPr>
              <w:t xml:space="preserve">LWF</w:t>
            </w:r>
          </w:p>
        </w:tc>
        <w:tc>
          <w:tcPr>
            <w:shd w:fill="F0F4FE"/>
            <w:tcMar>
              <w:top w:type="dxa" w:w="70"/>
              <w:left w:type="dxa" w:w="110"/>
              <w:bottom w:type="dxa" w:w="70"/>
              <w:right w:type="dxa" w:w="110"/>
            </w:tcMar>
          </w:tcPr>
          <w:p>
            <w:pPr>
              <w:spacing w:after="0"/>
            </w:pPr>
            <w:r>
              <w:rPr>
                <w:b/>
                <w:bCs/>
                <w:color w:val="112D6A"/>
              </w:rPr>
              <w:t xml:space="preserve">Shops Act Threshold</w:t>
            </w:r>
          </w:p>
        </w:tc>
        <w:tc>
          <w:tcPr>
            <w:shd w:fill="F0F4FE"/>
            <w:tcMar>
              <w:top w:type="dxa" w:w="70"/>
              <w:left w:type="dxa" w:w="110"/>
              <w:bottom w:type="dxa" w:w="70"/>
              <w:right w:type="dxa" w:w="110"/>
            </w:tcMar>
          </w:tcPr>
          <w:p>
            <w:pPr>
              <w:spacing w:after="0"/>
            </w:pPr>
            <w:r>
              <w:rPr>
                <w:b/>
                <w:bCs/>
                <w:color w:val="112D6A"/>
              </w:rPr>
              <w:t xml:space="preserve">Excise Model</w:t>
            </w:r>
          </w:p>
        </w:tc>
      </w:tr>
      <w:tr>
        <w:trPr>
          <w:cantSplit/>
          <w:tblHeader w:val="false"/>
        </w:trPr>
        <w:tc>
          <w:tcPr>
            <w:tcMar>
              <w:top w:type="dxa" w:w="70"/>
              <w:left w:type="dxa" w:w="110"/>
              <w:bottom w:type="dxa" w:w="70"/>
              <w:right w:type="dxa" w:w="110"/>
            </w:tcMar>
          </w:tcPr>
          <w:p>
            <w:pPr>
              <w:spacing w:after="0"/>
            </w:pPr>
            <w:r>
              <w:t xml:space="preserve">Andhra Pradesh</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State retail</w:t>
            </w:r>
          </w:p>
        </w:tc>
      </w:tr>
      <w:tr>
        <w:trPr>
          <w:cantSplit/>
          <w:tblHeader w:val="false"/>
        </w:trPr>
        <w:tc>
          <w:tcPr>
            <w:tcMar>
              <w:top w:type="dxa" w:w="70"/>
              <w:left w:type="dxa" w:w="110"/>
              <w:bottom w:type="dxa" w:w="70"/>
              <w:right w:type="dxa" w:w="110"/>
            </w:tcMar>
          </w:tcPr>
          <w:p>
            <w:pPr>
              <w:spacing w:after="0"/>
            </w:pPr>
            <w:r>
              <w:t xml:space="preserve">Arunachal Pradesh</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Assam</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Bihar</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rPr>
                <w:b/>
                <w:bCs/>
              </w:rPr>
              <w:t xml:space="preserve">Prohibition</w:t>
            </w:r>
          </w:p>
        </w:tc>
      </w:tr>
      <w:tr>
        <w:trPr>
          <w:cantSplit/>
          <w:tblHeader w:val="false"/>
        </w:trPr>
        <w:tc>
          <w:tcPr>
            <w:tcMar>
              <w:top w:type="dxa" w:w="70"/>
              <w:left w:type="dxa" w:w="110"/>
              <w:bottom w:type="dxa" w:w="70"/>
              <w:right w:type="dxa" w:w="110"/>
            </w:tcMar>
          </w:tcPr>
          <w:p>
            <w:pPr>
              <w:spacing w:after="0"/>
            </w:pPr>
            <w:r>
              <w:t xml:space="preserve">Chhattisgarh</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State retail</w:t>
            </w:r>
          </w:p>
        </w:tc>
      </w:tr>
      <w:tr>
        <w:trPr>
          <w:cantSplit/>
          <w:tblHeader w:val="false"/>
        </w:trPr>
        <w:tc>
          <w:tcPr>
            <w:tcMar>
              <w:top w:type="dxa" w:w="70"/>
              <w:left w:type="dxa" w:w="110"/>
              <w:bottom w:type="dxa" w:w="70"/>
              <w:right w:type="dxa" w:w="110"/>
            </w:tcMar>
          </w:tcPr>
          <w:p>
            <w:pPr>
              <w:spacing w:after="0"/>
            </w:pPr>
            <w:r>
              <w:t xml:space="preserve">Goa</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 (low duty)</w:t>
            </w:r>
          </w:p>
        </w:tc>
      </w:tr>
      <w:tr>
        <w:trPr>
          <w:cantSplit/>
          <w:tblHeader w:val="false"/>
        </w:trPr>
        <w:tc>
          <w:tcPr>
            <w:tcMar>
              <w:top w:type="dxa" w:w="70"/>
              <w:left w:type="dxa" w:w="110"/>
              <w:bottom w:type="dxa" w:w="70"/>
              <w:right w:type="dxa" w:w="110"/>
            </w:tcMar>
          </w:tcPr>
          <w:p>
            <w:pPr>
              <w:spacing w:after="0"/>
            </w:pPr>
            <w:r>
              <w:t xml:space="preserve">Gujarat</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rPr>
                <w:b/>
                <w:bCs/>
              </w:rPr>
              <w:t xml:space="preserve">10+</w:t>
            </w:r>
          </w:p>
        </w:tc>
        <w:tc>
          <w:tcPr>
            <w:tcMar>
              <w:top w:type="dxa" w:w="70"/>
              <w:left w:type="dxa" w:w="110"/>
              <w:bottom w:type="dxa" w:w="70"/>
              <w:right w:type="dxa" w:w="110"/>
            </w:tcMar>
          </w:tcPr>
          <w:p>
            <w:pPr>
              <w:spacing w:after="0"/>
            </w:pPr>
            <w:r>
              <w:rPr>
                <w:b/>
                <w:bCs/>
              </w:rPr>
              <w:t xml:space="preserve">Prohibition</w:t>
            </w:r>
          </w:p>
        </w:tc>
      </w:tr>
      <w:tr>
        <w:trPr>
          <w:cantSplit/>
          <w:tblHeader w:val="false"/>
        </w:trPr>
        <w:tc>
          <w:tcPr>
            <w:tcMar>
              <w:top w:type="dxa" w:w="70"/>
              <w:left w:type="dxa" w:w="110"/>
              <w:bottom w:type="dxa" w:w="70"/>
              <w:right w:type="dxa" w:w="110"/>
            </w:tcMar>
          </w:tcPr>
          <w:p>
            <w:pPr>
              <w:spacing w:after="0"/>
            </w:pPr>
            <w:r>
              <w:t xml:space="preserve">Haryana</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Himachal Pradesh</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Jharkhand</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Karnataka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Kerala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State retail</w:t>
            </w:r>
          </w:p>
        </w:tc>
      </w:tr>
      <w:tr>
        <w:trPr>
          <w:cantSplit/>
          <w:tblHeader w:val="false"/>
        </w:trPr>
        <w:tc>
          <w:tcPr>
            <w:tcMar>
              <w:top w:type="dxa" w:w="70"/>
              <w:left w:type="dxa" w:w="110"/>
              <w:bottom w:type="dxa" w:w="70"/>
              <w:right w:type="dxa" w:w="110"/>
            </w:tcMar>
          </w:tcPr>
          <w:p>
            <w:pPr>
              <w:spacing w:after="0"/>
            </w:pPr>
            <w:r>
              <w:t xml:space="preserve">Madhya Pradesh</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Maharashtra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rPr>
                <w:b/>
                <w:bCs/>
              </w:rPr>
              <w:t xml:space="preserve">10+</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Manipur</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Relaxed prohibition</w:t>
            </w:r>
          </w:p>
        </w:tc>
      </w:tr>
      <w:tr>
        <w:trPr>
          <w:cantSplit/>
          <w:tblHeader w:val="false"/>
        </w:trPr>
        <w:tc>
          <w:tcPr>
            <w:tcMar>
              <w:top w:type="dxa" w:w="70"/>
              <w:left w:type="dxa" w:w="110"/>
              <w:bottom w:type="dxa" w:w="70"/>
              <w:right w:type="dxa" w:w="110"/>
            </w:tcMar>
          </w:tcPr>
          <w:p>
            <w:pPr>
              <w:spacing w:after="0"/>
            </w:pPr>
            <w:r>
              <w:t xml:space="preserve">Meghalaya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Mizoram</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Prohibition (variable)</w:t>
            </w:r>
          </w:p>
        </w:tc>
      </w:tr>
      <w:tr>
        <w:trPr>
          <w:cantSplit/>
          <w:tblHeader w:val="false"/>
        </w:trPr>
        <w:tc>
          <w:tcPr>
            <w:tcMar>
              <w:top w:type="dxa" w:w="70"/>
              <w:left w:type="dxa" w:w="110"/>
              <w:bottom w:type="dxa" w:w="70"/>
              <w:right w:type="dxa" w:w="110"/>
            </w:tcMar>
          </w:tcPr>
          <w:p>
            <w:pPr>
              <w:spacing w:after="0"/>
            </w:pPr>
            <w:r>
              <w:t xml:space="preserve">Nagaland</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rPr>
                <w:b/>
                <w:bCs/>
              </w:rPr>
              <w:t xml:space="preserve">Prohibition</w:t>
            </w:r>
          </w:p>
        </w:tc>
      </w:tr>
      <w:tr>
        <w:trPr>
          <w:cantSplit/>
          <w:tblHeader w:val="false"/>
        </w:trPr>
        <w:tc>
          <w:tcPr>
            <w:tcMar>
              <w:top w:type="dxa" w:w="70"/>
              <w:left w:type="dxa" w:w="110"/>
              <w:bottom w:type="dxa" w:w="70"/>
              <w:right w:type="dxa" w:w="110"/>
            </w:tcMar>
          </w:tcPr>
          <w:p>
            <w:pPr>
              <w:spacing w:after="0"/>
            </w:pPr>
            <w:r>
              <w:t xml:space="preserve">Odisha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Punjab</w:t>
            </w:r>
          </w:p>
        </w:tc>
        <w:tc>
          <w:tcPr>
            <w:tcMar>
              <w:top w:type="dxa" w:w="70"/>
              <w:left w:type="dxa" w:w="110"/>
              <w:bottom w:type="dxa" w:w="70"/>
              <w:right w:type="dxa" w:w="110"/>
            </w:tcMar>
          </w:tcPr>
          <w:p>
            <w:pPr>
              <w:spacing w:after="0"/>
            </w:pPr>
            <w:r>
              <w:t xml:space="preserve">Yes (Dev. Tax)</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Rajasthan</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Sikkim</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 (low duty)</w:t>
            </w:r>
          </w:p>
        </w:tc>
      </w:tr>
      <w:tr>
        <w:trPr>
          <w:cantSplit/>
          <w:tblHeader w:val="false"/>
        </w:trPr>
        <w:tc>
          <w:tcPr>
            <w:tcMar>
              <w:top w:type="dxa" w:w="70"/>
              <w:left w:type="dxa" w:w="110"/>
              <w:bottom w:type="dxa" w:w="70"/>
              <w:right w:type="dxa" w:w="110"/>
            </w:tcMar>
          </w:tcPr>
          <w:p>
            <w:pPr>
              <w:spacing w:after="0"/>
            </w:pPr>
            <w:r>
              <w:t xml:space="preserve">Tamil Nadu</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rPr>
                <w:b/>
                <w:bCs/>
              </w:rPr>
              <w:t xml:space="preserve">State monopoly</w:t>
            </w:r>
          </w:p>
        </w:tc>
      </w:tr>
      <w:tr>
        <w:trPr>
          <w:cantSplit/>
          <w:tblHeader w:val="false"/>
        </w:trPr>
        <w:tc>
          <w:tcPr>
            <w:tcMar>
              <w:top w:type="dxa" w:w="70"/>
              <w:left w:type="dxa" w:w="110"/>
              <w:bottom w:type="dxa" w:w="70"/>
              <w:right w:type="dxa" w:w="110"/>
            </w:tcMar>
          </w:tcPr>
          <w:p>
            <w:pPr>
              <w:spacing w:after="0"/>
            </w:pPr>
            <w:r>
              <w:t xml:space="preserve">Telangana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Tripura</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Uttar Pradesh</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Uttarakhand</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West Bengal</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Delhi</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Government corporation</w:t>
            </w:r>
          </w:p>
        </w:tc>
      </w:tr>
      <w:tr>
        <w:trPr>
          <w:cantSplit/>
          <w:tblHeader w:val="false"/>
        </w:trPr>
        <w:tc>
          <w:tcPr>
            <w:tcMar>
              <w:top w:type="dxa" w:w="70"/>
              <w:left w:type="dxa" w:w="110"/>
              <w:bottom w:type="dxa" w:w="70"/>
              <w:right w:type="dxa" w:w="110"/>
            </w:tcMar>
          </w:tcPr>
          <w:p>
            <w:pPr>
              <w:spacing w:after="0"/>
            </w:pPr>
            <w:r>
              <w:t xml:space="preserve">Puducherry</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Limited</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 (low duty)</w:t>
            </w:r>
          </w:p>
        </w:tc>
      </w:tr>
      <w:tr>
        <w:trPr>
          <w:cantSplit/>
          <w:tblHeader w:val="false"/>
        </w:trPr>
        <w:tc>
          <w:tcPr>
            <w:tcMar>
              <w:top w:type="dxa" w:w="70"/>
              <w:left w:type="dxa" w:w="110"/>
              <w:bottom w:type="dxa" w:w="70"/>
              <w:right w:type="dxa" w:w="110"/>
            </w:tcMar>
          </w:tcPr>
          <w:p>
            <w:pPr>
              <w:spacing w:after="0"/>
            </w:pPr>
            <w:r>
              <w:t xml:space="preserve">Jammu &amp; Kashmir</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Limited</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Chandigarh</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Yes</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A&amp;N Islands</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w:t>
            </w:r>
          </w:p>
        </w:tc>
      </w:tr>
      <w:tr>
        <w:trPr>
          <w:cantSplit/>
          <w:tblHeader w:val="false"/>
        </w:trPr>
        <w:tc>
          <w:tcPr>
            <w:tcMar>
              <w:top w:type="dxa" w:w="70"/>
              <w:left w:type="dxa" w:w="110"/>
              <w:bottom w:type="dxa" w:w="70"/>
              <w:right w:type="dxa" w:w="110"/>
            </w:tcMar>
          </w:tcPr>
          <w:p>
            <w:pPr>
              <w:spacing w:after="0"/>
            </w:pPr>
            <w:r>
              <w:t xml:space="preserve">Lakshadweep</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rPr>
                <w:b/>
                <w:bCs/>
              </w:rPr>
              <w:t xml:space="preserve">Prohibition</w:t>
            </w:r>
          </w:p>
        </w:tc>
      </w:tr>
      <w:tr>
        <w:trPr>
          <w:cantSplit/>
          <w:tblHeader w:val="false"/>
        </w:trPr>
        <w:tc>
          <w:tcPr>
            <w:tcMar>
              <w:top w:type="dxa" w:w="70"/>
              <w:left w:type="dxa" w:w="110"/>
              <w:bottom w:type="dxa" w:w="70"/>
              <w:right w:type="dxa" w:w="110"/>
            </w:tcMar>
          </w:tcPr>
          <w:p>
            <w:pPr>
              <w:spacing w:after="0"/>
            </w:pPr>
            <w:r>
              <w:t xml:space="preserve">DNH &amp; DD</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Private (low duty)</w:t>
            </w:r>
          </w:p>
        </w:tc>
      </w:tr>
      <w:tr>
        <w:trPr>
          <w:cantSplit/>
          <w:tblHeader w:val="false"/>
        </w:trPr>
        <w:tc>
          <w:tcPr>
            <w:tcMar>
              <w:top w:type="dxa" w:w="70"/>
              <w:left w:type="dxa" w:w="110"/>
              <w:bottom w:type="dxa" w:w="70"/>
              <w:right w:type="dxa" w:w="110"/>
            </w:tcMar>
          </w:tcPr>
          <w:p>
            <w:pPr>
              <w:spacing w:after="0"/>
            </w:pPr>
            <w:r>
              <w:t xml:space="preserve">Ladakh</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No</w:t>
            </w:r>
          </w:p>
        </w:tc>
        <w:tc>
          <w:tcPr>
            <w:tcMar>
              <w:top w:type="dxa" w:w="70"/>
              <w:left w:type="dxa" w:w="110"/>
              <w:bottom w:type="dxa" w:w="70"/>
              <w:right w:type="dxa" w:w="110"/>
            </w:tcMar>
          </w:tcPr>
          <w:p>
            <w:pPr>
              <w:spacing w:after="0"/>
            </w:pPr>
            <w:r>
              <w:t xml:space="preserve">All</w:t>
            </w:r>
          </w:p>
        </w:tc>
        <w:tc>
          <w:tcPr>
            <w:tcMar>
              <w:top w:type="dxa" w:w="70"/>
              <w:left w:type="dxa" w:w="110"/>
              <w:bottom w:type="dxa" w:w="70"/>
              <w:right w:type="dxa" w:w="110"/>
            </w:tcMar>
          </w:tcPr>
          <w:p>
            <w:pPr>
              <w:spacing w:after="0"/>
            </w:pPr>
            <w:r>
              <w:t xml:space="preserve">Restricted</w:t>
            </w:r>
          </w:p>
        </w:tc>
      </w:tr>
    </w:tbl>
    <w:p>
      <w:pPr>
        <w:spacing w:after="40"/>
      </w:pPr>
    </w:p>
    <w:p>
      <w:pPr>
        <w:pStyle w:val="Heading2"/>
        <w:keepNext/>
        <w:keepLines/>
      </w:pPr>
      <w:r>
        <w:t xml:space="preserve">11.2 Where Land Is the Binding Constraint</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Constraint Type</w:t>
            </w:r>
          </w:p>
        </w:tc>
        <w:tc>
          <w:tcPr>
            <w:shd w:fill="F0F4FE"/>
            <w:tcMar>
              <w:top w:type="dxa" w:w="70"/>
              <w:left w:type="dxa" w:w="110"/>
              <w:bottom w:type="dxa" w:w="70"/>
              <w:right w:type="dxa" w:w="110"/>
            </w:tcMar>
          </w:tcPr>
          <w:p>
            <w:pPr>
              <w:spacing w:after="0"/>
            </w:pPr>
            <w:r>
              <w:rPr>
                <w:b/>
                <w:bCs/>
                <w:color w:val="112D6A"/>
              </w:rPr>
              <w:t xml:space="preserve">Jurisdictions</w:t>
            </w:r>
          </w:p>
        </w:tc>
      </w:tr>
      <w:tr>
        <w:trPr>
          <w:cantSplit/>
          <w:tblHeader w:val="false"/>
        </w:trPr>
        <w:tc>
          <w:tcPr>
            <w:tcMar>
              <w:top w:type="dxa" w:w="70"/>
              <w:left w:type="dxa" w:w="110"/>
              <w:bottom w:type="dxa" w:w="70"/>
              <w:right w:type="dxa" w:w="110"/>
            </w:tcMar>
          </w:tcPr>
          <w:p>
            <w:pPr>
              <w:spacing w:after="0"/>
            </w:pPr>
            <w:r>
              <w:t xml:space="preserve">Constitutional protection of customary land</w:t>
            </w:r>
          </w:p>
        </w:tc>
        <w:tc>
          <w:tcPr>
            <w:tcMar>
              <w:top w:type="dxa" w:w="70"/>
              <w:left w:type="dxa" w:w="110"/>
              <w:bottom w:type="dxa" w:w="70"/>
              <w:right w:type="dxa" w:w="110"/>
            </w:tcMar>
          </w:tcPr>
          <w:p>
            <w:pPr>
              <w:spacing w:after="0"/>
            </w:pPr>
            <w:r>
              <w:t xml:space="preserve">Nagaland (371A), Mizoram (371G), Arunachal Pradesh (371H), Sikkim (371F)</w:t>
            </w:r>
          </w:p>
        </w:tc>
      </w:tr>
      <w:tr>
        <w:trPr>
          <w:cantSplit/>
          <w:tblHeader w:val="false"/>
        </w:trPr>
        <w:tc>
          <w:tcPr>
            <w:tcMar>
              <w:top w:type="dxa" w:w="70"/>
              <w:left w:type="dxa" w:w="110"/>
              <w:bottom w:type="dxa" w:w="70"/>
              <w:right w:type="dxa" w:w="110"/>
            </w:tcMar>
          </w:tcPr>
          <w:p>
            <w:pPr>
              <w:spacing w:after="0"/>
            </w:pPr>
            <w:r>
              <w:t xml:space="preserve">Sixth Schedule district councils</w:t>
            </w:r>
          </w:p>
        </w:tc>
        <w:tc>
          <w:tcPr>
            <w:tcMar>
              <w:top w:type="dxa" w:w="70"/>
              <w:left w:type="dxa" w:w="110"/>
              <w:bottom w:type="dxa" w:w="70"/>
              <w:right w:type="dxa" w:w="110"/>
            </w:tcMar>
          </w:tcPr>
          <w:p>
            <w:pPr>
              <w:spacing w:after="0"/>
            </w:pPr>
            <w:r>
              <w:t xml:space="preserve">Assam, Meghalaya, Tripura, Mizoram</w:t>
            </w:r>
          </w:p>
        </w:tc>
      </w:tr>
      <w:tr>
        <w:trPr>
          <w:cantSplit/>
          <w:tblHeader w:val="false"/>
        </w:trPr>
        <w:tc>
          <w:tcPr>
            <w:tcMar>
              <w:top w:type="dxa" w:w="70"/>
              <w:left w:type="dxa" w:w="110"/>
              <w:bottom w:type="dxa" w:w="70"/>
              <w:right w:type="dxa" w:w="110"/>
            </w:tcMar>
          </w:tcPr>
          <w:p>
            <w:pPr>
              <w:spacing w:after="0"/>
            </w:pPr>
            <w:r>
              <w:t xml:space="preserve">Tribal land transfer prohibition</w:t>
            </w:r>
          </w:p>
        </w:tc>
        <w:tc>
          <w:tcPr>
            <w:tcMar>
              <w:top w:type="dxa" w:w="70"/>
              <w:left w:type="dxa" w:w="110"/>
              <w:bottom w:type="dxa" w:w="70"/>
              <w:right w:type="dxa" w:w="110"/>
            </w:tcMar>
          </w:tcPr>
          <w:p>
            <w:pPr>
              <w:spacing w:after="0"/>
            </w:pPr>
            <w:r>
              <w:t xml:space="preserve">Jharkhand (CNT/SPT Acts), Chhattisgarh, Odisha, Andhra Pradesh, Telangana</w:t>
            </w:r>
          </w:p>
        </w:tc>
      </w:tr>
      <w:tr>
        <w:trPr>
          <w:cantSplit/>
          <w:tblHeader w:val="false"/>
        </w:trPr>
        <w:tc>
          <w:tcPr>
            <w:tcMar>
              <w:top w:type="dxa" w:w="70"/>
              <w:left w:type="dxa" w:w="110"/>
              <w:bottom w:type="dxa" w:w="70"/>
              <w:right w:type="dxa" w:w="110"/>
            </w:tcMar>
          </w:tcPr>
          <w:p>
            <w:pPr>
              <w:spacing w:after="0"/>
            </w:pPr>
            <w:r>
              <w:t xml:space="preserve">Domicile/agriculturist purchase restriction</w:t>
            </w:r>
          </w:p>
        </w:tc>
        <w:tc>
          <w:tcPr>
            <w:tcMar>
              <w:top w:type="dxa" w:w="70"/>
              <w:left w:type="dxa" w:w="110"/>
              <w:bottom w:type="dxa" w:w="70"/>
              <w:right w:type="dxa" w:w="110"/>
            </w:tcMar>
          </w:tcPr>
          <w:p>
            <w:pPr>
              <w:spacing w:after="0"/>
            </w:pPr>
            <w:r>
              <w:t xml:space="preserve">Himachal Pradesh (S.118), Uttarakhand, Sikkim, Lakshadweep, A&amp;N</w:t>
            </w:r>
          </w:p>
        </w:tc>
      </w:tr>
      <w:tr>
        <w:trPr>
          <w:cantSplit/>
          <w:tblHeader w:val="false"/>
        </w:trPr>
        <w:tc>
          <w:tcPr>
            <w:tcMar>
              <w:top w:type="dxa" w:w="70"/>
              <w:left w:type="dxa" w:w="110"/>
              <w:bottom w:type="dxa" w:w="70"/>
              <w:right w:type="dxa" w:w="110"/>
            </w:tcMar>
          </w:tcPr>
          <w:p>
            <w:pPr>
              <w:spacing w:after="0"/>
            </w:pPr>
            <w:r>
              <w:t xml:space="preserve">Wetland/paddy conversion restriction</w:t>
            </w:r>
          </w:p>
        </w:tc>
        <w:tc>
          <w:tcPr>
            <w:tcMar>
              <w:top w:type="dxa" w:w="70"/>
              <w:left w:type="dxa" w:w="110"/>
              <w:bottom w:type="dxa" w:w="70"/>
              <w:right w:type="dxa" w:w="110"/>
            </w:tcMar>
          </w:tcPr>
          <w:p>
            <w:pPr>
              <w:spacing w:after="0"/>
            </w:pPr>
            <w:r>
              <w:rPr>
                <w:b/>
                <w:bCs/>
              </w:rPr>
              <w:t xml:space="preserve">Kerala</w:t>
            </w:r>
          </w:p>
        </w:tc>
      </w:tr>
      <w:tr>
        <w:trPr>
          <w:cantSplit/>
          <w:tblHeader w:val="false"/>
        </w:trPr>
        <w:tc>
          <w:tcPr>
            <w:tcMar>
              <w:top w:type="dxa" w:w="70"/>
              <w:left w:type="dxa" w:w="110"/>
              <w:bottom w:type="dxa" w:w="70"/>
              <w:right w:type="dxa" w:w="110"/>
            </w:tcMar>
          </w:tcPr>
          <w:p>
            <w:pPr>
              <w:spacing w:after="0"/>
            </w:pPr>
            <w:r>
              <w:t xml:space="preserve">Politically constrained acquisition</w:t>
            </w:r>
          </w:p>
        </w:tc>
        <w:tc>
          <w:tcPr>
            <w:tcMar>
              <w:top w:type="dxa" w:w="70"/>
              <w:left w:type="dxa" w:w="110"/>
              <w:bottom w:type="dxa" w:w="70"/>
              <w:right w:type="dxa" w:w="110"/>
            </w:tcMar>
          </w:tcPr>
          <w:p>
            <w:pPr>
              <w:spacing w:after="0"/>
            </w:pPr>
            <w:r>
              <w:t xml:space="preserve">West Bengal</w:t>
            </w:r>
          </w:p>
        </w:tc>
      </w:tr>
      <w:tr>
        <w:trPr>
          <w:cantSplit/>
          <w:tblHeader w:val="false"/>
        </w:trPr>
        <w:tc>
          <w:tcPr>
            <w:tcMar>
              <w:top w:type="dxa" w:w="70"/>
              <w:left w:type="dxa" w:w="110"/>
              <w:bottom w:type="dxa" w:w="70"/>
              <w:right w:type="dxa" w:w="110"/>
            </w:tcMar>
          </w:tcPr>
          <w:p>
            <w:pPr>
              <w:spacing w:after="0"/>
            </w:pPr>
            <w:r>
              <w:t xml:space="preserve">Recently liberalised</w:t>
            </w:r>
          </w:p>
        </w:tc>
        <w:tc>
          <w:tcPr>
            <w:tcMar>
              <w:top w:type="dxa" w:w="70"/>
              <w:left w:type="dxa" w:w="110"/>
              <w:bottom w:type="dxa" w:w="70"/>
              <w:right w:type="dxa" w:w="110"/>
            </w:tcMar>
          </w:tcPr>
          <w:p>
            <w:pPr>
              <w:spacing w:after="0"/>
            </w:pPr>
            <w:r>
              <w:t xml:space="preserve">Karnataka (2020), Jammu &amp; Kashmir (2019–21)</w:t>
            </w:r>
          </w:p>
        </w:tc>
      </w:tr>
    </w:tbl>
    <w:p>
      <w:pPr>
        <w:spacing w:after="40"/>
      </w:pPr>
    </w:p>
    <w:p>
      <w:pPr>
        <w:pStyle w:val="Heading2"/>
        <w:keepNext/>
        <w:keepLines/>
      </w:pPr>
      <w:r>
        <w:t xml:space="preserve">11.3 Where Environmental Regulation Is the Binding Constraint</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Constraint</w:t>
            </w:r>
          </w:p>
        </w:tc>
        <w:tc>
          <w:tcPr>
            <w:shd w:fill="F0F4FE"/>
            <w:tcMar>
              <w:top w:type="dxa" w:w="70"/>
              <w:left w:type="dxa" w:w="110"/>
              <w:bottom w:type="dxa" w:w="70"/>
              <w:right w:type="dxa" w:w="110"/>
            </w:tcMar>
          </w:tcPr>
          <w:p>
            <w:pPr>
              <w:spacing w:after="0"/>
            </w:pPr>
            <w:r>
              <w:rPr>
                <w:b/>
                <w:bCs/>
                <w:color w:val="112D6A"/>
              </w:rPr>
              <w:t xml:space="preserve">Jurisdictions</w:t>
            </w:r>
          </w:p>
        </w:tc>
      </w:tr>
      <w:tr>
        <w:trPr>
          <w:cantSplit/>
          <w:tblHeader w:val="false"/>
        </w:trPr>
        <w:tc>
          <w:tcPr>
            <w:tcMar>
              <w:top w:type="dxa" w:w="70"/>
              <w:left w:type="dxa" w:w="110"/>
              <w:bottom w:type="dxa" w:w="70"/>
              <w:right w:type="dxa" w:w="110"/>
            </w:tcMar>
          </w:tcPr>
          <w:p>
            <w:pPr>
              <w:spacing w:after="0"/>
            </w:pPr>
            <w:r>
              <w:t xml:space="preserve">CAQM / GRAP airshed restrictions</w:t>
            </w:r>
          </w:p>
        </w:tc>
        <w:tc>
          <w:tcPr>
            <w:tcMar>
              <w:top w:type="dxa" w:w="70"/>
              <w:left w:type="dxa" w:w="110"/>
              <w:bottom w:type="dxa" w:w="70"/>
              <w:right w:type="dxa" w:w="110"/>
            </w:tcMar>
          </w:tcPr>
          <w:p>
            <w:pPr>
              <w:spacing w:after="0"/>
            </w:pPr>
            <w:r>
              <w:t xml:space="preserve">Delhi, NCR districts of Haryana, Uttar Pradesh, Rajasthan</w:t>
            </w:r>
          </w:p>
        </w:tc>
      </w:tr>
      <w:tr>
        <w:trPr>
          <w:cantSplit/>
          <w:tblHeader w:val="false"/>
        </w:trPr>
        <w:tc>
          <w:tcPr>
            <w:tcMar>
              <w:top w:type="dxa" w:w="70"/>
              <w:left w:type="dxa" w:w="110"/>
              <w:bottom w:type="dxa" w:w="70"/>
              <w:right w:type="dxa" w:w="110"/>
            </w:tcMar>
          </w:tcPr>
          <w:p>
            <w:pPr>
              <w:spacing w:after="0"/>
            </w:pPr>
            <w:r>
              <w:t xml:space="preserve">Coastal Regulation Zone</w:t>
            </w:r>
          </w:p>
        </w:tc>
        <w:tc>
          <w:tcPr>
            <w:tcMar>
              <w:top w:type="dxa" w:w="70"/>
              <w:left w:type="dxa" w:w="110"/>
              <w:bottom w:type="dxa" w:w="70"/>
              <w:right w:type="dxa" w:w="110"/>
            </w:tcMar>
          </w:tcPr>
          <w:p>
            <w:pPr>
              <w:spacing w:after="0"/>
            </w:pPr>
            <w:r>
              <w:t xml:space="preserve">All coastal states, acutely in Goa, Kerala, A&amp;N, Lakshadweep, Puducherry</w:t>
            </w:r>
          </w:p>
        </w:tc>
      </w:tr>
      <w:tr>
        <w:trPr>
          <w:cantSplit/>
          <w:tblHeader w:val="false"/>
        </w:trPr>
        <w:tc>
          <w:tcPr>
            <w:tcMar>
              <w:top w:type="dxa" w:w="70"/>
              <w:left w:type="dxa" w:w="110"/>
              <w:bottom w:type="dxa" w:w="70"/>
              <w:right w:type="dxa" w:w="110"/>
            </w:tcMar>
          </w:tcPr>
          <w:p>
            <w:pPr>
              <w:spacing w:after="0"/>
            </w:pPr>
            <w:r>
              <w:t xml:space="preserve">Eco-sensitive zones and Himalayan construction control</w:t>
            </w:r>
          </w:p>
        </w:tc>
        <w:tc>
          <w:tcPr>
            <w:tcMar>
              <w:top w:type="dxa" w:w="70"/>
              <w:left w:type="dxa" w:w="110"/>
              <w:bottom w:type="dxa" w:w="70"/>
              <w:right w:type="dxa" w:w="110"/>
            </w:tcMar>
          </w:tcPr>
          <w:p>
            <w:pPr>
              <w:spacing w:after="0"/>
            </w:pPr>
            <w:r>
              <w:t xml:space="preserve">Himachal Pradesh, Uttarakhand, Sikkim, Ladakh, Arunachal Pradesh</w:t>
            </w:r>
          </w:p>
        </w:tc>
      </w:tr>
      <w:tr>
        <w:trPr>
          <w:cantSplit/>
          <w:tblHeader w:val="false"/>
        </w:trPr>
        <w:tc>
          <w:tcPr>
            <w:tcMar>
              <w:top w:type="dxa" w:w="70"/>
              <w:left w:type="dxa" w:w="110"/>
              <w:bottom w:type="dxa" w:w="70"/>
              <w:right w:type="dxa" w:w="110"/>
            </w:tcMar>
          </w:tcPr>
          <w:p>
            <w:pPr>
              <w:spacing w:after="0"/>
            </w:pPr>
            <w:r>
              <w:t xml:space="preserve">Forest clearance dominance</w:t>
            </w:r>
          </w:p>
        </w:tc>
        <w:tc>
          <w:tcPr>
            <w:tcMar>
              <w:top w:type="dxa" w:w="70"/>
              <w:left w:type="dxa" w:w="110"/>
              <w:bottom w:type="dxa" w:w="70"/>
              <w:right w:type="dxa" w:w="110"/>
            </w:tcMar>
          </w:tcPr>
          <w:p>
            <w:pPr>
              <w:spacing w:after="0"/>
            </w:pPr>
            <w:r>
              <w:t xml:space="preserve">Chhattisgarh, Jharkhand, Odisha, Madhya Pradesh, North-East</w:t>
            </w:r>
          </w:p>
        </w:tc>
      </w:tr>
      <w:tr>
        <w:trPr>
          <w:cantSplit/>
          <w:tblHeader w:val="false"/>
        </w:trPr>
        <w:tc>
          <w:tcPr>
            <w:tcMar>
              <w:top w:type="dxa" w:w="70"/>
              <w:left w:type="dxa" w:w="110"/>
              <w:bottom w:type="dxa" w:w="70"/>
              <w:right w:type="dxa" w:w="110"/>
            </w:tcMar>
          </w:tcPr>
          <w:p>
            <w:pPr>
              <w:spacing w:after="0"/>
            </w:pPr>
            <w:r>
              <w:t xml:space="preserve">Groundwater extraction control</w:t>
            </w:r>
          </w:p>
        </w:tc>
        <w:tc>
          <w:tcPr>
            <w:tcMar>
              <w:top w:type="dxa" w:w="70"/>
              <w:left w:type="dxa" w:w="110"/>
              <w:bottom w:type="dxa" w:w="70"/>
              <w:right w:type="dxa" w:w="110"/>
            </w:tcMar>
          </w:tcPr>
          <w:p>
            <w:pPr>
              <w:spacing w:after="0"/>
            </w:pPr>
            <w:r>
              <w:t xml:space="preserve">Rajasthan, Punjab, Haryana, Tamil Nadu, Delhi (CGWA notified areas)</w:t>
            </w:r>
          </w:p>
        </w:tc>
      </w:tr>
      <w:tr>
        <w:trPr>
          <w:cantSplit/>
          <w:tblHeader w:val="false"/>
        </w:trPr>
        <w:tc>
          <w:tcPr>
            <w:tcMar>
              <w:top w:type="dxa" w:w="70"/>
              <w:left w:type="dxa" w:w="110"/>
              <w:bottom w:type="dxa" w:w="70"/>
              <w:right w:type="dxa" w:w="110"/>
            </w:tcMar>
          </w:tcPr>
          <w:p>
            <w:pPr>
              <w:spacing w:after="0"/>
            </w:pPr>
            <w:r>
              <w:t xml:space="preserve">Island protection zone</w:t>
            </w:r>
          </w:p>
        </w:tc>
        <w:tc>
          <w:tcPr>
            <w:tcMar>
              <w:top w:type="dxa" w:w="70"/>
              <w:left w:type="dxa" w:w="110"/>
              <w:bottom w:type="dxa" w:w="70"/>
              <w:right w:type="dxa" w:w="110"/>
            </w:tcMar>
          </w:tcPr>
          <w:p>
            <w:pPr>
              <w:spacing w:after="0"/>
            </w:pPr>
            <w:r>
              <w:t xml:space="preserve">Lakshadweep, Andaman &amp; Nicobar</w:t>
            </w:r>
          </w:p>
        </w:tc>
      </w:tr>
    </w:tbl>
    <w:p>
      <w:pPr>
        <w:spacing w:after="40"/>
      </w:pPr>
    </w:p>
    <w:p>
      <w:pPr>
        <w:pStyle w:val="Heading2"/>
        <w:keepNext/>
        <w:keepLines/>
      </w:pPr>
      <w:r>
        <w:t xml:space="preserve">11.4 Reform-Forward vs Traditional Regimes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Dimension</w:t>
            </w:r>
          </w:p>
        </w:tc>
        <w:tc>
          <w:tcPr>
            <w:shd w:fill="F0F4FE"/>
            <w:tcMar>
              <w:top w:type="dxa" w:w="70"/>
              <w:left w:type="dxa" w:w="110"/>
              <w:bottom w:type="dxa" w:w="70"/>
              <w:right w:type="dxa" w:w="110"/>
            </w:tcMar>
          </w:tcPr>
          <w:p>
            <w:pPr>
              <w:spacing w:after="0"/>
            </w:pPr>
            <w:r>
              <w:rPr>
                <w:b/>
                <w:bCs/>
                <w:color w:val="112D6A"/>
              </w:rPr>
              <w:t xml:space="preserve">Most Reformed</w:t>
            </w:r>
          </w:p>
        </w:tc>
        <w:tc>
          <w:tcPr>
            <w:shd w:fill="F0F4FE"/>
            <w:tcMar>
              <w:top w:type="dxa" w:w="70"/>
              <w:left w:type="dxa" w:w="110"/>
              <w:bottom w:type="dxa" w:w="70"/>
              <w:right w:type="dxa" w:w="110"/>
            </w:tcMar>
          </w:tcPr>
          <w:p>
            <w:pPr>
              <w:spacing w:after="0"/>
            </w:pPr>
            <w:r>
              <w:rPr>
                <w:b/>
                <w:bCs/>
                <w:color w:val="112D6A"/>
              </w:rPr>
              <w:t xml:space="preserve">Most Traditional</w:t>
            </w:r>
          </w:p>
        </w:tc>
      </w:tr>
      <w:tr>
        <w:trPr>
          <w:cantSplit/>
          <w:tblHeader w:val="false"/>
        </w:trPr>
        <w:tc>
          <w:tcPr>
            <w:tcMar>
              <w:top w:type="dxa" w:w="70"/>
              <w:left w:type="dxa" w:w="110"/>
              <w:bottom w:type="dxa" w:w="70"/>
              <w:right w:type="dxa" w:w="110"/>
            </w:tcMar>
          </w:tcPr>
          <w:p>
            <w:pPr>
              <w:spacing w:after="0"/>
            </w:pPr>
            <w:r>
              <w:t xml:space="preserve">Shops Act modernisation</w:t>
            </w:r>
          </w:p>
        </w:tc>
        <w:tc>
          <w:tcPr>
            <w:tcMar>
              <w:top w:type="dxa" w:w="70"/>
              <w:left w:type="dxa" w:w="110"/>
              <w:bottom w:type="dxa" w:w="70"/>
              <w:right w:type="dxa" w:w="110"/>
            </w:tcMar>
          </w:tcPr>
          <w:p>
            <w:pPr>
              <w:spacing w:after="0"/>
            </w:pPr>
            <w:r>
              <w:t xml:space="preserve">Maharashtra 2017, Gujarat 2019</w:t>
            </w:r>
          </w:p>
        </w:tc>
        <w:tc>
          <w:tcPr>
            <w:tcMar>
              <w:top w:type="dxa" w:w="70"/>
              <w:left w:type="dxa" w:w="110"/>
              <w:bottom w:type="dxa" w:w="70"/>
              <w:right w:type="dxa" w:w="110"/>
            </w:tcMar>
          </w:tcPr>
          <w:p>
            <w:pPr>
              <w:spacing w:after="0"/>
            </w:pPr>
            <w:r>
              <w:t xml:space="preserve">Tamil Nadu 1947, Bihar 1953, Delhi 1954, Odisha 1956</w:t>
            </w:r>
          </w:p>
        </w:tc>
      </w:tr>
      <w:tr>
        <w:trPr>
          <w:cantSplit/>
          <w:tblHeader w:val="false"/>
        </w:trPr>
        <w:tc>
          <w:tcPr>
            <w:tcMar>
              <w:top w:type="dxa" w:w="70"/>
              <w:left w:type="dxa" w:w="110"/>
              <w:bottom w:type="dxa" w:w="70"/>
              <w:right w:type="dxa" w:w="110"/>
            </w:tcMar>
          </w:tcPr>
          <w:p>
            <w:pPr>
              <w:spacing w:after="0"/>
            </w:pPr>
            <w:r>
              <w:t xml:space="preserve">Single window with legal force</w:t>
            </w:r>
          </w:p>
        </w:tc>
        <w:tc>
          <w:tcPr>
            <w:tcMar>
              <w:top w:type="dxa" w:w="70"/>
              <w:left w:type="dxa" w:w="110"/>
              <w:bottom w:type="dxa" w:w="70"/>
              <w:right w:type="dxa" w:w="110"/>
            </w:tcMar>
          </w:tcPr>
          <w:p>
            <w:pPr>
              <w:spacing w:after="0"/>
            </w:pPr>
            <w:r>
              <w:t xml:space="preserve">Telangana (TS-iPASS), Kerala (K-SWIFT)</w:t>
            </w:r>
          </w:p>
        </w:tc>
        <w:tc>
          <w:tcPr>
            <w:tcMar>
              <w:top w:type="dxa" w:w="70"/>
              <w:left w:type="dxa" w:w="110"/>
              <w:bottom w:type="dxa" w:w="70"/>
              <w:right w:type="dxa" w:w="110"/>
            </w:tcMar>
          </w:tcPr>
          <w:p>
            <w:pPr>
              <w:spacing w:after="0"/>
            </w:pPr>
            <w:r>
              <w:t xml:space="preserve">Most UTs, smaller North-Eastern states</w:t>
            </w:r>
          </w:p>
        </w:tc>
      </w:tr>
      <w:tr>
        <w:trPr>
          <w:cantSplit/>
          <w:tblHeader w:val="false"/>
        </w:trPr>
        <w:tc>
          <w:tcPr>
            <w:tcMar>
              <w:top w:type="dxa" w:w="70"/>
              <w:left w:type="dxa" w:w="110"/>
              <w:bottom w:type="dxa" w:w="70"/>
              <w:right w:type="dxa" w:w="110"/>
            </w:tcMar>
          </w:tcPr>
          <w:p>
            <w:pPr>
              <w:spacing w:after="0"/>
            </w:pPr>
            <w:r>
              <w:t xml:space="preserve">Building approval automation</w:t>
            </w:r>
          </w:p>
        </w:tc>
        <w:tc>
          <w:tcPr>
            <w:tcMar>
              <w:top w:type="dxa" w:w="70"/>
              <w:left w:type="dxa" w:w="110"/>
              <w:bottom w:type="dxa" w:w="70"/>
              <w:right w:type="dxa" w:w="110"/>
            </w:tcMar>
          </w:tcPr>
          <w:p>
            <w:pPr>
              <w:spacing w:after="0"/>
            </w:pPr>
            <w:r>
              <w:t xml:space="preserve">Telangana (TS-bPASS), Karnataka, Gujarat</w:t>
            </w:r>
          </w:p>
        </w:tc>
        <w:tc>
          <w:tcPr>
            <w:tcMar>
              <w:top w:type="dxa" w:w="70"/>
              <w:left w:type="dxa" w:w="110"/>
              <w:bottom w:type="dxa" w:w="70"/>
              <w:right w:type="dxa" w:w="110"/>
            </w:tcMar>
          </w:tcPr>
          <w:p>
            <w:pPr>
              <w:spacing w:after="0"/>
            </w:pPr>
            <w:r>
              <w:t xml:space="preserve">Most of the North-East, UTs</w:t>
            </w:r>
          </w:p>
        </w:tc>
      </w:tr>
      <w:tr>
        <w:trPr>
          <w:cantSplit/>
          <w:tblHeader w:val="false"/>
        </w:trPr>
        <w:tc>
          <w:tcPr>
            <w:tcMar>
              <w:top w:type="dxa" w:w="70"/>
              <w:left w:type="dxa" w:w="110"/>
              <w:bottom w:type="dxa" w:w="70"/>
              <w:right w:type="dxa" w:w="110"/>
            </w:tcMar>
          </w:tcPr>
          <w:p>
            <w:pPr>
              <w:spacing w:after="0"/>
            </w:pPr>
            <w:r>
              <w:t xml:space="preserve">Labour flexibility thresholds</w:t>
            </w:r>
          </w:p>
        </w:tc>
        <w:tc>
          <w:tcPr>
            <w:tcMar>
              <w:top w:type="dxa" w:w="70"/>
              <w:left w:type="dxa" w:w="110"/>
              <w:bottom w:type="dxa" w:w="70"/>
              <w:right w:type="dxa" w:w="110"/>
            </w:tcMar>
          </w:tcPr>
          <w:p>
            <w:pPr>
              <w:spacing w:after="0"/>
            </w:pPr>
            <w:r>
              <w:t xml:space="preserve">Rajasthan, Madhya Pradesh, Haryana, Gujarat, UP, Karnataka</w:t>
            </w:r>
          </w:p>
        </w:tc>
        <w:tc>
          <w:tcPr>
            <w:tcMar>
              <w:top w:type="dxa" w:w="70"/>
              <w:left w:type="dxa" w:w="110"/>
              <w:bottom w:type="dxa" w:w="70"/>
              <w:right w:type="dxa" w:w="110"/>
            </w:tcMar>
          </w:tcPr>
          <w:p>
            <w:pPr>
              <w:spacing w:after="0"/>
            </w:pPr>
            <w:r>
              <w:t xml:space="preserve">States retaining the 100-worker Chapter V-B threshold</w:t>
            </w:r>
          </w:p>
        </w:tc>
      </w:tr>
      <w:tr>
        <w:trPr>
          <w:cantSplit/>
          <w:tblHeader w:val="false"/>
        </w:trPr>
        <w:tc>
          <w:tcPr>
            <w:tcMar>
              <w:top w:type="dxa" w:w="70"/>
              <w:left w:type="dxa" w:w="110"/>
              <w:bottom w:type="dxa" w:w="70"/>
              <w:right w:type="dxa" w:w="110"/>
            </w:tcMar>
          </w:tcPr>
          <w:p>
            <w:pPr>
              <w:spacing w:after="0"/>
            </w:pPr>
            <w:r>
              <w:t xml:space="preserve">Inspection reform</w:t>
            </w:r>
          </w:p>
        </w:tc>
        <w:tc>
          <w:tcPr>
            <w:tcMar>
              <w:top w:type="dxa" w:w="70"/>
              <w:left w:type="dxa" w:w="110"/>
              <w:bottom w:type="dxa" w:w="70"/>
              <w:right w:type="dxa" w:w="110"/>
            </w:tcMar>
          </w:tcPr>
          <w:p>
            <w:pPr>
              <w:spacing w:after="0"/>
            </w:pPr>
            <w:r>
              <w:t xml:space="preserve">Gujarat, Maharashtra, Rajasthan, Telangana, MP</w:t>
            </w:r>
          </w:p>
        </w:tc>
        <w:tc>
          <w:tcPr>
            <w:tcMar>
              <w:top w:type="dxa" w:w="70"/>
              <w:left w:type="dxa" w:w="110"/>
              <w:bottom w:type="dxa" w:w="70"/>
              <w:right w:type="dxa" w:w="110"/>
            </w:tcMar>
          </w:tcPr>
          <w:p>
            <w:pPr>
              <w:spacing w:after="0"/>
            </w:pPr>
            <w:r>
              <w:t xml:space="preserve">Smaller states with discretionary inspection</w:t>
            </w:r>
          </w:p>
        </w:tc>
      </w:tr>
      <w:tr>
        <w:trPr>
          <w:cantSplit/>
          <w:tblHeader w:val="false"/>
        </w:trPr>
        <w:tc>
          <w:tcPr>
            <w:tcMar>
              <w:top w:type="dxa" w:w="70"/>
              <w:left w:type="dxa" w:w="110"/>
              <w:bottom w:type="dxa" w:w="70"/>
              <w:right w:type="dxa" w:w="110"/>
            </w:tcMar>
          </w:tcPr>
          <w:p>
            <w:pPr>
              <w:spacing w:after="0"/>
            </w:pPr>
            <w:r>
              <w:t xml:space="preserve">Land purchase liberalisation</w:t>
            </w:r>
          </w:p>
        </w:tc>
        <w:tc>
          <w:tcPr>
            <w:tcMar>
              <w:top w:type="dxa" w:w="70"/>
              <w:left w:type="dxa" w:w="110"/>
              <w:bottom w:type="dxa" w:w="70"/>
              <w:right w:type="dxa" w:w="110"/>
            </w:tcMar>
          </w:tcPr>
          <w:p>
            <w:pPr>
              <w:spacing w:after="0"/>
            </w:pPr>
            <w:r>
              <w:t xml:space="preserve">Karnataka, Jammu &amp; Kashmir</w:t>
            </w:r>
          </w:p>
        </w:tc>
        <w:tc>
          <w:tcPr>
            <w:tcMar>
              <w:top w:type="dxa" w:w="70"/>
              <w:left w:type="dxa" w:w="110"/>
              <w:bottom w:type="dxa" w:w="70"/>
              <w:right w:type="dxa" w:w="110"/>
            </w:tcMar>
          </w:tcPr>
          <w:p>
            <w:pPr>
              <w:spacing w:after="0"/>
            </w:pPr>
            <w:r>
              <w:t xml:space="preserve">Himachal Pradesh, Uttarakhand, the North-East</w:t>
            </w:r>
          </w:p>
        </w:tc>
      </w:tr>
    </w:tbl>
    <w:p>
      <w:pPr>
        <w:spacing w:after="40"/>
      </w:pPr>
    </w:p>
    <w:p>
      <w:pPr>
        <w:pStyle w:val="Heading1"/>
        <w:keepNext/>
        <w:keepLines/>
        <w:pBdr>
          <w:bottom w:val="single" w:color="2157CF" w:sz="8" w:space="3"/>
        </w:pBdr>
      </w:pPr>
      <w:r>
        <w:t xml:space="preserve">12. Consolidated Compliance Checklists</w:t>
      </w:r>
    </w:p>
    <w:p>
      <w:pPr>
        <w:pStyle w:val="Heading2"/>
        <w:keepNext/>
        <w:keepLines/>
      </w:pPr>
      <w:r>
        <w:t xml:space="preserve">12.1 Setting Up a New Establishment — Universal Sequence</w:t>
      </w:r>
    </w:p>
    <w:p>
      <w:r>
        <w:rPr>
          <w:b/>
          <w:bCs/>
        </w:rPr>
        <w:t xml:space="preserve">Stage 1 — Entity formation (central, location-independent except stamp duty)</w:t>
      </w:r>
    </w:p>
    <w:p>
      <w:pPr>
        <w:pStyle w:val="ListParagraph"/>
        <w:numPr>
          <w:ilvl w:val="0"/>
          <w:numId w:val="4"/>
        </w:numPr>
        <w:spacing w:after="60"/>
      </w:pPr>
      <w:r>
        <w:t xml:space="preserve">Obtain Digital Signature Certificates for proposed directors/partners.</w:t>
      </w:r>
    </w:p>
    <w:p>
      <w:pPr>
        <w:pStyle w:val="ListParagraph"/>
        <w:numPr>
          <w:ilvl w:val="0"/>
          <w:numId w:val="4"/>
        </w:numPr>
        <w:spacing w:after="60"/>
      </w:pPr>
      <w:r>
        <w:t xml:space="preserve">Reserve the name (SPICe+ Part A or RUN-LLP).</w:t>
      </w:r>
    </w:p>
    <w:p>
      <w:pPr>
        <w:pStyle w:val="ListParagraph"/>
        <w:numPr>
          <w:ilvl w:val="0"/>
          <w:numId w:val="4"/>
        </w:numPr>
        <w:spacing w:after="60"/>
      </w:pPr>
      <w:r>
        <w:t xml:space="preserve">File SPICe+ Part B with e-MoA, e-AoA and AGILE-PRO-S — pays </w:t>
      </w:r>
      <w:r>
        <w:rPr>
          <w:b/>
          <w:bCs/>
        </w:rPr>
        <w:t xml:space="preserve">state stamp duty</w:t>
      </w:r>
      <w:r>
        <w:t xml:space="preserve"> based on registered office.</w:t>
      </w:r>
    </w:p>
    <w:p>
      <w:pPr>
        <w:pStyle w:val="ListParagraph"/>
        <w:numPr>
          <w:ilvl w:val="0"/>
          <w:numId w:val="4"/>
        </w:numPr>
        <w:spacing w:after="60"/>
      </w:pPr>
      <w:r>
        <w:t xml:space="preserve">Receive Certificate of Incorporation with PAN, TAN, DIN, EPFO and ESIC numbers.</w:t>
      </w:r>
    </w:p>
    <w:p>
      <w:pPr>
        <w:pStyle w:val="ListParagraph"/>
        <w:numPr>
          <w:ilvl w:val="0"/>
          <w:numId w:val="4"/>
        </w:numPr>
        <w:spacing w:after="60"/>
      </w:pPr>
      <w:r>
        <w:t xml:space="preserve">Open the current account (bundled through SPICe+).</w:t>
      </w:r>
    </w:p>
    <w:p>
      <w:pPr>
        <w:pStyle w:val="ListParagraph"/>
        <w:numPr>
          <w:ilvl w:val="0"/>
          <w:numId w:val="4"/>
        </w:numPr>
        <w:spacing w:after="60"/>
      </w:pPr>
      <w:r>
        <w:t xml:space="preserve">File INC-20A declaration of commencement of business within 180 days.</w:t>
      </w:r>
    </w:p>
    <w:p>
      <w:pPr>
        <w:pStyle w:val="ListParagraph"/>
        <w:numPr>
          <w:ilvl w:val="0"/>
          <w:numId w:val="4"/>
        </w:numPr>
        <w:spacing w:after="60"/>
      </w:pPr>
      <w:r>
        <w:t xml:space="preserve">Register for Udyam if MSME; obtain IEC if importing or exporting.</w:t>
      </w:r>
    </w:p>
    <w:p>
      <w:r>
        <w:rPr>
          <w:b/>
          <w:bCs/>
        </w:rPr>
        <w:t xml:space="preserve">Stage 2 — State registrations (location-dependent)</w:t>
      </w:r>
    </w:p>
    <w:p>
      <w:pPr>
        <w:pStyle w:val="ListParagraph"/>
        <w:numPr>
          <w:ilvl w:val="0"/>
          <w:numId w:val="5"/>
        </w:numPr>
        <w:spacing w:after="60"/>
      </w:pPr>
      <w:r>
        <w:t xml:space="preserve">Shops &amp; Establishments registration or intimation — </w:t>
      </w:r>
      <w:r>
        <w:rPr>
          <w:b/>
          <w:bCs/>
        </w:rPr>
        <w:t xml:space="preserve">check the state’s threshold first</w:t>
      </w:r>
      <w:r>
        <w:t xml:space="preserve">.</w:t>
      </w:r>
    </w:p>
    <w:p>
      <w:pPr>
        <w:pStyle w:val="ListParagraph"/>
        <w:numPr>
          <w:ilvl w:val="0"/>
          <w:numId w:val="5"/>
        </w:numPr>
        <w:spacing w:after="60"/>
      </w:pPr>
      <w:r>
        <w:t xml:space="preserve">Professional tax PTEC and PTRC — </w:t>
      </w:r>
      <w:r>
        <w:rPr>
          <w:b/>
          <w:bCs/>
        </w:rPr>
        <w:t xml:space="preserve">only in levying states</w:t>
      </w:r>
      <w:r>
        <w:t xml:space="preserve">, and check whether registration is state or municipal.</w:t>
      </w:r>
    </w:p>
    <w:p>
      <w:pPr>
        <w:pStyle w:val="ListParagraph"/>
        <w:numPr>
          <w:ilvl w:val="0"/>
          <w:numId w:val="5"/>
        </w:numPr>
        <w:spacing w:after="60"/>
      </w:pPr>
      <w:r>
        <w:t xml:space="preserve">Trade Licence from the municipal corporation or panchayat.</w:t>
      </w:r>
    </w:p>
    <w:p>
      <w:pPr>
        <w:pStyle w:val="ListParagraph"/>
        <w:numPr>
          <w:ilvl w:val="0"/>
          <w:numId w:val="5"/>
        </w:numPr>
        <w:spacing w:after="60"/>
      </w:pPr>
      <w:r>
        <w:t xml:space="preserve">Labour Welfare Fund enrolment — </w:t>
      </w:r>
      <w:r>
        <w:rPr>
          <w:b/>
          <w:bCs/>
        </w:rPr>
        <w:t xml:space="preserve">only in the ~16 states operating one</w:t>
      </w:r>
      <w:r>
        <w:t xml:space="preserve">.</w:t>
      </w:r>
    </w:p>
    <w:p>
      <w:pPr>
        <w:pStyle w:val="ListParagraph"/>
        <w:numPr>
          <w:ilvl w:val="0"/>
          <w:numId w:val="5"/>
        </w:numPr>
        <w:spacing w:after="60"/>
      </w:pPr>
      <w:r>
        <w:t xml:space="preserve">GST registration — check the applicable threshold for the state’s category.</w:t>
      </w:r>
    </w:p>
    <w:p>
      <w:pPr>
        <w:pStyle w:val="ListParagraph"/>
        <w:numPr>
          <w:ilvl w:val="0"/>
          <w:numId w:val="5"/>
        </w:numPr>
        <w:spacing w:after="60"/>
      </w:pPr>
      <w:r>
        <w:t xml:space="preserve">State-specific registrations: Registrar of Firms (partnerships), Charity Commissioner (trusts in Maharashtra/Gujarat).</w:t>
      </w:r>
    </w:p>
    <w:p>
      <w:r>
        <w:rPr>
          <w:b/>
          <w:bCs/>
        </w:rPr>
        <w:t xml:space="preserve">Stage 3 — Premises and operations (location-dependent)</w:t>
      </w:r>
    </w:p>
    <w:p>
      <w:pPr>
        <w:pStyle w:val="ListParagraph"/>
        <w:numPr>
          <w:ilvl w:val="0"/>
          <w:numId w:val="6"/>
        </w:numPr>
        <w:spacing w:after="60"/>
      </w:pPr>
      <w:r>
        <w:t xml:space="preserve">Land title diligence, encumbrance certificate, land use verification.</w:t>
      </w:r>
    </w:p>
    <w:p>
      <w:pPr>
        <w:pStyle w:val="ListParagraph"/>
        <w:numPr>
          <w:ilvl w:val="0"/>
          <w:numId w:val="6"/>
        </w:numPr>
        <w:spacing w:after="60"/>
      </w:pPr>
      <w:r>
        <w:t xml:space="preserve">Land conversion (agricultural to non-agricultural) if required.</w:t>
      </w:r>
    </w:p>
    <w:p>
      <w:pPr>
        <w:pStyle w:val="ListParagraph"/>
        <w:numPr>
          <w:ilvl w:val="0"/>
          <w:numId w:val="6"/>
        </w:numPr>
        <w:spacing w:after="60"/>
      </w:pPr>
      <w:r>
        <w:t xml:space="preserve">Building plan approval from the local planning authority.</w:t>
      </w:r>
    </w:p>
    <w:p>
      <w:pPr>
        <w:pStyle w:val="ListParagraph"/>
        <w:numPr>
          <w:ilvl w:val="0"/>
          <w:numId w:val="6"/>
        </w:numPr>
        <w:spacing w:after="60"/>
      </w:pPr>
      <w:r>
        <w:t xml:space="preserve">Fire NOC — provisional before construction, final before occupancy.</w:t>
      </w:r>
    </w:p>
    <w:p>
      <w:pPr>
        <w:pStyle w:val="ListParagraph"/>
        <w:numPr>
          <w:ilvl w:val="0"/>
          <w:numId w:val="6"/>
        </w:numPr>
        <w:spacing w:after="60"/>
      </w:pPr>
      <w:r>
        <w:t xml:space="preserve">Consent to Establish from the State PCB.</w:t>
      </w:r>
    </w:p>
    <w:p>
      <w:pPr>
        <w:pStyle w:val="ListParagraph"/>
        <w:numPr>
          <w:ilvl w:val="0"/>
          <w:numId w:val="6"/>
        </w:numPr>
        <w:spacing w:after="60"/>
      </w:pPr>
      <w:r>
        <w:t xml:space="preserve">Factory plan approval and factory licence, if applicable.</w:t>
      </w:r>
    </w:p>
    <w:p>
      <w:pPr>
        <w:pStyle w:val="ListParagraph"/>
        <w:numPr>
          <w:ilvl w:val="0"/>
          <w:numId w:val="6"/>
        </w:numPr>
        <w:spacing w:after="60"/>
      </w:pPr>
      <w:r>
        <w:t xml:space="preserve">Boiler registration, lift licence, electrical inspectorate approval as applicable.</w:t>
      </w:r>
    </w:p>
    <w:p>
      <w:pPr>
        <w:pStyle w:val="ListParagraph"/>
        <w:numPr>
          <w:ilvl w:val="0"/>
          <w:numId w:val="6"/>
        </w:numPr>
        <w:spacing w:after="60"/>
      </w:pPr>
      <w:r>
        <w:t xml:space="preserve">Consent to Operate from the State PCB before commencing production.</w:t>
      </w:r>
    </w:p>
    <w:p>
      <w:pPr>
        <w:pStyle w:val="ListParagraph"/>
        <w:numPr>
          <w:ilvl w:val="0"/>
          <w:numId w:val="6"/>
        </w:numPr>
        <w:spacing w:after="60"/>
      </w:pPr>
      <w:r>
        <w:t xml:space="preserve">Contract labour registration (principal employer) and contractor licences.</w:t>
      </w:r>
    </w:p>
    <w:p>
      <w:r>
        <w:rPr>
          <w:b/>
          <w:bCs/>
        </w:rPr>
        <w:t xml:space="preserve">Stage 4 — Sectoral</w:t>
      </w:r>
    </w:p>
    <w:p>
      <w:pPr>
        <w:pStyle w:val="ListParagraph"/>
        <w:numPr>
          <w:ilvl w:val="0"/>
          <w:numId w:val="7"/>
        </w:numPr>
        <w:spacing w:after="60"/>
      </w:pPr>
      <w:r>
        <w:t xml:space="preserve">FSSAI registration or licence — determine tier by turnover.</w:t>
      </w:r>
    </w:p>
    <w:p>
      <w:pPr>
        <w:pStyle w:val="ListParagraph"/>
        <w:numPr>
          <w:ilvl w:val="0"/>
          <w:numId w:val="7"/>
        </w:numPr>
        <w:spacing w:after="60"/>
      </w:pPr>
      <w:r>
        <w:t xml:space="preserve">Drug licence from the State Drug Control Administration.</w:t>
      </w:r>
    </w:p>
    <w:p>
      <w:pPr>
        <w:pStyle w:val="ListParagraph"/>
        <w:numPr>
          <w:ilvl w:val="0"/>
          <w:numId w:val="7"/>
        </w:numPr>
        <w:spacing w:after="60"/>
      </w:pPr>
      <w:r>
        <w:t xml:space="preserve">Excise licence from the State Excise Department.</w:t>
      </w:r>
    </w:p>
    <w:p>
      <w:pPr>
        <w:pStyle w:val="ListParagraph"/>
        <w:numPr>
          <w:ilvl w:val="0"/>
          <w:numId w:val="7"/>
        </w:numPr>
        <w:spacing w:after="60"/>
      </w:pPr>
      <w:r>
        <w:t xml:space="preserve">Legal Metrology packer registration and instrument stamping.</w:t>
      </w:r>
    </w:p>
    <w:p>
      <w:pPr>
        <w:pStyle w:val="ListParagraph"/>
        <w:numPr>
          <w:ilvl w:val="0"/>
          <w:numId w:val="7"/>
        </w:numPr>
        <w:spacing w:after="60"/>
      </w:pPr>
      <w:r>
        <w:t xml:space="preserve">Sector-specific: RERA, tourism classification, clinical establishment, transport permits.</w:t>
      </w:r>
    </w:p>
    <w:p>
      <w:pPr>
        <w:pStyle w:val="Heading2"/>
        <w:keepNext/>
        <w:keepLines/>
      </w:pPr>
      <w:r>
        <w:t xml:space="preserve">12.2 Recurring Compliance — Grouped by Frequency</w:t>
      </w:r>
    </w:p>
    <w:p>
      <w:r>
        <w:rPr>
          <w:b/>
          <w:bCs/>
        </w:rPr>
        <w:t xml:space="preserve">Monthly</w:t>
      </w:r>
    </w:p>
    <w:p>
      <w:pPr>
        <w:pStyle w:val="ListParagraph"/>
        <w:numPr>
          <w:ilvl w:val="0"/>
          <w:numId w:val="1"/>
        </w:numPr>
        <w:spacing w:after="60"/>
      </w:pPr>
      <w:r>
        <w:t xml:space="preserve">GST: GSTR-1 (or IFF under QRMP) and GSTR-3B</w:t>
      </w:r>
    </w:p>
    <w:p>
      <w:pPr>
        <w:pStyle w:val="ListParagraph"/>
        <w:numPr>
          <w:ilvl w:val="0"/>
          <w:numId w:val="1"/>
        </w:numPr>
        <w:spacing w:after="60"/>
      </w:pPr>
      <w:r>
        <w:t xml:space="preserve">TDS deposit</w:t>
      </w:r>
    </w:p>
    <w:p>
      <w:pPr>
        <w:pStyle w:val="ListParagraph"/>
        <w:numPr>
          <w:ilvl w:val="0"/>
          <w:numId w:val="1"/>
        </w:numPr>
        <w:spacing w:after="60"/>
      </w:pPr>
      <w:r>
        <w:t xml:space="preserve">EPF ECR filing and payment</w:t>
      </w:r>
    </w:p>
    <w:p>
      <w:pPr>
        <w:pStyle w:val="ListParagraph"/>
        <w:numPr>
          <w:ilvl w:val="0"/>
          <w:numId w:val="1"/>
        </w:numPr>
        <w:spacing w:after="60"/>
      </w:pPr>
      <w:r>
        <w:t xml:space="preserve">ESI contribution</w:t>
      </w:r>
    </w:p>
    <w:p>
      <w:pPr>
        <w:pStyle w:val="ListParagraph"/>
        <w:numPr>
          <w:ilvl w:val="0"/>
          <w:numId w:val="1"/>
        </w:numPr>
        <w:spacing w:after="60"/>
      </w:pPr>
      <w:r>
        <w:t xml:space="preserve">Professional tax remittance — in monthly states</w:t>
      </w:r>
    </w:p>
    <w:p>
      <w:pPr>
        <w:pStyle w:val="ListParagraph"/>
        <w:numPr>
          <w:ilvl w:val="0"/>
          <w:numId w:val="1"/>
        </w:numPr>
        <w:spacing w:after="60"/>
      </w:pPr>
      <w:r>
        <w:t xml:space="preserve">Labour Welfare Fund — in monthly states (Haryana, Kerala, Punjab, Chandigarh)</w:t>
      </w:r>
    </w:p>
    <w:p>
      <w:r>
        <w:rPr>
          <w:b/>
          <w:bCs/>
        </w:rPr>
        <w:t xml:space="preserve">Quarterly</w:t>
      </w:r>
    </w:p>
    <w:p>
      <w:pPr>
        <w:pStyle w:val="ListParagraph"/>
        <w:numPr>
          <w:ilvl w:val="0"/>
          <w:numId w:val="1"/>
        </w:numPr>
        <w:spacing w:after="60"/>
      </w:pPr>
      <w:r>
        <w:t xml:space="preserve">TDS returns (24Q, 26Q)</w:t>
      </w:r>
    </w:p>
    <w:p>
      <w:pPr>
        <w:pStyle w:val="ListParagraph"/>
        <w:numPr>
          <w:ilvl w:val="0"/>
          <w:numId w:val="1"/>
        </w:numPr>
        <w:spacing w:after="60"/>
      </w:pPr>
      <w:r>
        <w:t xml:space="preserve">Advance tax instalments</w:t>
      </w:r>
    </w:p>
    <w:p>
      <w:pPr>
        <w:pStyle w:val="ListParagraph"/>
        <w:numPr>
          <w:ilvl w:val="0"/>
          <w:numId w:val="1"/>
        </w:numPr>
        <w:spacing w:after="60"/>
      </w:pPr>
      <w:r>
        <w:t xml:space="preserve">GSTR-1 under QRMP</w:t>
      </w:r>
    </w:p>
    <w:p>
      <w:pPr>
        <w:pStyle w:val="ListParagraph"/>
        <w:numPr>
          <w:ilvl w:val="0"/>
          <w:numId w:val="1"/>
        </w:numPr>
        <w:spacing w:after="60"/>
      </w:pPr>
      <w:r>
        <w:t xml:space="preserve">Professional tax — Sikkim</w:t>
      </w:r>
    </w:p>
    <w:p>
      <w:pPr>
        <w:pStyle w:val="ListParagraph"/>
        <w:numPr>
          <w:ilvl w:val="0"/>
          <w:numId w:val="1"/>
        </w:numPr>
        <w:spacing w:after="60"/>
      </w:pPr>
      <w:r>
        <w:t xml:space="preserve">Board meeting (companies)</w:t>
      </w:r>
    </w:p>
    <w:p>
      <w:r>
        <w:rPr>
          <w:b/>
          <w:bCs/>
        </w:rPr>
        <w:t xml:space="preserve">Half-yearly</w:t>
      </w:r>
    </w:p>
    <w:p>
      <w:pPr>
        <w:pStyle w:val="ListParagraph"/>
        <w:numPr>
          <w:ilvl w:val="0"/>
          <w:numId w:val="1"/>
        </w:numPr>
        <w:spacing w:after="60"/>
      </w:pPr>
      <w:r>
        <w:t xml:space="preserve">Professional tax — Tamil Nadu, Kerala, Puducherry</w:t>
      </w:r>
    </w:p>
    <w:p>
      <w:pPr>
        <w:pStyle w:val="ListParagraph"/>
        <w:numPr>
          <w:ilvl w:val="0"/>
          <w:numId w:val="1"/>
        </w:numPr>
        <w:spacing w:after="60"/>
      </w:pPr>
      <w:r>
        <w:t xml:space="preserve">Labour Welfare Fund — Maharashtra, Gujarat, Madhya Pradesh, Odisha, Chhattisgarh, Delhi, Goa, West Bengal</w:t>
      </w:r>
    </w:p>
    <w:p>
      <w:pPr>
        <w:pStyle w:val="ListParagraph"/>
        <w:numPr>
          <w:ilvl w:val="0"/>
          <w:numId w:val="1"/>
        </w:numPr>
        <w:spacing w:after="60"/>
      </w:pPr>
      <w:r>
        <w:t xml:space="preserve">ESI returns</w:t>
      </w:r>
    </w:p>
    <w:p>
      <w:r>
        <w:rPr>
          <w:b/>
          <w:bCs/>
        </w:rPr>
        <w:t xml:space="preserve">Annual</w:t>
      </w:r>
    </w:p>
    <w:p>
      <w:pPr>
        <w:pStyle w:val="ListParagraph"/>
        <w:numPr>
          <w:ilvl w:val="0"/>
          <w:numId w:val="1"/>
        </w:numPr>
        <w:spacing w:after="60"/>
      </w:pPr>
      <w:r>
        <w:t xml:space="preserve">Income tax return; tax audit if applicable</w:t>
      </w:r>
    </w:p>
    <w:p>
      <w:pPr>
        <w:pStyle w:val="ListParagraph"/>
        <w:numPr>
          <w:ilvl w:val="0"/>
          <w:numId w:val="1"/>
        </w:numPr>
        <w:spacing w:after="60"/>
      </w:pPr>
      <w:r>
        <w:t xml:space="preserve">GSTR-9 and GSTR-9C</w:t>
      </w:r>
    </w:p>
    <w:p>
      <w:pPr>
        <w:pStyle w:val="ListParagraph"/>
        <w:numPr>
          <w:ilvl w:val="0"/>
          <w:numId w:val="1"/>
        </w:numPr>
        <w:spacing w:after="60"/>
      </w:pPr>
      <w:r>
        <w:t xml:space="preserve">MCA: AOC-4 (financials) and MGT-7 (annual return); DIR-3 KYC</w:t>
      </w:r>
    </w:p>
    <w:p>
      <w:pPr>
        <w:pStyle w:val="ListParagraph"/>
        <w:numPr>
          <w:ilvl w:val="0"/>
          <w:numId w:val="1"/>
        </w:numPr>
        <w:spacing w:after="60"/>
      </w:pPr>
      <w:r>
        <w:t xml:space="preserve">Shops Act annual return, where required</w:t>
      </w:r>
    </w:p>
    <w:p>
      <w:pPr>
        <w:pStyle w:val="ListParagraph"/>
        <w:numPr>
          <w:ilvl w:val="0"/>
          <w:numId w:val="1"/>
        </w:numPr>
        <w:spacing w:after="60"/>
      </w:pPr>
      <w:r>
        <w:t xml:space="preserve">Factories Act annual return (Form 21 or state equivalent)</w:t>
      </w:r>
    </w:p>
    <w:p>
      <w:pPr>
        <w:pStyle w:val="ListParagraph"/>
        <w:numPr>
          <w:ilvl w:val="0"/>
          <w:numId w:val="1"/>
        </w:numPr>
        <w:spacing w:after="60"/>
      </w:pPr>
      <w:r>
        <w:t xml:space="preserve">Labour Welfare Fund — Andhra Pradesh, Karnataka, Tamil Nadu, Telangana (December)</w:t>
      </w:r>
    </w:p>
    <w:p>
      <w:pPr>
        <w:pStyle w:val="ListParagraph"/>
        <w:numPr>
          <w:ilvl w:val="0"/>
          <w:numId w:val="1"/>
        </w:numPr>
        <w:spacing w:after="60"/>
      </w:pPr>
      <w:r>
        <w:t xml:space="preserve">Professional tax — Bihar, Jharkhand, Manipur, Mizoram, Nagaland</w:t>
      </w:r>
    </w:p>
    <w:p>
      <w:pPr>
        <w:pStyle w:val="ListParagraph"/>
        <w:numPr>
          <w:ilvl w:val="0"/>
          <w:numId w:val="1"/>
        </w:numPr>
        <w:spacing w:after="60"/>
      </w:pPr>
      <w:r>
        <w:t xml:space="preserve">POSH annual report to the District Officer</w:t>
      </w:r>
    </w:p>
    <w:p>
      <w:pPr>
        <w:pStyle w:val="ListParagraph"/>
        <w:numPr>
          <w:ilvl w:val="0"/>
          <w:numId w:val="1"/>
        </w:numPr>
        <w:spacing w:after="60"/>
      </w:pPr>
      <w:r>
        <w:t xml:space="preserve">MSME Form 1 (half-yearly, for dues to micro/small enterprises)</w:t>
      </w:r>
    </w:p>
    <w:p>
      <w:pPr>
        <w:pStyle w:val="ListParagraph"/>
        <w:numPr>
          <w:ilvl w:val="0"/>
          <w:numId w:val="1"/>
        </w:numPr>
        <w:spacing w:after="60"/>
      </w:pPr>
      <w:r>
        <w:t xml:space="preserve">Trade licence renewal</w:t>
      </w:r>
    </w:p>
    <w:p>
      <w:pPr>
        <w:pStyle w:val="ListParagraph"/>
        <w:numPr>
          <w:ilvl w:val="0"/>
          <w:numId w:val="1"/>
        </w:numPr>
        <w:spacing w:after="60"/>
      </w:pPr>
      <w:r>
        <w:t xml:space="preserve">Fire NOC renewal, where annual</w:t>
      </w:r>
    </w:p>
    <w:p>
      <w:pPr>
        <w:pStyle w:val="ListParagraph"/>
        <w:numPr>
          <w:ilvl w:val="0"/>
          <w:numId w:val="1"/>
        </w:numPr>
        <w:spacing w:after="60"/>
      </w:pPr>
      <w:r>
        <w:t xml:space="preserve">Statutory audit; AGM within six months of year end</w:t>
      </w:r>
    </w:p>
    <w:p>
      <w:r>
        <w:rPr>
          <w:b/>
          <w:bCs/>
        </w:rPr>
        <w:t xml:space="preserve">Periodic / Event-driven</w:t>
      </w:r>
    </w:p>
    <w:p>
      <w:pPr>
        <w:pStyle w:val="ListParagraph"/>
        <w:numPr>
          <w:ilvl w:val="0"/>
          <w:numId w:val="1"/>
        </w:numPr>
        <w:spacing w:after="60"/>
      </w:pPr>
      <w:r>
        <w:t xml:space="preserve">Consent to Operate renewal — 5, 10 or 15 years by category and state</w:t>
      </w:r>
    </w:p>
    <w:p>
      <w:pPr>
        <w:pStyle w:val="ListParagraph"/>
        <w:numPr>
          <w:ilvl w:val="0"/>
          <w:numId w:val="1"/>
        </w:numPr>
        <w:spacing w:after="60"/>
      </w:pPr>
      <w:r>
        <w:t xml:space="preserve">Factory licence renewal — 1, 5 or 10 years by state</w:t>
      </w:r>
    </w:p>
    <w:p>
      <w:pPr>
        <w:pStyle w:val="ListParagraph"/>
        <w:numPr>
          <w:ilvl w:val="0"/>
          <w:numId w:val="1"/>
        </w:numPr>
        <w:spacing w:after="60"/>
      </w:pPr>
      <w:r>
        <w:t xml:space="preserve">Shops Act registration renewal — annual to 10 years by state</w:t>
      </w:r>
    </w:p>
    <w:p>
      <w:pPr>
        <w:pStyle w:val="ListParagraph"/>
        <w:numPr>
          <w:ilvl w:val="0"/>
          <w:numId w:val="1"/>
        </w:numPr>
        <w:spacing w:after="60"/>
      </w:pPr>
      <w:r>
        <w:t xml:space="preserve">Hazardous waste authorisation renewal</w:t>
      </w:r>
    </w:p>
    <w:p>
      <w:pPr>
        <w:pStyle w:val="ListParagraph"/>
        <w:numPr>
          <w:ilvl w:val="0"/>
          <w:numId w:val="1"/>
        </w:numPr>
        <w:spacing w:after="60"/>
      </w:pPr>
      <w:r>
        <w:t xml:space="preserve">Legal metrology instrument re-verification — annual or biennial</w:t>
      </w:r>
    </w:p>
    <w:p>
      <w:pPr>
        <w:pStyle w:val="ListParagraph"/>
        <w:numPr>
          <w:ilvl w:val="0"/>
          <w:numId w:val="1"/>
        </w:numPr>
        <w:spacing w:after="60"/>
      </w:pPr>
      <w:r>
        <w:t xml:space="preserve">Minimum wage revision — </w:t>
      </w:r>
      <w:r>
        <w:rPr>
          <w:b/>
          <w:bCs/>
        </w:rPr>
        <w:t xml:space="preserve">twice yearly, per state, per employment, per zone</w:t>
      </w:r>
    </w:p>
    <w:p>
      <w:pPr>
        <w:pStyle w:val="Heading2"/>
        <w:keepNext/>
        <w:keepLines/>
      </w:pPr>
      <w:r>
        <w:t xml:space="preserve">12.3 The Multi-State Employer’s Tracking Matrix</w:t>
      </w:r>
    </w:p>
    <w:p>
      <w:r>
        <w:t xml:space="preserve">For each operating location, a compliance function must maintain:</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Item</w:t>
            </w:r>
          </w:p>
        </w:tc>
        <w:tc>
          <w:tcPr>
            <w:shd w:fill="F0F4FE"/>
            <w:tcMar>
              <w:top w:type="dxa" w:w="70"/>
              <w:left w:type="dxa" w:w="110"/>
              <w:bottom w:type="dxa" w:w="70"/>
              <w:right w:type="dxa" w:w="110"/>
            </w:tcMar>
          </w:tcPr>
          <w:p>
            <w:pPr>
              <w:spacing w:after="0"/>
            </w:pPr>
            <w:r>
              <w:rPr>
                <w:b/>
                <w:bCs/>
                <w:color w:val="112D6A"/>
              </w:rPr>
              <w:t xml:space="preserve">Source of Truth</w:t>
            </w:r>
          </w:p>
        </w:tc>
      </w:tr>
      <w:tr>
        <w:trPr>
          <w:cantSplit/>
          <w:tblHeader w:val="false"/>
        </w:trPr>
        <w:tc>
          <w:tcPr>
            <w:tcMar>
              <w:top w:type="dxa" w:w="70"/>
              <w:left w:type="dxa" w:w="110"/>
              <w:bottom w:type="dxa" w:w="70"/>
              <w:right w:type="dxa" w:w="110"/>
            </w:tcMar>
          </w:tcPr>
          <w:p>
            <w:pPr>
              <w:spacing w:after="0"/>
            </w:pPr>
            <w:r>
              <w:t xml:space="preserve">Applicable Shops Act and its renewal date</w:t>
            </w:r>
          </w:p>
        </w:tc>
        <w:tc>
          <w:tcPr>
            <w:tcMar>
              <w:top w:type="dxa" w:w="70"/>
              <w:left w:type="dxa" w:w="110"/>
              <w:bottom w:type="dxa" w:w="70"/>
              <w:right w:type="dxa" w:w="110"/>
            </w:tcMar>
          </w:tcPr>
          <w:p>
            <w:pPr>
              <w:spacing w:after="0"/>
            </w:pPr>
            <w:r>
              <w:t xml:space="preserve">State labour department</w:t>
            </w:r>
          </w:p>
        </w:tc>
      </w:tr>
      <w:tr>
        <w:trPr>
          <w:cantSplit/>
          <w:tblHeader w:val="false"/>
        </w:trPr>
        <w:tc>
          <w:tcPr>
            <w:tcMar>
              <w:top w:type="dxa" w:w="70"/>
              <w:left w:type="dxa" w:w="110"/>
              <w:bottom w:type="dxa" w:w="70"/>
              <w:right w:type="dxa" w:w="110"/>
            </w:tcMar>
          </w:tcPr>
          <w:p>
            <w:pPr>
              <w:spacing w:after="0"/>
            </w:pPr>
            <w:r>
              <w:t xml:space="preserve">Professional tax applicability, slab, cycle and collecting body</w:t>
            </w:r>
          </w:p>
        </w:tc>
        <w:tc>
          <w:tcPr>
            <w:tcMar>
              <w:top w:type="dxa" w:w="70"/>
              <w:left w:type="dxa" w:w="110"/>
              <w:bottom w:type="dxa" w:w="70"/>
              <w:right w:type="dxa" w:w="110"/>
            </w:tcMar>
          </w:tcPr>
          <w:p>
            <w:pPr>
              <w:spacing w:after="0"/>
            </w:pPr>
            <w:r>
              <w:t xml:space="preserve">State/municipal</w:t>
            </w:r>
          </w:p>
        </w:tc>
      </w:tr>
      <w:tr>
        <w:trPr>
          <w:cantSplit/>
          <w:tblHeader w:val="false"/>
        </w:trPr>
        <w:tc>
          <w:tcPr>
            <w:tcMar>
              <w:top w:type="dxa" w:w="70"/>
              <w:left w:type="dxa" w:w="110"/>
              <w:bottom w:type="dxa" w:w="70"/>
              <w:right w:type="dxa" w:w="110"/>
            </w:tcMar>
          </w:tcPr>
          <w:p>
            <w:pPr>
              <w:spacing w:after="0"/>
            </w:pPr>
            <w:r>
              <w:t xml:space="preserve">LWF applicability, rate and due date</w:t>
            </w:r>
          </w:p>
        </w:tc>
        <w:tc>
          <w:tcPr>
            <w:tcMar>
              <w:top w:type="dxa" w:w="70"/>
              <w:left w:type="dxa" w:w="110"/>
              <w:bottom w:type="dxa" w:w="70"/>
              <w:right w:type="dxa" w:w="110"/>
            </w:tcMar>
          </w:tcPr>
          <w:p>
            <w:pPr>
              <w:spacing w:after="0"/>
            </w:pPr>
            <w:r>
              <w:t xml:space="preserve">State LWF Board</w:t>
            </w:r>
          </w:p>
        </w:tc>
      </w:tr>
      <w:tr>
        <w:trPr>
          <w:cantSplit/>
          <w:tblHeader w:val="false"/>
        </w:trPr>
        <w:tc>
          <w:tcPr>
            <w:tcMar>
              <w:top w:type="dxa" w:w="70"/>
              <w:left w:type="dxa" w:w="110"/>
              <w:bottom w:type="dxa" w:w="70"/>
              <w:right w:type="dxa" w:w="110"/>
            </w:tcMar>
          </w:tcPr>
          <w:p>
            <w:pPr>
              <w:spacing w:after="0"/>
            </w:pPr>
            <w:r>
              <w:t xml:space="preserve">Current minimum wage for each employment category and zone</w:t>
            </w:r>
          </w:p>
        </w:tc>
        <w:tc>
          <w:tcPr>
            <w:tcMar>
              <w:top w:type="dxa" w:w="70"/>
              <w:left w:type="dxa" w:w="110"/>
              <w:bottom w:type="dxa" w:w="70"/>
              <w:right w:type="dxa" w:w="110"/>
            </w:tcMar>
          </w:tcPr>
          <w:p>
            <w:pPr>
              <w:spacing w:after="0"/>
            </w:pPr>
            <w:r>
              <w:t xml:space="preserve">State labour notification (twice yearly)</w:t>
            </w:r>
          </w:p>
        </w:tc>
      </w:tr>
      <w:tr>
        <w:trPr>
          <w:cantSplit/>
          <w:tblHeader w:val="false"/>
        </w:trPr>
        <w:tc>
          <w:tcPr>
            <w:tcMar>
              <w:top w:type="dxa" w:w="70"/>
              <w:left w:type="dxa" w:w="110"/>
              <w:bottom w:type="dxa" w:w="70"/>
              <w:right w:type="dxa" w:w="110"/>
            </w:tcMar>
          </w:tcPr>
          <w:p>
            <w:pPr>
              <w:spacing w:after="0"/>
            </w:pPr>
            <w:r>
              <w:t xml:space="preserve">Overtime cap and current exemption notifications</w:t>
            </w:r>
          </w:p>
        </w:tc>
        <w:tc>
          <w:tcPr>
            <w:tcMar>
              <w:top w:type="dxa" w:w="70"/>
              <w:left w:type="dxa" w:w="110"/>
              <w:bottom w:type="dxa" w:w="70"/>
              <w:right w:type="dxa" w:w="110"/>
            </w:tcMar>
          </w:tcPr>
          <w:p>
            <w:pPr>
              <w:spacing w:after="0"/>
            </w:pPr>
            <w:r>
              <w:t xml:space="preserve">State labour department</w:t>
            </w:r>
          </w:p>
        </w:tc>
      </w:tr>
      <w:tr>
        <w:trPr>
          <w:cantSplit/>
          <w:tblHeader w:val="false"/>
        </w:trPr>
        <w:tc>
          <w:tcPr>
            <w:tcMar>
              <w:top w:type="dxa" w:w="70"/>
              <w:left w:type="dxa" w:w="110"/>
              <w:bottom w:type="dxa" w:w="70"/>
              <w:right w:type="dxa" w:w="110"/>
            </w:tcMar>
          </w:tcPr>
          <w:p>
            <w:pPr>
              <w:spacing w:after="0"/>
            </w:pPr>
            <w:r>
              <w:t xml:space="preserve">Women’s night-shift permission and its conditions</w:t>
            </w:r>
          </w:p>
        </w:tc>
        <w:tc>
          <w:tcPr>
            <w:tcMar>
              <w:top w:type="dxa" w:w="70"/>
              <w:left w:type="dxa" w:w="110"/>
              <w:bottom w:type="dxa" w:w="70"/>
              <w:right w:type="dxa" w:w="110"/>
            </w:tcMar>
          </w:tcPr>
          <w:p>
            <w:pPr>
              <w:spacing w:after="0"/>
            </w:pPr>
            <w:r>
              <w:t xml:space="preserve">State notification</w:t>
            </w:r>
          </w:p>
        </w:tc>
      </w:tr>
      <w:tr>
        <w:trPr>
          <w:cantSplit/>
          <w:tblHeader w:val="false"/>
        </w:trPr>
        <w:tc>
          <w:tcPr>
            <w:tcMar>
              <w:top w:type="dxa" w:w="70"/>
              <w:left w:type="dxa" w:w="110"/>
              <w:bottom w:type="dxa" w:w="70"/>
              <w:right w:type="dxa" w:w="110"/>
            </w:tcMar>
          </w:tcPr>
          <w:p>
            <w:pPr>
              <w:spacing w:after="0"/>
            </w:pPr>
            <w:r>
              <w:t xml:space="preserve">Weekly holiday and opening/closing hour rules</w:t>
            </w:r>
          </w:p>
        </w:tc>
        <w:tc>
          <w:tcPr>
            <w:tcMar>
              <w:top w:type="dxa" w:w="70"/>
              <w:left w:type="dxa" w:w="110"/>
              <w:bottom w:type="dxa" w:w="70"/>
              <w:right w:type="dxa" w:w="110"/>
            </w:tcMar>
          </w:tcPr>
          <w:p>
            <w:pPr>
              <w:spacing w:after="0"/>
            </w:pPr>
            <w:r>
              <w:t xml:space="preserve">State notification</w:t>
            </w:r>
          </w:p>
        </w:tc>
      </w:tr>
      <w:tr>
        <w:trPr>
          <w:cantSplit/>
          <w:tblHeader w:val="false"/>
        </w:trPr>
        <w:tc>
          <w:tcPr>
            <w:tcMar>
              <w:top w:type="dxa" w:w="70"/>
              <w:left w:type="dxa" w:w="110"/>
              <w:bottom w:type="dxa" w:w="70"/>
              <w:right w:type="dxa" w:w="110"/>
            </w:tcMar>
          </w:tcPr>
          <w:p>
            <w:pPr>
              <w:spacing w:after="0"/>
            </w:pPr>
            <w:r>
              <w:t xml:space="preserve">Leave entitlement and carry-forward limit</w:t>
            </w:r>
          </w:p>
        </w:tc>
        <w:tc>
          <w:tcPr>
            <w:tcMar>
              <w:top w:type="dxa" w:w="70"/>
              <w:left w:type="dxa" w:w="110"/>
              <w:bottom w:type="dxa" w:w="70"/>
              <w:right w:type="dxa" w:w="110"/>
            </w:tcMar>
          </w:tcPr>
          <w:p>
            <w:pPr>
              <w:spacing w:after="0"/>
            </w:pPr>
            <w:r>
              <w:t xml:space="preserve">State Shops Act rules</w:t>
            </w:r>
          </w:p>
        </w:tc>
      </w:tr>
      <w:tr>
        <w:trPr>
          <w:cantSplit/>
          <w:tblHeader w:val="false"/>
        </w:trPr>
        <w:tc>
          <w:tcPr>
            <w:tcMar>
              <w:top w:type="dxa" w:w="70"/>
              <w:left w:type="dxa" w:w="110"/>
              <w:bottom w:type="dxa" w:w="70"/>
              <w:right w:type="dxa" w:w="110"/>
            </w:tcMar>
          </w:tcPr>
          <w:p>
            <w:pPr>
              <w:spacing w:after="0"/>
            </w:pPr>
            <w:r>
              <w:t xml:space="preserve">Trade licence renewal date</w:t>
            </w:r>
          </w:p>
        </w:tc>
        <w:tc>
          <w:tcPr>
            <w:tcMar>
              <w:top w:type="dxa" w:w="70"/>
              <w:left w:type="dxa" w:w="110"/>
              <w:bottom w:type="dxa" w:w="70"/>
              <w:right w:type="dxa" w:w="110"/>
            </w:tcMar>
          </w:tcPr>
          <w:p>
            <w:pPr>
              <w:spacing w:after="0"/>
            </w:pPr>
            <w:r>
              <w:t xml:space="preserve">Municipal corporation</w:t>
            </w:r>
          </w:p>
        </w:tc>
      </w:tr>
      <w:tr>
        <w:trPr>
          <w:cantSplit/>
          <w:tblHeader w:val="false"/>
        </w:trPr>
        <w:tc>
          <w:tcPr>
            <w:tcMar>
              <w:top w:type="dxa" w:w="70"/>
              <w:left w:type="dxa" w:w="110"/>
              <w:bottom w:type="dxa" w:w="70"/>
              <w:right w:type="dxa" w:w="110"/>
            </w:tcMar>
          </w:tcPr>
          <w:p>
            <w:pPr>
              <w:spacing w:after="0"/>
            </w:pPr>
            <w:r>
              <w:t xml:space="preserve">Fire NOC renewal date</w:t>
            </w:r>
          </w:p>
        </w:tc>
        <w:tc>
          <w:tcPr>
            <w:tcMar>
              <w:top w:type="dxa" w:w="70"/>
              <w:left w:type="dxa" w:w="110"/>
              <w:bottom w:type="dxa" w:w="70"/>
              <w:right w:type="dxa" w:w="110"/>
            </w:tcMar>
          </w:tcPr>
          <w:p>
            <w:pPr>
              <w:spacing w:after="0"/>
            </w:pPr>
            <w:r>
              <w:t xml:space="preserve">State fire services</w:t>
            </w:r>
          </w:p>
        </w:tc>
      </w:tr>
      <w:tr>
        <w:trPr>
          <w:cantSplit/>
          <w:tblHeader w:val="false"/>
        </w:trPr>
        <w:tc>
          <w:tcPr>
            <w:tcMar>
              <w:top w:type="dxa" w:w="70"/>
              <w:left w:type="dxa" w:w="110"/>
              <w:bottom w:type="dxa" w:w="70"/>
              <w:right w:type="dxa" w:w="110"/>
            </w:tcMar>
          </w:tcPr>
          <w:p>
            <w:pPr>
              <w:spacing w:after="0"/>
            </w:pPr>
            <w:r>
              <w:t xml:space="preserve">Consent to Operate expiry</w:t>
            </w:r>
          </w:p>
        </w:tc>
        <w:tc>
          <w:tcPr>
            <w:tcMar>
              <w:top w:type="dxa" w:w="70"/>
              <w:left w:type="dxa" w:w="110"/>
              <w:bottom w:type="dxa" w:w="70"/>
              <w:right w:type="dxa" w:w="110"/>
            </w:tcMar>
          </w:tcPr>
          <w:p>
            <w:pPr>
              <w:spacing w:after="0"/>
            </w:pPr>
            <w:r>
              <w:t xml:space="preserve">State PCB</w:t>
            </w:r>
          </w:p>
        </w:tc>
      </w:tr>
      <w:tr>
        <w:trPr>
          <w:cantSplit/>
          <w:tblHeader w:val="false"/>
        </w:trPr>
        <w:tc>
          <w:tcPr>
            <w:tcMar>
              <w:top w:type="dxa" w:w="70"/>
              <w:left w:type="dxa" w:w="110"/>
              <w:bottom w:type="dxa" w:w="70"/>
              <w:right w:type="dxa" w:w="110"/>
            </w:tcMar>
          </w:tcPr>
          <w:p>
            <w:pPr>
              <w:spacing w:after="0"/>
            </w:pPr>
            <w:r>
              <w:t xml:space="preserve">Applicable registers and their formats</w:t>
            </w:r>
          </w:p>
        </w:tc>
        <w:tc>
          <w:tcPr>
            <w:tcMar>
              <w:top w:type="dxa" w:w="70"/>
              <w:left w:type="dxa" w:w="110"/>
              <w:bottom w:type="dxa" w:w="70"/>
              <w:right w:type="dxa" w:w="110"/>
            </w:tcMar>
          </w:tcPr>
          <w:p>
            <w:pPr>
              <w:spacing w:after="0"/>
            </w:pPr>
            <w:r>
              <w:t xml:space="preserve">State rules</w:t>
            </w:r>
          </w:p>
        </w:tc>
      </w:tr>
    </w:tbl>
    <w:p>
      <w:pPr>
        <w:spacing w:after="40"/>
      </w:pPr>
    </w:p>
    <w:p>
      <w:r>
        <w:t xml:space="preserve">The realistic conclusion is that </w:t>
      </w:r>
      <w:r>
        <w:rPr>
          <w:b/>
          <w:bCs/>
        </w:rPr>
        <w:t xml:space="preserve">twelve tracked variables per location</w:t>
      </w:r>
      <w:r>
        <w:t xml:space="preserve"> is the floor for a multi-state employer, and none of them are centrally published in a single place.</w:t>
      </w:r>
    </w:p>
    <w:p>
      <w:pPr>
        <w:pStyle w:val="Heading1"/>
        <w:keepNext/>
        <w:keepLines/>
        <w:pBdr>
          <w:bottom w:val="single" w:color="2157CF" w:sz="8" w:space="3"/>
        </w:pBdr>
      </w:pPr>
      <w:r>
        <w:t xml:space="preserve">13. Penalty and Risk Exposure</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Area</w:t>
            </w:r>
          </w:p>
        </w:tc>
        <w:tc>
          <w:tcPr>
            <w:shd w:fill="F0F4FE"/>
            <w:tcMar>
              <w:top w:type="dxa" w:w="70"/>
              <w:left w:type="dxa" w:w="110"/>
              <w:bottom w:type="dxa" w:w="70"/>
              <w:right w:type="dxa" w:w="110"/>
            </w:tcMar>
          </w:tcPr>
          <w:p>
            <w:pPr>
              <w:spacing w:after="0"/>
            </w:pPr>
            <w:r>
              <w:rPr>
                <w:b/>
                <w:bCs/>
                <w:color w:val="112D6A"/>
              </w:rPr>
              <w:t xml:space="preserve">Typical Exposure</w:t>
            </w:r>
          </w:p>
        </w:tc>
        <w:tc>
          <w:tcPr>
            <w:shd w:fill="F0F4FE"/>
            <w:tcMar>
              <w:top w:type="dxa" w:w="70"/>
              <w:left w:type="dxa" w:w="110"/>
              <w:bottom w:type="dxa" w:w="70"/>
              <w:right w:type="dxa" w:w="110"/>
            </w:tcMar>
          </w:tcPr>
          <w:p>
            <w:pPr>
              <w:spacing w:after="0"/>
            </w:pPr>
            <w:r>
              <w:rPr>
                <w:b/>
                <w:bCs/>
                <w:color w:val="112D6A"/>
              </w:rPr>
              <w:t xml:space="preserve">Notes</w:t>
            </w:r>
          </w:p>
        </w:tc>
      </w:tr>
      <w:tr>
        <w:trPr>
          <w:cantSplit/>
          <w:tblHeader w:val="false"/>
        </w:trPr>
        <w:tc>
          <w:tcPr>
            <w:tcMar>
              <w:top w:type="dxa" w:w="70"/>
              <w:left w:type="dxa" w:w="110"/>
              <w:bottom w:type="dxa" w:w="70"/>
              <w:right w:type="dxa" w:w="110"/>
            </w:tcMar>
          </w:tcPr>
          <w:p>
            <w:pPr>
              <w:spacing w:after="0"/>
            </w:pPr>
            <w:r>
              <w:t xml:space="preserve">GST — late filing</w:t>
            </w:r>
          </w:p>
        </w:tc>
        <w:tc>
          <w:tcPr>
            <w:tcMar>
              <w:top w:type="dxa" w:w="70"/>
              <w:left w:type="dxa" w:w="110"/>
              <w:bottom w:type="dxa" w:w="70"/>
              <w:right w:type="dxa" w:w="110"/>
            </w:tcMar>
          </w:tcPr>
          <w:p>
            <w:pPr>
              <w:spacing w:after="0"/>
            </w:pPr>
            <w:r>
              <w:t xml:space="preserve">Late fee per day plus interest on tax</w:t>
            </w:r>
          </w:p>
        </w:tc>
        <w:tc>
          <w:tcPr>
            <w:tcMar>
              <w:top w:type="dxa" w:w="70"/>
              <w:left w:type="dxa" w:w="110"/>
              <w:bottom w:type="dxa" w:w="70"/>
              <w:right w:type="dxa" w:w="110"/>
            </w:tcMar>
          </w:tcPr>
          <w:p>
            <w:pPr>
              <w:spacing w:after="0"/>
            </w:pPr>
            <w:r>
              <w:t xml:space="preserve">Capped per return</w:t>
            </w:r>
          </w:p>
        </w:tc>
      </w:tr>
      <w:tr>
        <w:trPr>
          <w:cantSplit/>
          <w:tblHeader w:val="false"/>
        </w:trPr>
        <w:tc>
          <w:tcPr>
            <w:tcMar>
              <w:top w:type="dxa" w:w="70"/>
              <w:left w:type="dxa" w:w="110"/>
              <w:bottom w:type="dxa" w:w="70"/>
              <w:right w:type="dxa" w:w="110"/>
            </w:tcMar>
          </w:tcPr>
          <w:p>
            <w:pPr>
              <w:spacing w:after="0"/>
            </w:pPr>
            <w:r>
              <w:t xml:space="preserve">GST — wrongful ITC</w:t>
            </w:r>
          </w:p>
        </w:tc>
        <w:tc>
          <w:tcPr>
            <w:tcMar>
              <w:top w:type="dxa" w:w="70"/>
              <w:left w:type="dxa" w:w="110"/>
              <w:bottom w:type="dxa" w:w="70"/>
              <w:right w:type="dxa" w:w="110"/>
            </w:tcMar>
          </w:tcPr>
          <w:p>
            <w:pPr>
              <w:spacing w:after="0"/>
            </w:pPr>
            <w:r>
              <w:t xml:space="preserve">Penalty up to 100% of tax in fraud cases; prosecution above threshold</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Income tax — non-filing</w:t>
            </w:r>
          </w:p>
        </w:tc>
        <w:tc>
          <w:tcPr>
            <w:tcMar>
              <w:top w:type="dxa" w:w="70"/>
              <w:left w:type="dxa" w:w="110"/>
              <w:bottom w:type="dxa" w:w="70"/>
              <w:right w:type="dxa" w:w="110"/>
            </w:tcMar>
          </w:tcPr>
          <w:p>
            <w:pPr>
              <w:spacing w:after="0"/>
            </w:pPr>
            <w:r>
              <w:t xml:space="preserve">Penalty plus interest; prosecution in serious cases</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EPF — delayed deposit</w:t>
            </w:r>
          </w:p>
        </w:tc>
        <w:tc>
          <w:tcPr>
            <w:tcMar>
              <w:top w:type="dxa" w:w="70"/>
              <w:left w:type="dxa" w:w="110"/>
              <w:bottom w:type="dxa" w:w="70"/>
              <w:right w:type="dxa" w:w="110"/>
            </w:tcMar>
          </w:tcPr>
          <w:p>
            <w:pPr>
              <w:spacing w:after="0"/>
            </w:pPr>
            <w:r>
              <w:t xml:space="preserve">Interest at 12% plus damages up to 25% p.a.</w:t>
            </w:r>
          </w:p>
        </w:tc>
        <w:tc>
          <w:tcPr>
            <w:tcMar>
              <w:top w:type="dxa" w:w="70"/>
              <w:left w:type="dxa" w:w="110"/>
              <w:bottom w:type="dxa" w:w="70"/>
              <w:right w:type="dxa" w:w="110"/>
            </w:tcMar>
          </w:tcPr>
          <w:p>
            <w:pPr>
              <w:spacing w:after="0"/>
            </w:pPr>
            <w:r>
              <w:t xml:space="preserve">Personal liability of officers</w:t>
            </w:r>
          </w:p>
        </w:tc>
      </w:tr>
      <w:tr>
        <w:trPr>
          <w:cantSplit/>
          <w:tblHeader w:val="false"/>
        </w:trPr>
        <w:tc>
          <w:tcPr>
            <w:tcMar>
              <w:top w:type="dxa" w:w="70"/>
              <w:left w:type="dxa" w:w="110"/>
              <w:bottom w:type="dxa" w:w="70"/>
              <w:right w:type="dxa" w:w="110"/>
            </w:tcMar>
          </w:tcPr>
          <w:p>
            <w:pPr>
              <w:spacing w:after="0"/>
            </w:pPr>
            <w:r>
              <w:t xml:space="preserve">ESI — delayed deposit</w:t>
            </w:r>
          </w:p>
        </w:tc>
        <w:tc>
          <w:tcPr>
            <w:tcMar>
              <w:top w:type="dxa" w:w="70"/>
              <w:left w:type="dxa" w:w="110"/>
              <w:bottom w:type="dxa" w:w="70"/>
              <w:right w:type="dxa" w:w="110"/>
            </w:tcMar>
          </w:tcPr>
          <w:p>
            <w:pPr>
              <w:spacing w:after="0"/>
            </w:pPr>
            <w:r>
              <w:t xml:space="preserve">Interest and damages; prosecution possible</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Shops Act violations</w:t>
            </w:r>
          </w:p>
        </w:tc>
        <w:tc>
          <w:tcPr>
            <w:tcMar>
              <w:top w:type="dxa" w:w="70"/>
              <w:left w:type="dxa" w:w="110"/>
              <w:bottom w:type="dxa" w:w="70"/>
              <w:right w:type="dxa" w:w="110"/>
            </w:tcMar>
          </w:tcPr>
          <w:p>
            <w:pPr>
              <w:spacing w:after="0"/>
            </w:pPr>
            <w:r>
              <w:t xml:space="preserve">Few hundred rupees to several lakhs</w:t>
            </w:r>
          </w:p>
        </w:tc>
        <w:tc>
          <w:tcPr>
            <w:tcMar>
              <w:top w:type="dxa" w:w="70"/>
              <w:left w:type="dxa" w:w="110"/>
              <w:bottom w:type="dxa" w:w="70"/>
              <w:right w:type="dxa" w:w="110"/>
            </w:tcMar>
          </w:tcPr>
          <w:p>
            <w:pPr>
              <w:spacing w:after="0"/>
            </w:pPr>
            <w:r>
              <w:rPr>
                <w:b/>
                <w:bCs/>
              </w:rPr>
              <w:t xml:space="preserve">Depends entirely on the vintage of the state Act</w:t>
            </w:r>
            <w:r>
              <w:t xml:space="preserve"> — 1940s–50s Acts carry nominal penalties never revised; 2017–19 Acts carry substantial ones</w:t>
            </w:r>
          </w:p>
        </w:tc>
      </w:tr>
      <w:tr>
        <w:trPr>
          <w:cantSplit/>
          <w:tblHeader w:val="false"/>
        </w:trPr>
        <w:tc>
          <w:tcPr>
            <w:tcMar>
              <w:top w:type="dxa" w:w="70"/>
              <w:left w:type="dxa" w:w="110"/>
              <w:bottom w:type="dxa" w:w="70"/>
              <w:right w:type="dxa" w:w="110"/>
            </w:tcMar>
          </w:tcPr>
          <w:p>
            <w:pPr>
              <w:spacing w:after="0"/>
            </w:pPr>
            <w:r>
              <w:t xml:space="preserve">Factories Act</w:t>
            </w:r>
          </w:p>
        </w:tc>
        <w:tc>
          <w:tcPr>
            <w:tcMar>
              <w:top w:type="dxa" w:w="70"/>
              <w:left w:type="dxa" w:w="110"/>
              <w:bottom w:type="dxa" w:w="70"/>
              <w:right w:type="dxa" w:w="110"/>
            </w:tcMar>
          </w:tcPr>
          <w:p>
            <w:pPr>
              <w:spacing w:after="0"/>
            </w:pPr>
            <w:r>
              <w:t xml:space="preserve">Fine and imprisonment; enhanced for repeat and for hazardous processes</w:t>
            </w:r>
          </w:p>
        </w:tc>
        <w:tc>
          <w:tcPr>
            <w:tcMar>
              <w:top w:type="dxa" w:w="70"/>
              <w:left w:type="dxa" w:w="110"/>
              <w:bottom w:type="dxa" w:w="70"/>
              <w:right w:type="dxa" w:w="110"/>
            </w:tcMar>
          </w:tcPr>
          <w:p>
            <w:pPr>
              <w:spacing w:after="0"/>
            </w:pPr>
            <w:r>
              <w:t xml:space="preserve">Occupier is personally liable</w:t>
            </w:r>
          </w:p>
        </w:tc>
      </w:tr>
      <w:tr>
        <w:trPr>
          <w:cantSplit/>
          <w:tblHeader w:val="false"/>
        </w:trPr>
        <w:tc>
          <w:tcPr>
            <w:tcMar>
              <w:top w:type="dxa" w:w="70"/>
              <w:left w:type="dxa" w:w="110"/>
              <w:bottom w:type="dxa" w:w="70"/>
              <w:right w:type="dxa" w:w="110"/>
            </w:tcMar>
          </w:tcPr>
          <w:p>
            <w:pPr>
              <w:spacing w:after="0"/>
            </w:pPr>
            <w:r>
              <w:t xml:space="preserve">Minimum wages shortfall</w:t>
            </w:r>
          </w:p>
        </w:tc>
        <w:tc>
          <w:tcPr>
            <w:tcMar>
              <w:top w:type="dxa" w:w="70"/>
              <w:left w:type="dxa" w:w="110"/>
              <w:bottom w:type="dxa" w:w="70"/>
              <w:right w:type="dxa" w:w="110"/>
            </w:tcMar>
          </w:tcPr>
          <w:p>
            <w:pPr>
              <w:spacing w:after="0"/>
            </w:pPr>
            <w:r>
              <w:t xml:space="preserve">Payment of difference plus penalty; criminal liability</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Environmental — operating without consent</w:t>
            </w:r>
          </w:p>
        </w:tc>
        <w:tc>
          <w:tcPr>
            <w:tcMar>
              <w:top w:type="dxa" w:w="70"/>
              <w:left w:type="dxa" w:w="110"/>
              <w:bottom w:type="dxa" w:w="70"/>
              <w:right w:type="dxa" w:w="110"/>
            </w:tcMar>
          </w:tcPr>
          <w:p>
            <w:pPr>
              <w:spacing w:after="0"/>
            </w:pPr>
            <w:r>
              <w:t xml:space="preserve">Closure direction, bank guarantee forfeiture, environmental compensation, prosecution under s.15 EP Act</w:t>
            </w:r>
          </w:p>
        </w:tc>
        <w:tc>
          <w:tcPr>
            <w:tcMar>
              <w:top w:type="dxa" w:w="70"/>
              <w:left w:type="dxa" w:w="110"/>
              <w:bottom w:type="dxa" w:w="70"/>
              <w:right w:type="dxa" w:w="110"/>
            </w:tcMar>
          </w:tcPr>
          <w:p>
            <w:pPr>
              <w:spacing w:after="0"/>
            </w:pPr>
            <w:r>
              <w:t xml:space="preserve">NGT can order restoration cost</w:t>
            </w:r>
          </w:p>
        </w:tc>
      </w:tr>
      <w:tr>
        <w:trPr>
          <w:cantSplit/>
          <w:tblHeader w:val="false"/>
        </w:trPr>
        <w:tc>
          <w:tcPr>
            <w:tcMar>
              <w:top w:type="dxa" w:w="70"/>
              <w:left w:type="dxa" w:w="110"/>
              <w:bottom w:type="dxa" w:w="70"/>
              <w:right w:type="dxa" w:w="110"/>
            </w:tcMar>
          </w:tcPr>
          <w:p>
            <w:pPr>
              <w:spacing w:after="0"/>
            </w:pPr>
            <w:r>
              <w:t xml:space="preserve">Hazardous waste violations</w:t>
            </w:r>
          </w:p>
        </w:tc>
        <w:tc>
          <w:tcPr>
            <w:tcMar>
              <w:top w:type="dxa" w:w="70"/>
              <w:left w:type="dxa" w:w="110"/>
              <w:bottom w:type="dxa" w:w="70"/>
              <w:right w:type="dxa" w:w="110"/>
            </w:tcMar>
          </w:tcPr>
          <w:p>
            <w:pPr>
              <w:spacing w:after="0"/>
            </w:pPr>
            <w:r>
              <w:t xml:space="preserve">Closure, prosecution, environmental compensation</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FSSAI</w:t>
            </w:r>
          </w:p>
        </w:tc>
        <w:tc>
          <w:tcPr>
            <w:tcMar>
              <w:top w:type="dxa" w:w="70"/>
              <w:left w:type="dxa" w:w="110"/>
              <w:bottom w:type="dxa" w:w="70"/>
              <w:right w:type="dxa" w:w="110"/>
            </w:tcMar>
          </w:tcPr>
          <w:p>
            <w:pPr>
              <w:spacing w:after="0"/>
            </w:pPr>
            <w:r>
              <w:t xml:space="preserve">Penalty scaling with the nature of the violation; prosecution for unsafe food</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Legal metrology</w:t>
            </w:r>
          </w:p>
        </w:tc>
        <w:tc>
          <w:tcPr>
            <w:tcMar>
              <w:top w:type="dxa" w:w="70"/>
              <w:left w:type="dxa" w:w="110"/>
              <w:bottom w:type="dxa" w:w="70"/>
              <w:right w:type="dxa" w:w="110"/>
            </w:tcMar>
          </w:tcPr>
          <w:p>
            <w:pPr>
              <w:spacing w:after="0"/>
            </w:pPr>
            <w:r>
              <w:t xml:space="preserve">Fine, escalating for repeat; prosecution</w:t>
            </w:r>
          </w:p>
        </w:tc>
        <w:tc>
          <w:tcPr>
            <w:tcMar>
              <w:top w:type="dxa" w:w="70"/>
              <w:left w:type="dxa" w:w="110"/>
              <w:bottom w:type="dxa" w:w="70"/>
              <w:right w:type="dxa" w:w="110"/>
            </w:tcMar>
          </w:tcPr>
          <w:p>
            <w:pPr>
              <w:spacing w:after="0"/>
            </w:pPr>
            <w:r>
              <w:t xml:space="preserve">Frequently enforced at retail</w:t>
            </w:r>
          </w:p>
        </w:tc>
      </w:tr>
      <w:tr>
        <w:trPr>
          <w:cantSplit/>
          <w:tblHeader w:val="false"/>
        </w:trPr>
        <w:tc>
          <w:tcPr>
            <w:tcMar>
              <w:top w:type="dxa" w:w="70"/>
              <w:left w:type="dxa" w:w="110"/>
              <w:bottom w:type="dxa" w:w="70"/>
              <w:right w:type="dxa" w:w="110"/>
            </w:tcMar>
          </w:tcPr>
          <w:p>
            <w:pPr>
              <w:spacing w:after="0"/>
            </w:pPr>
            <w:r>
              <w:t xml:space="preserve">Fire NOC absence</w:t>
            </w:r>
          </w:p>
        </w:tc>
        <w:tc>
          <w:tcPr>
            <w:tcMar>
              <w:top w:type="dxa" w:w="70"/>
              <w:left w:type="dxa" w:w="110"/>
              <w:bottom w:type="dxa" w:w="70"/>
              <w:right w:type="dxa" w:w="110"/>
            </w:tcMar>
          </w:tcPr>
          <w:p>
            <w:pPr>
              <w:spacing w:after="0"/>
            </w:pPr>
            <w:r>
              <w:t xml:space="preserve">Sealing of premises; liability in the event of an incident</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Stamp duty deficit</w:t>
            </w:r>
          </w:p>
        </w:tc>
        <w:tc>
          <w:tcPr>
            <w:tcMar>
              <w:top w:type="dxa" w:w="70"/>
              <w:left w:type="dxa" w:w="110"/>
              <w:bottom w:type="dxa" w:w="70"/>
              <w:right w:type="dxa" w:w="110"/>
            </w:tcMar>
          </w:tcPr>
          <w:p>
            <w:pPr>
              <w:spacing w:after="0"/>
            </w:pPr>
            <w:r>
              <w:t xml:space="preserve">Deficit plus penalty up to ten times the deficiency, and the document is inadmissible in evidence until impounded and made good</w:t>
            </w:r>
          </w:p>
        </w:tc>
        <w:tc>
          <w:tcPr>
            <w:tcMar>
              <w:top w:type="dxa" w:w="70"/>
              <w:left w:type="dxa" w:w="110"/>
              <w:bottom w:type="dxa" w:w="70"/>
              <w:right w:type="dxa" w:w="110"/>
            </w:tcMar>
          </w:tcPr>
          <w:p>
            <w:pPr>
              <w:spacing w:after="0"/>
            </w:pPr>
            <w:r>
              <w:rPr>
                <w:b/>
                <w:bCs/>
              </w:rPr>
              <w:t xml:space="preserve">The inadmissibility consequence is often more damaging than the penalty</w:t>
            </w:r>
          </w:p>
        </w:tc>
      </w:tr>
      <w:tr>
        <w:trPr>
          <w:cantSplit/>
          <w:tblHeader w:val="false"/>
        </w:trPr>
        <w:tc>
          <w:tcPr>
            <w:tcMar>
              <w:top w:type="dxa" w:w="70"/>
              <w:left w:type="dxa" w:w="110"/>
              <w:bottom w:type="dxa" w:w="70"/>
              <w:right w:type="dxa" w:w="110"/>
            </w:tcMar>
          </w:tcPr>
          <w:p>
            <w:pPr>
              <w:spacing w:after="0"/>
            </w:pPr>
            <w:r>
              <w:t xml:space="preserve">Trade licence absence</w:t>
            </w:r>
          </w:p>
        </w:tc>
        <w:tc>
          <w:tcPr>
            <w:tcMar>
              <w:top w:type="dxa" w:w="70"/>
              <w:left w:type="dxa" w:w="110"/>
              <w:bottom w:type="dxa" w:w="70"/>
              <w:right w:type="dxa" w:w="110"/>
            </w:tcMar>
          </w:tcPr>
          <w:p>
            <w:pPr>
              <w:spacing w:after="0"/>
            </w:pPr>
            <w:r>
              <w:t xml:space="preserve">Municipal sealing and daily penalty</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POSH non-constitution of IC</w:t>
            </w:r>
          </w:p>
        </w:tc>
        <w:tc>
          <w:tcPr>
            <w:tcMar>
              <w:top w:type="dxa" w:w="70"/>
              <w:left w:type="dxa" w:w="110"/>
              <w:bottom w:type="dxa" w:w="70"/>
              <w:right w:type="dxa" w:w="110"/>
            </w:tcMar>
          </w:tcPr>
          <w:p>
            <w:pPr>
              <w:spacing w:after="0"/>
            </w:pPr>
            <w:r>
              <w:t xml:space="preserve">Penalty and, on repetition, cancellation of licence/registration</w:t>
            </w:r>
          </w:p>
        </w:tc>
        <w:tc>
          <w:tcPr>
            <w:tcMar>
              <w:top w:type="dxa" w:w="70"/>
              <w:left w:type="dxa" w:w="110"/>
              <w:bottom w:type="dxa" w:w="70"/>
              <w:right w:type="dxa" w:w="110"/>
            </w:tcMar>
          </w:tcPr>
          <w:p>
            <w:pPr>
              <w:spacing w:after="0"/>
            </w:pPr>
          </w:p>
        </w:tc>
      </w:tr>
      <w:tr>
        <w:trPr>
          <w:cantSplit/>
          <w:tblHeader w:val="false"/>
        </w:trPr>
        <w:tc>
          <w:tcPr>
            <w:tcMar>
              <w:top w:type="dxa" w:w="70"/>
              <w:left w:type="dxa" w:w="110"/>
              <w:bottom w:type="dxa" w:w="70"/>
              <w:right w:type="dxa" w:w="110"/>
            </w:tcMar>
          </w:tcPr>
          <w:p>
            <w:pPr>
              <w:spacing w:after="0"/>
            </w:pPr>
            <w:r>
              <w:t xml:space="preserve">Company law</w:t>
            </w:r>
          </w:p>
        </w:tc>
        <w:tc>
          <w:tcPr>
            <w:tcMar>
              <w:top w:type="dxa" w:w="70"/>
              <w:left w:type="dxa" w:w="110"/>
              <w:bottom w:type="dxa" w:w="70"/>
              <w:right w:type="dxa" w:w="110"/>
            </w:tcMar>
          </w:tcPr>
          <w:p>
            <w:pPr>
              <w:spacing w:after="0"/>
            </w:pPr>
            <w:r>
              <w:t xml:space="preserve">Penalties on the company and on officers in default; disqualification of directors</w:t>
            </w:r>
          </w:p>
        </w:tc>
        <w:tc>
          <w:tcPr>
            <w:tcMar>
              <w:top w:type="dxa" w:w="70"/>
              <w:left w:type="dxa" w:w="110"/>
              <w:bottom w:type="dxa" w:w="70"/>
              <w:right w:type="dxa" w:w="110"/>
            </w:tcMar>
          </w:tcPr>
          <w:p>
            <w:pPr>
              <w:spacing w:after="0"/>
            </w:pPr>
          </w:p>
        </w:tc>
      </w:tr>
    </w:tbl>
    <w:p>
      <w:pPr>
        <w:spacing w:after="40"/>
      </w:pPr>
    </w:p>
    <w:p>
      <w:r>
        <w:rPr>
          <w:b/>
          <w:bCs/>
        </w:rPr>
        <w:t xml:space="preserve">Two exposures deserve emphasis because they are chronically underestimated:</w:t>
      </w:r>
    </w:p>
    <w:p>
      <w:pPr>
        <w:pStyle w:val="ListParagraph"/>
        <w:numPr>
          <w:ilvl w:val="0"/>
          <w:numId w:val="8"/>
        </w:numPr>
        <w:spacing w:after="60"/>
      </w:pPr>
      <w:r>
        <w:rPr>
          <w:b/>
          <w:bCs/>
        </w:rPr>
        <w:t xml:space="preserve">Stamp duty deficiency</w:t>
      </w:r>
      <w:r>
        <w:t xml:space="preserve"> renders the instrument inadmissible in evidence. A business can lose a contractual dispute not on the merits but because its own agreement was insufficiently stamped under the relevant state’s schedule — and the applicable schedule is the one where the instrument was executed or first received.</w:t>
      </w:r>
    </w:p>
    <w:p>
      <w:pPr>
        <w:pStyle w:val="ListParagraph"/>
        <w:numPr>
          <w:ilvl w:val="0"/>
          <w:numId w:val="8"/>
        </w:numPr>
        <w:spacing w:after="60"/>
      </w:pPr>
      <w:r>
        <w:rPr>
          <w:b/>
          <w:bCs/>
        </w:rPr>
        <w:t xml:space="preserve">Environmental compensation</w:t>
      </w:r>
      <w:r>
        <w:t xml:space="preserve"> under NGT jurisprudence is assessed on a polluter-pays basis, uncapped by the statutory penalty ceiling, and has in several cases exceeded the value of the underlying project.</w:t>
      </w:r>
    </w:p>
    <w:p>
      <w:pPr>
        <w:pStyle w:val="Heading1"/>
        <w:keepNext/>
        <w:keepLines/>
        <w:pBdr>
          <w:bottom w:val="single" w:color="2157CF" w:sz="8" w:space="3"/>
        </w:pBdr>
      </w:pPr>
      <w:r>
        <w:t xml:space="preserve">14. Common Failure Points in Multi-State Compliance</w:t>
      </w:r>
    </w:p>
    <w:p>
      <w:pPr>
        <w:pStyle w:val="ListParagraph"/>
        <w:numPr>
          <w:ilvl w:val="0"/>
          <w:numId w:val="9"/>
        </w:numPr>
        <w:spacing w:after="60"/>
      </w:pPr>
      <w:r>
        <w:rPr>
          <w:b/>
          <w:bCs/>
        </w:rPr>
        <w:t xml:space="preserve">Assuming a central Act means uniform compliance.</w:t>
      </w:r>
      <w:r>
        <w:t xml:space="preserve"> The Factories Act, Legal Metrology Act, Environment Protection Act and FSSAI all have central text and 36 different administrative regimes.</w:t>
      </w:r>
    </w:p>
    <w:p>
      <w:pPr>
        <w:pStyle w:val="ListParagraph"/>
        <w:numPr>
          <w:ilvl w:val="0"/>
          <w:numId w:val="9"/>
        </w:numPr>
        <w:spacing w:after="60"/>
      </w:pPr>
      <w:r>
        <w:rPr>
          <w:b/>
          <w:bCs/>
        </w:rPr>
        <w:t xml:space="preserve">Missing professional tax in a newly entered state</w:t>
      </w:r>
      <w:r>
        <w:t xml:space="preserve">, particularly the distinction between PTEC and PTRC, and the fact that in Tamil Nadu, Kerala, Gujarat and Puducherry the obligation runs to each municipality separately rather than to the state.</w:t>
      </w:r>
    </w:p>
    <w:p>
      <w:pPr>
        <w:pStyle w:val="ListParagraph"/>
        <w:numPr>
          <w:ilvl w:val="0"/>
          <w:numId w:val="9"/>
        </w:numPr>
        <w:spacing w:after="60"/>
      </w:pPr>
      <w:r>
        <w:rPr>
          <w:b/>
          <w:bCs/>
        </w:rPr>
        <w:t xml:space="preserve">Missing the Labour Welfare Fund deadline.</w:t>
      </w:r>
      <w:r>
        <w:t xml:space="preserve"> The amounts are trivial and the deadlines are unmemorable, which is exactly why they are missed.</w:t>
      </w:r>
    </w:p>
    <w:p>
      <w:pPr>
        <w:pStyle w:val="ListParagraph"/>
        <w:numPr>
          <w:ilvl w:val="0"/>
          <w:numId w:val="9"/>
        </w:numPr>
        <w:spacing w:after="60"/>
      </w:pPr>
      <w:r>
        <w:rPr>
          <w:b/>
          <w:bCs/>
        </w:rPr>
        <w:t xml:space="preserve">Failing to track twice-yearly minimum wage revisions</w:t>
      </w:r>
      <w:r>
        <w:t xml:space="preserve"> per state, per scheduled employment, per zone, per skill level. This is the highest-volume and most-missed obligation in Indian labour compliance.</w:t>
      </w:r>
    </w:p>
    <w:p>
      <w:pPr>
        <w:pStyle w:val="ListParagraph"/>
        <w:numPr>
          <w:ilvl w:val="0"/>
          <w:numId w:val="9"/>
        </w:numPr>
        <w:spacing w:after="60"/>
      </w:pPr>
      <w:r>
        <w:rPr>
          <w:b/>
          <w:bCs/>
        </w:rPr>
        <w:t xml:space="preserve">Applying the wrong Shops Act threshold.</w:t>
      </w:r>
      <w:r>
        <w:t xml:space="preserve"> Assuming Maharashtra’s 10-worker rule applies elsewhere leads to unregistered small offices in every other state.</w:t>
      </w:r>
    </w:p>
    <w:p>
      <w:pPr>
        <w:pStyle w:val="ListParagraph"/>
        <w:numPr>
          <w:ilvl w:val="0"/>
          <w:numId w:val="9"/>
        </w:numPr>
        <w:spacing w:after="60"/>
      </w:pPr>
      <w:r>
        <w:rPr>
          <w:b/>
          <w:bCs/>
        </w:rPr>
        <w:t xml:space="preserve">Treating the labour codes as already in force.</w:t>
      </w:r>
      <w:r>
        <w:t xml:space="preserve"> Until the operating state notifies its rules, the old Acts govern — and a national employer may be under different regimes in different states simultaneously.</w:t>
      </w:r>
    </w:p>
    <w:p>
      <w:pPr>
        <w:pStyle w:val="ListParagraph"/>
        <w:numPr>
          <w:ilvl w:val="0"/>
          <w:numId w:val="9"/>
        </w:numPr>
        <w:spacing w:after="60"/>
      </w:pPr>
      <w:r>
        <w:rPr>
          <w:b/>
          <w:bCs/>
        </w:rPr>
        <w:t xml:space="preserve">Under-stamping agreements</w:t>
      </w:r>
      <w:r>
        <w:t xml:space="preserve"> by applying the stamp schedule of the head-office state to an instrument executed elsewhere.</w:t>
      </w:r>
    </w:p>
    <w:p>
      <w:pPr>
        <w:pStyle w:val="ListParagraph"/>
        <w:numPr>
          <w:ilvl w:val="0"/>
          <w:numId w:val="9"/>
        </w:numPr>
        <w:spacing w:after="60"/>
      </w:pPr>
      <w:r>
        <w:rPr>
          <w:b/>
          <w:bCs/>
        </w:rPr>
        <w:t xml:space="preserve">Overlooking local body approvals.</w:t>
      </w:r>
      <w:r>
        <w:t xml:space="preserve"> Trade licence, signage permission, and property tax sit with the municipality and are invisible to state single-window portals.</w:t>
      </w:r>
    </w:p>
    <w:p>
      <w:pPr>
        <w:pStyle w:val="ListParagraph"/>
        <w:numPr>
          <w:ilvl w:val="0"/>
          <w:numId w:val="9"/>
        </w:numPr>
        <w:spacing w:after="60"/>
      </w:pPr>
      <w:r>
        <w:rPr>
          <w:b/>
          <w:bCs/>
        </w:rPr>
        <w:t xml:space="preserve">Ignoring Fifth and Sixth Schedule and Article 371 constraints</w:t>
      </w:r>
      <w:r>
        <w:t xml:space="preserve"> when planning land acquisition in Scheduled Areas or the North-East, where Gram Sabha or District Council consent is not a formality but a legal precondition.</w:t>
      </w:r>
    </w:p>
    <w:p>
      <w:pPr>
        <w:pStyle w:val="ListParagraph"/>
        <w:numPr>
          <w:ilvl w:val="0"/>
          <w:numId w:val="9"/>
        </w:numPr>
        <w:spacing w:after="60"/>
      </w:pPr>
      <w:r>
        <w:rPr>
          <w:b/>
          <w:bCs/>
        </w:rPr>
        <w:t xml:space="preserve">Allowing Consent to Operate to lapse.</w:t>
      </w:r>
      <w:r>
        <w:t xml:space="preserve"> Validity differs by category and state, and operating on a lapsed consent is treated as operating without consent.</w:t>
      </w:r>
    </w:p>
    <w:p>
      <w:pPr>
        <w:pStyle w:val="ListParagraph"/>
        <w:numPr>
          <w:ilvl w:val="0"/>
          <w:numId w:val="9"/>
        </w:numPr>
        <w:spacing w:after="60"/>
      </w:pPr>
      <w:r>
        <w:rPr>
          <w:b/>
          <w:bCs/>
        </w:rPr>
        <w:t xml:space="preserve">Missing NCR-specific restrictions.</w:t>
      </w:r>
      <w:r>
        <w:t xml:space="preserve"> A construction schedule in Gurugram or Noida that ignores GRAP is a schedule that will slip.</w:t>
      </w:r>
    </w:p>
    <w:p>
      <w:pPr>
        <w:pStyle w:val="ListParagraph"/>
        <w:numPr>
          <w:ilvl w:val="0"/>
          <w:numId w:val="9"/>
        </w:numPr>
        <w:spacing w:after="60"/>
      </w:pPr>
      <w:r>
        <w:rPr>
          <w:b/>
          <w:bCs/>
        </w:rPr>
        <w:t xml:space="preserve">Assuming advance rulings are portable.</w:t>
      </w:r>
      <w:r>
        <w:t xml:space="preserve"> An AAR ruling binds only the applicant and the jurisdictional officer in that state; contradictory rulings between states on identical facts are common.</w:t>
      </w:r>
    </w:p>
    <w:p>
      <w:pPr>
        <w:pStyle w:val="Heading1"/>
        <w:keepNext/>
        <w:keepLines/>
        <w:pBdr>
          <w:bottom w:val="single" w:color="2157CF" w:sz="8" w:space="3"/>
        </w:pBdr>
      </w:pPr>
      <w:r>
        <w:t xml:space="preserve">15. Glossary of Authorities and Abbreviations</w:t>
      </w:r>
    </w:p>
    <w:tbl>
      <w:tblPr>
        <w:tblW w:type="pct" w:w="100%"/>
        <w:tblBorders>
          <w:top w:val="single" w:color="2157CF" w:sz="8"/>
          <w:left w:val="none"/>
          <w:bottom w:val="single" w:color="2157CF" w:sz="8"/>
          <w:right w:val="none"/>
          <w:insideH w:val="single" w:color="DFE2E7" w:sz="4"/>
          <w:insideV w:val="none"/>
        </w:tblBorders>
        <w:tblLayout w:type="fixed"/>
      </w:tblPr>
      <w:tblGrid>
        <w:gridCol w:w="100"/>
        <w:gridCol w:w="100"/>
      </w:tblGrid>
      <w:tr>
        <w:trPr>
          <w:cantSplit/>
          <w:tblHeader/>
        </w:trPr>
        <w:tc>
          <w:tcPr>
            <w:shd w:fill="F0F4FE"/>
            <w:tcMar>
              <w:top w:type="dxa" w:w="70"/>
              <w:left w:type="dxa" w:w="110"/>
              <w:bottom w:type="dxa" w:w="70"/>
              <w:right w:type="dxa" w:w="110"/>
            </w:tcMar>
          </w:tcPr>
          <w:p>
            <w:pPr>
              <w:spacing w:after="0"/>
            </w:pPr>
            <w:r>
              <w:rPr>
                <w:b/>
                <w:bCs/>
                <w:color w:val="112D6A"/>
              </w:rPr>
              <w:t xml:space="preserve">Term</w:t>
            </w:r>
          </w:p>
        </w:tc>
        <w:tc>
          <w:tcPr>
            <w:shd w:fill="F0F4FE"/>
            <w:tcMar>
              <w:top w:type="dxa" w:w="70"/>
              <w:left w:type="dxa" w:w="110"/>
              <w:bottom w:type="dxa" w:w="70"/>
              <w:right w:type="dxa" w:w="110"/>
            </w:tcMar>
          </w:tcPr>
          <w:p>
            <w:pPr>
              <w:spacing w:after="0"/>
            </w:pPr>
            <w:r>
              <w:rPr>
                <w:b/>
                <w:bCs/>
                <w:color w:val="112D6A"/>
              </w:rPr>
              <w:t xml:space="preserve">Full Form / Meaning</w:t>
            </w:r>
          </w:p>
        </w:tc>
      </w:tr>
      <w:tr>
        <w:trPr>
          <w:cantSplit/>
          <w:tblHeader w:val="false"/>
        </w:trPr>
        <w:tc>
          <w:tcPr>
            <w:tcMar>
              <w:top w:type="dxa" w:w="70"/>
              <w:left w:type="dxa" w:w="110"/>
              <w:bottom w:type="dxa" w:w="70"/>
              <w:right w:type="dxa" w:w="110"/>
            </w:tcMar>
          </w:tcPr>
          <w:p>
            <w:pPr>
              <w:spacing w:after="0"/>
            </w:pPr>
            <w:r>
              <w:t xml:space="preserve">AAR / AAAR</w:t>
            </w:r>
          </w:p>
        </w:tc>
        <w:tc>
          <w:tcPr>
            <w:tcMar>
              <w:top w:type="dxa" w:w="70"/>
              <w:left w:type="dxa" w:w="110"/>
              <w:bottom w:type="dxa" w:w="70"/>
              <w:right w:type="dxa" w:w="110"/>
            </w:tcMar>
          </w:tcPr>
          <w:p>
            <w:pPr>
              <w:spacing w:after="0"/>
            </w:pPr>
            <w:r>
              <w:t xml:space="preserve">Authority / Appellate Authority for Advance Ruling (GST) — constituted state-wise</w:t>
            </w:r>
          </w:p>
        </w:tc>
      </w:tr>
      <w:tr>
        <w:trPr>
          <w:cantSplit/>
          <w:tblHeader w:val="false"/>
        </w:trPr>
        <w:tc>
          <w:tcPr>
            <w:tcMar>
              <w:top w:type="dxa" w:w="70"/>
              <w:left w:type="dxa" w:w="110"/>
              <w:bottom w:type="dxa" w:w="70"/>
              <w:right w:type="dxa" w:w="110"/>
            </w:tcMar>
          </w:tcPr>
          <w:p>
            <w:pPr>
              <w:spacing w:after="0"/>
            </w:pPr>
            <w:r>
              <w:t xml:space="preserve">BOCW</w:t>
            </w:r>
          </w:p>
        </w:tc>
        <w:tc>
          <w:tcPr>
            <w:tcMar>
              <w:top w:type="dxa" w:w="70"/>
              <w:left w:type="dxa" w:w="110"/>
              <w:bottom w:type="dxa" w:w="70"/>
              <w:right w:type="dxa" w:w="110"/>
            </w:tcMar>
          </w:tcPr>
          <w:p>
            <w:pPr>
              <w:spacing w:after="0"/>
            </w:pPr>
            <w:r>
              <w:t xml:space="preserve">Building &amp; Other Construction Workers (welfare cess and board)</w:t>
            </w:r>
          </w:p>
        </w:tc>
      </w:tr>
      <w:tr>
        <w:trPr>
          <w:cantSplit/>
          <w:tblHeader w:val="false"/>
        </w:trPr>
        <w:tc>
          <w:tcPr>
            <w:tcMar>
              <w:top w:type="dxa" w:w="70"/>
              <w:left w:type="dxa" w:w="110"/>
              <w:bottom w:type="dxa" w:w="70"/>
              <w:right w:type="dxa" w:w="110"/>
            </w:tcMar>
          </w:tcPr>
          <w:p>
            <w:pPr>
              <w:spacing w:after="0"/>
            </w:pPr>
            <w:r>
              <w:t xml:space="preserve">BRAP</w:t>
            </w:r>
          </w:p>
        </w:tc>
        <w:tc>
          <w:tcPr>
            <w:tcMar>
              <w:top w:type="dxa" w:w="70"/>
              <w:left w:type="dxa" w:w="110"/>
              <w:bottom w:type="dxa" w:w="70"/>
              <w:right w:type="dxa" w:w="110"/>
            </w:tcMar>
          </w:tcPr>
          <w:p>
            <w:pPr>
              <w:spacing w:after="0"/>
            </w:pPr>
            <w:r>
              <w:t xml:space="preserve">Business Reform Action Plan (DPIIT state ranking)</w:t>
            </w:r>
          </w:p>
        </w:tc>
      </w:tr>
      <w:tr>
        <w:trPr>
          <w:cantSplit/>
          <w:tblHeader w:val="false"/>
        </w:trPr>
        <w:tc>
          <w:tcPr>
            <w:tcMar>
              <w:top w:type="dxa" w:w="70"/>
              <w:left w:type="dxa" w:w="110"/>
              <w:bottom w:type="dxa" w:w="70"/>
              <w:right w:type="dxa" w:w="110"/>
            </w:tcMar>
          </w:tcPr>
          <w:p>
            <w:pPr>
              <w:spacing w:after="0"/>
            </w:pPr>
            <w:r>
              <w:t xml:space="preserve">CAQM</w:t>
            </w:r>
          </w:p>
        </w:tc>
        <w:tc>
          <w:tcPr>
            <w:tcMar>
              <w:top w:type="dxa" w:w="70"/>
              <w:left w:type="dxa" w:w="110"/>
              <w:bottom w:type="dxa" w:w="70"/>
              <w:right w:type="dxa" w:w="110"/>
            </w:tcMar>
          </w:tcPr>
          <w:p>
            <w:pPr>
              <w:spacing w:after="0"/>
            </w:pPr>
            <w:r>
              <w:t xml:space="preserve">Commission for Air Quality Management in NCR and Adjoining Areas</w:t>
            </w:r>
          </w:p>
        </w:tc>
      </w:tr>
      <w:tr>
        <w:trPr>
          <w:cantSplit/>
          <w:tblHeader w:val="false"/>
        </w:trPr>
        <w:tc>
          <w:tcPr>
            <w:tcMar>
              <w:top w:type="dxa" w:w="70"/>
              <w:left w:type="dxa" w:w="110"/>
              <w:bottom w:type="dxa" w:w="70"/>
              <w:right w:type="dxa" w:w="110"/>
            </w:tcMar>
          </w:tcPr>
          <w:p>
            <w:pPr>
              <w:spacing w:after="0"/>
            </w:pPr>
            <w:r>
              <w:t xml:space="preserve">CBWTF</w:t>
            </w:r>
          </w:p>
        </w:tc>
        <w:tc>
          <w:tcPr>
            <w:tcMar>
              <w:top w:type="dxa" w:w="70"/>
              <w:left w:type="dxa" w:w="110"/>
              <w:bottom w:type="dxa" w:w="70"/>
              <w:right w:type="dxa" w:w="110"/>
            </w:tcMar>
          </w:tcPr>
          <w:p>
            <w:pPr>
              <w:spacing w:after="0"/>
            </w:pPr>
            <w:r>
              <w:t xml:space="preserve">Common Bio-Medical Waste Treatment Facility</w:t>
            </w:r>
          </w:p>
        </w:tc>
      </w:tr>
      <w:tr>
        <w:trPr>
          <w:cantSplit/>
          <w:tblHeader w:val="false"/>
        </w:trPr>
        <w:tc>
          <w:tcPr>
            <w:tcMar>
              <w:top w:type="dxa" w:w="70"/>
              <w:left w:type="dxa" w:w="110"/>
              <w:bottom w:type="dxa" w:w="70"/>
              <w:right w:type="dxa" w:w="110"/>
            </w:tcMar>
          </w:tcPr>
          <w:p>
            <w:pPr>
              <w:spacing w:after="0"/>
            </w:pPr>
            <w:r>
              <w:t xml:space="preserve">CDSCO</w:t>
            </w:r>
          </w:p>
        </w:tc>
        <w:tc>
          <w:tcPr>
            <w:tcMar>
              <w:top w:type="dxa" w:w="70"/>
              <w:left w:type="dxa" w:w="110"/>
              <w:bottom w:type="dxa" w:w="70"/>
              <w:right w:type="dxa" w:w="110"/>
            </w:tcMar>
          </w:tcPr>
          <w:p>
            <w:pPr>
              <w:spacing w:after="0"/>
            </w:pPr>
            <w:r>
              <w:t xml:space="preserve">Central Drugs Standard Control Organisation</w:t>
            </w:r>
          </w:p>
        </w:tc>
      </w:tr>
      <w:tr>
        <w:trPr>
          <w:cantSplit/>
          <w:tblHeader w:val="false"/>
        </w:trPr>
        <w:tc>
          <w:tcPr>
            <w:tcMar>
              <w:top w:type="dxa" w:w="70"/>
              <w:left w:type="dxa" w:w="110"/>
              <w:bottom w:type="dxa" w:w="70"/>
              <w:right w:type="dxa" w:w="110"/>
            </w:tcMar>
          </w:tcPr>
          <w:p>
            <w:pPr>
              <w:spacing w:after="0"/>
            </w:pPr>
            <w:r>
              <w:t xml:space="preserve">CGWA</w:t>
            </w:r>
          </w:p>
        </w:tc>
        <w:tc>
          <w:tcPr>
            <w:tcMar>
              <w:top w:type="dxa" w:w="70"/>
              <w:left w:type="dxa" w:w="110"/>
              <w:bottom w:type="dxa" w:w="70"/>
              <w:right w:type="dxa" w:w="110"/>
            </w:tcMar>
          </w:tcPr>
          <w:p>
            <w:pPr>
              <w:spacing w:after="0"/>
            </w:pPr>
            <w:r>
              <w:t xml:space="preserve">Central Ground Water Authority</w:t>
            </w:r>
          </w:p>
        </w:tc>
      </w:tr>
      <w:tr>
        <w:trPr>
          <w:cantSplit/>
          <w:tblHeader w:val="false"/>
        </w:trPr>
        <w:tc>
          <w:tcPr>
            <w:tcMar>
              <w:top w:type="dxa" w:w="70"/>
              <w:left w:type="dxa" w:w="110"/>
              <w:bottom w:type="dxa" w:w="70"/>
              <w:right w:type="dxa" w:w="110"/>
            </w:tcMar>
          </w:tcPr>
          <w:p>
            <w:pPr>
              <w:spacing w:after="0"/>
            </w:pPr>
            <w:r>
              <w:t xml:space="preserve">CPCB</w:t>
            </w:r>
          </w:p>
        </w:tc>
        <w:tc>
          <w:tcPr>
            <w:tcMar>
              <w:top w:type="dxa" w:w="70"/>
              <w:left w:type="dxa" w:w="110"/>
              <w:bottom w:type="dxa" w:w="70"/>
              <w:right w:type="dxa" w:w="110"/>
            </w:tcMar>
          </w:tcPr>
          <w:p>
            <w:pPr>
              <w:spacing w:after="0"/>
            </w:pPr>
            <w:r>
              <w:t xml:space="preserve">Central Pollution Control Board</w:t>
            </w:r>
          </w:p>
        </w:tc>
      </w:tr>
      <w:tr>
        <w:trPr>
          <w:cantSplit/>
          <w:tblHeader w:val="false"/>
        </w:trPr>
        <w:tc>
          <w:tcPr>
            <w:tcMar>
              <w:top w:type="dxa" w:w="70"/>
              <w:left w:type="dxa" w:w="110"/>
              <w:bottom w:type="dxa" w:w="70"/>
              <w:right w:type="dxa" w:w="110"/>
            </w:tcMar>
          </w:tcPr>
          <w:p>
            <w:pPr>
              <w:spacing w:after="0"/>
            </w:pPr>
            <w:r>
              <w:t xml:space="preserve">CRZ</w:t>
            </w:r>
          </w:p>
        </w:tc>
        <w:tc>
          <w:tcPr>
            <w:tcMar>
              <w:top w:type="dxa" w:w="70"/>
              <w:left w:type="dxa" w:w="110"/>
              <w:bottom w:type="dxa" w:w="70"/>
              <w:right w:type="dxa" w:w="110"/>
            </w:tcMar>
          </w:tcPr>
          <w:p>
            <w:pPr>
              <w:spacing w:after="0"/>
            </w:pPr>
            <w:r>
              <w:t xml:space="preserve">Coastal Regulation Zone</w:t>
            </w:r>
          </w:p>
        </w:tc>
      </w:tr>
      <w:tr>
        <w:trPr>
          <w:cantSplit/>
          <w:tblHeader w:val="false"/>
        </w:trPr>
        <w:tc>
          <w:tcPr>
            <w:tcMar>
              <w:top w:type="dxa" w:w="70"/>
              <w:left w:type="dxa" w:w="110"/>
              <w:bottom w:type="dxa" w:w="70"/>
              <w:right w:type="dxa" w:w="110"/>
            </w:tcMar>
          </w:tcPr>
          <w:p>
            <w:pPr>
              <w:spacing w:after="0"/>
            </w:pPr>
            <w:r>
              <w:t xml:space="preserve">CTE / CTO</w:t>
            </w:r>
          </w:p>
        </w:tc>
        <w:tc>
          <w:tcPr>
            <w:tcMar>
              <w:top w:type="dxa" w:w="70"/>
              <w:left w:type="dxa" w:w="110"/>
              <w:bottom w:type="dxa" w:w="70"/>
              <w:right w:type="dxa" w:w="110"/>
            </w:tcMar>
          </w:tcPr>
          <w:p>
            <w:pPr>
              <w:spacing w:after="0"/>
            </w:pPr>
            <w:r>
              <w:t xml:space="preserve">Consent to Establish / Consent to Operate</w:t>
            </w:r>
          </w:p>
        </w:tc>
      </w:tr>
      <w:tr>
        <w:trPr>
          <w:cantSplit/>
          <w:tblHeader w:val="false"/>
        </w:trPr>
        <w:tc>
          <w:tcPr>
            <w:tcMar>
              <w:top w:type="dxa" w:w="70"/>
              <w:left w:type="dxa" w:w="110"/>
              <w:bottom w:type="dxa" w:w="70"/>
              <w:right w:type="dxa" w:w="110"/>
            </w:tcMar>
          </w:tcPr>
          <w:p>
            <w:pPr>
              <w:spacing w:after="0"/>
            </w:pPr>
            <w:r>
              <w:t xml:space="preserve">DGFT</w:t>
            </w:r>
          </w:p>
        </w:tc>
        <w:tc>
          <w:tcPr>
            <w:tcMar>
              <w:top w:type="dxa" w:w="70"/>
              <w:left w:type="dxa" w:w="110"/>
              <w:bottom w:type="dxa" w:w="70"/>
              <w:right w:type="dxa" w:w="110"/>
            </w:tcMar>
          </w:tcPr>
          <w:p>
            <w:pPr>
              <w:spacing w:after="0"/>
            </w:pPr>
            <w:r>
              <w:t xml:space="preserve">Directorate General of Foreign Trade</w:t>
            </w:r>
          </w:p>
        </w:tc>
      </w:tr>
      <w:tr>
        <w:trPr>
          <w:cantSplit/>
          <w:tblHeader w:val="false"/>
        </w:trPr>
        <w:tc>
          <w:tcPr>
            <w:tcMar>
              <w:top w:type="dxa" w:w="70"/>
              <w:left w:type="dxa" w:w="110"/>
              <w:bottom w:type="dxa" w:w="70"/>
              <w:right w:type="dxa" w:w="110"/>
            </w:tcMar>
          </w:tcPr>
          <w:p>
            <w:pPr>
              <w:spacing w:after="0"/>
            </w:pPr>
            <w:r>
              <w:t xml:space="preserve">DISH</w:t>
            </w:r>
          </w:p>
        </w:tc>
        <w:tc>
          <w:tcPr>
            <w:tcMar>
              <w:top w:type="dxa" w:w="70"/>
              <w:left w:type="dxa" w:w="110"/>
              <w:bottom w:type="dxa" w:w="70"/>
              <w:right w:type="dxa" w:w="110"/>
            </w:tcMar>
          </w:tcPr>
          <w:p>
            <w:pPr>
              <w:spacing w:after="0"/>
            </w:pPr>
            <w:r>
              <w:t xml:space="preserve">Directorate of Industrial Safety and Health (state factories inspectorate)</w:t>
            </w:r>
          </w:p>
        </w:tc>
      </w:tr>
      <w:tr>
        <w:trPr>
          <w:cantSplit/>
          <w:tblHeader w:val="false"/>
        </w:trPr>
        <w:tc>
          <w:tcPr>
            <w:tcMar>
              <w:top w:type="dxa" w:w="70"/>
              <w:left w:type="dxa" w:w="110"/>
              <w:bottom w:type="dxa" w:w="70"/>
              <w:right w:type="dxa" w:w="110"/>
            </w:tcMar>
          </w:tcPr>
          <w:p>
            <w:pPr>
              <w:spacing w:after="0"/>
            </w:pPr>
            <w:r>
              <w:t xml:space="preserve">DPIIT</w:t>
            </w:r>
          </w:p>
        </w:tc>
        <w:tc>
          <w:tcPr>
            <w:tcMar>
              <w:top w:type="dxa" w:w="70"/>
              <w:left w:type="dxa" w:w="110"/>
              <w:bottom w:type="dxa" w:w="70"/>
              <w:right w:type="dxa" w:w="110"/>
            </w:tcMar>
          </w:tcPr>
          <w:p>
            <w:pPr>
              <w:spacing w:after="0"/>
            </w:pPr>
            <w:r>
              <w:t xml:space="preserve">Department for Promotion of Industry and Internal Trade</w:t>
            </w:r>
          </w:p>
        </w:tc>
      </w:tr>
      <w:tr>
        <w:trPr>
          <w:cantSplit/>
          <w:tblHeader w:val="false"/>
        </w:trPr>
        <w:tc>
          <w:tcPr>
            <w:tcMar>
              <w:top w:type="dxa" w:w="70"/>
              <w:left w:type="dxa" w:w="110"/>
              <w:bottom w:type="dxa" w:w="70"/>
              <w:right w:type="dxa" w:w="110"/>
            </w:tcMar>
          </w:tcPr>
          <w:p>
            <w:pPr>
              <w:spacing w:after="0"/>
            </w:pPr>
            <w:r>
              <w:t xml:space="preserve">EIA</w:t>
            </w:r>
          </w:p>
        </w:tc>
        <w:tc>
          <w:tcPr>
            <w:tcMar>
              <w:top w:type="dxa" w:w="70"/>
              <w:left w:type="dxa" w:w="110"/>
              <w:bottom w:type="dxa" w:w="70"/>
              <w:right w:type="dxa" w:w="110"/>
            </w:tcMar>
          </w:tcPr>
          <w:p>
            <w:pPr>
              <w:spacing w:after="0"/>
            </w:pPr>
            <w:r>
              <w:t xml:space="preserve">Environmental Impact Assessment</w:t>
            </w:r>
          </w:p>
        </w:tc>
      </w:tr>
      <w:tr>
        <w:trPr>
          <w:cantSplit/>
          <w:tblHeader w:val="false"/>
        </w:trPr>
        <w:tc>
          <w:tcPr>
            <w:tcMar>
              <w:top w:type="dxa" w:w="70"/>
              <w:left w:type="dxa" w:w="110"/>
              <w:bottom w:type="dxa" w:w="70"/>
              <w:right w:type="dxa" w:w="110"/>
            </w:tcMar>
          </w:tcPr>
          <w:p>
            <w:pPr>
              <w:spacing w:after="0"/>
            </w:pPr>
            <w:r>
              <w:t xml:space="preserve">EPR</w:t>
            </w:r>
          </w:p>
        </w:tc>
        <w:tc>
          <w:tcPr>
            <w:tcMar>
              <w:top w:type="dxa" w:w="70"/>
              <w:left w:type="dxa" w:w="110"/>
              <w:bottom w:type="dxa" w:w="70"/>
              <w:right w:type="dxa" w:w="110"/>
            </w:tcMar>
          </w:tcPr>
          <w:p>
            <w:pPr>
              <w:spacing w:after="0"/>
            </w:pPr>
            <w:r>
              <w:t xml:space="preserve">Extended Producer Responsibility</w:t>
            </w:r>
          </w:p>
        </w:tc>
      </w:tr>
      <w:tr>
        <w:trPr>
          <w:cantSplit/>
          <w:tblHeader w:val="false"/>
        </w:trPr>
        <w:tc>
          <w:tcPr>
            <w:tcMar>
              <w:top w:type="dxa" w:w="70"/>
              <w:left w:type="dxa" w:w="110"/>
              <w:bottom w:type="dxa" w:w="70"/>
              <w:right w:type="dxa" w:w="110"/>
            </w:tcMar>
          </w:tcPr>
          <w:p>
            <w:pPr>
              <w:spacing w:after="0"/>
            </w:pPr>
            <w:r>
              <w:t xml:space="preserve">ESZ</w:t>
            </w:r>
          </w:p>
        </w:tc>
        <w:tc>
          <w:tcPr>
            <w:tcMar>
              <w:top w:type="dxa" w:w="70"/>
              <w:left w:type="dxa" w:w="110"/>
              <w:bottom w:type="dxa" w:w="70"/>
              <w:right w:type="dxa" w:w="110"/>
            </w:tcMar>
          </w:tcPr>
          <w:p>
            <w:pPr>
              <w:spacing w:after="0"/>
            </w:pPr>
            <w:r>
              <w:t xml:space="preserve">Eco-Sensitive Zone</w:t>
            </w:r>
          </w:p>
        </w:tc>
      </w:tr>
      <w:tr>
        <w:trPr>
          <w:cantSplit/>
          <w:tblHeader w:val="false"/>
        </w:trPr>
        <w:tc>
          <w:tcPr>
            <w:tcMar>
              <w:top w:type="dxa" w:w="70"/>
              <w:left w:type="dxa" w:w="110"/>
              <w:bottom w:type="dxa" w:w="70"/>
              <w:right w:type="dxa" w:w="110"/>
            </w:tcMar>
          </w:tcPr>
          <w:p>
            <w:pPr>
              <w:spacing w:after="0"/>
            </w:pPr>
            <w:r>
              <w:t xml:space="preserve">FSI / FAR</w:t>
            </w:r>
          </w:p>
        </w:tc>
        <w:tc>
          <w:tcPr>
            <w:tcMar>
              <w:top w:type="dxa" w:w="70"/>
              <w:left w:type="dxa" w:w="110"/>
              <w:bottom w:type="dxa" w:w="70"/>
              <w:right w:type="dxa" w:w="110"/>
            </w:tcMar>
          </w:tcPr>
          <w:p>
            <w:pPr>
              <w:spacing w:after="0"/>
            </w:pPr>
            <w:r>
              <w:t xml:space="preserve">Floor Space Index / Floor Area Ratio</w:t>
            </w:r>
          </w:p>
        </w:tc>
      </w:tr>
      <w:tr>
        <w:trPr>
          <w:cantSplit/>
          <w:tblHeader w:val="false"/>
        </w:trPr>
        <w:tc>
          <w:tcPr>
            <w:tcMar>
              <w:top w:type="dxa" w:w="70"/>
              <w:left w:type="dxa" w:w="110"/>
              <w:bottom w:type="dxa" w:w="70"/>
              <w:right w:type="dxa" w:w="110"/>
            </w:tcMar>
          </w:tcPr>
          <w:p>
            <w:pPr>
              <w:spacing w:after="0"/>
            </w:pPr>
            <w:r>
              <w:t xml:space="preserve">GRAP</w:t>
            </w:r>
          </w:p>
        </w:tc>
        <w:tc>
          <w:tcPr>
            <w:tcMar>
              <w:top w:type="dxa" w:w="70"/>
              <w:left w:type="dxa" w:w="110"/>
              <w:bottom w:type="dxa" w:w="70"/>
              <w:right w:type="dxa" w:w="110"/>
            </w:tcMar>
          </w:tcPr>
          <w:p>
            <w:pPr>
              <w:spacing w:after="0"/>
            </w:pPr>
            <w:r>
              <w:t xml:space="preserve">Graded Response Action Plan (NCR air quality)</w:t>
            </w:r>
          </w:p>
        </w:tc>
      </w:tr>
      <w:tr>
        <w:trPr>
          <w:cantSplit/>
          <w:tblHeader w:val="false"/>
        </w:trPr>
        <w:tc>
          <w:tcPr>
            <w:tcMar>
              <w:top w:type="dxa" w:w="70"/>
              <w:left w:type="dxa" w:w="110"/>
              <w:bottom w:type="dxa" w:w="70"/>
              <w:right w:type="dxa" w:w="110"/>
            </w:tcMar>
          </w:tcPr>
          <w:p>
            <w:pPr>
              <w:spacing w:after="0"/>
            </w:pPr>
            <w:r>
              <w:t xml:space="preserve">IFSCA</w:t>
            </w:r>
          </w:p>
        </w:tc>
        <w:tc>
          <w:tcPr>
            <w:tcMar>
              <w:top w:type="dxa" w:w="70"/>
              <w:left w:type="dxa" w:w="110"/>
              <w:bottom w:type="dxa" w:w="70"/>
              <w:right w:type="dxa" w:w="110"/>
            </w:tcMar>
          </w:tcPr>
          <w:p>
            <w:pPr>
              <w:spacing w:after="0"/>
            </w:pPr>
            <w:r>
              <w:t xml:space="preserve">International Financial Services Centres Authority (GIFT City)</w:t>
            </w:r>
          </w:p>
        </w:tc>
      </w:tr>
      <w:tr>
        <w:trPr>
          <w:cantSplit/>
          <w:tblHeader w:val="false"/>
        </w:trPr>
        <w:tc>
          <w:tcPr>
            <w:tcMar>
              <w:top w:type="dxa" w:w="70"/>
              <w:left w:type="dxa" w:w="110"/>
              <w:bottom w:type="dxa" w:w="70"/>
              <w:right w:type="dxa" w:w="110"/>
            </w:tcMar>
          </w:tcPr>
          <w:p>
            <w:pPr>
              <w:spacing w:after="0"/>
            </w:pPr>
            <w:r>
              <w:t xml:space="preserve">ILP</w:t>
            </w:r>
          </w:p>
        </w:tc>
        <w:tc>
          <w:tcPr>
            <w:tcMar>
              <w:top w:type="dxa" w:w="70"/>
              <w:left w:type="dxa" w:w="110"/>
              <w:bottom w:type="dxa" w:w="70"/>
              <w:right w:type="dxa" w:w="110"/>
            </w:tcMar>
          </w:tcPr>
          <w:p>
            <w:pPr>
              <w:spacing w:after="0"/>
            </w:pPr>
            <w:r>
              <w:t xml:space="preserve">Inner Line Permit</w:t>
            </w:r>
          </w:p>
        </w:tc>
      </w:tr>
      <w:tr>
        <w:trPr>
          <w:cantSplit/>
          <w:tblHeader w:val="false"/>
        </w:trPr>
        <w:tc>
          <w:tcPr>
            <w:tcMar>
              <w:top w:type="dxa" w:w="70"/>
              <w:left w:type="dxa" w:w="110"/>
              <w:bottom w:type="dxa" w:w="70"/>
              <w:right w:type="dxa" w:w="110"/>
            </w:tcMar>
          </w:tcPr>
          <w:p>
            <w:pPr>
              <w:spacing w:after="0"/>
            </w:pPr>
            <w:r>
              <w:t xml:space="preserve">LWF</w:t>
            </w:r>
          </w:p>
        </w:tc>
        <w:tc>
          <w:tcPr>
            <w:tcMar>
              <w:top w:type="dxa" w:w="70"/>
              <w:left w:type="dxa" w:w="110"/>
              <w:bottom w:type="dxa" w:w="70"/>
              <w:right w:type="dxa" w:w="110"/>
            </w:tcMar>
          </w:tcPr>
          <w:p>
            <w:pPr>
              <w:spacing w:after="0"/>
            </w:pPr>
            <w:r>
              <w:t xml:space="preserve">Labour Welfare Fund</w:t>
            </w:r>
          </w:p>
        </w:tc>
      </w:tr>
      <w:tr>
        <w:trPr>
          <w:cantSplit/>
          <w:tblHeader w:val="false"/>
        </w:trPr>
        <w:tc>
          <w:tcPr>
            <w:tcMar>
              <w:top w:type="dxa" w:w="70"/>
              <w:left w:type="dxa" w:w="110"/>
              <w:bottom w:type="dxa" w:w="70"/>
              <w:right w:type="dxa" w:w="110"/>
            </w:tcMar>
          </w:tcPr>
          <w:p>
            <w:pPr>
              <w:spacing w:after="0"/>
            </w:pPr>
            <w:r>
              <w:t xml:space="preserve">MoEFCC</w:t>
            </w:r>
          </w:p>
        </w:tc>
        <w:tc>
          <w:tcPr>
            <w:tcMar>
              <w:top w:type="dxa" w:w="70"/>
              <w:left w:type="dxa" w:w="110"/>
              <w:bottom w:type="dxa" w:w="70"/>
              <w:right w:type="dxa" w:w="110"/>
            </w:tcMar>
          </w:tcPr>
          <w:p>
            <w:pPr>
              <w:spacing w:after="0"/>
            </w:pPr>
            <w:r>
              <w:t xml:space="preserve">Ministry of Environment, Forest &amp; Climate Change</w:t>
            </w:r>
          </w:p>
        </w:tc>
      </w:tr>
      <w:tr>
        <w:trPr>
          <w:cantSplit/>
          <w:tblHeader w:val="false"/>
        </w:trPr>
        <w:tc>
          <w:tcPr>
            <w:tcMar>
              <w:top w:type="dxa" w:w="70"/>
              <w:left w:type="dxa" w:w="110"/>
              <w:bottom w:type="dxa" w:w="70"/>
              <w:right w:type="dxa" w:w="110"/>
            </w:tcMar>
          </w:tcPr>
          <w:p>
            <w:pPr>
              <w:spacing w:after="0"/>
            </w:pPr>
            <w:r>
              <w:t xml:space="preserve">MSIHC</w:t>
            </w:r>
          </w:p>
        </w:tc>
        <w:tc>
          <w:tcPr>
            <w:tcMar>
              <w:top w:type="dxa" w:w="70"/>
              <w:left w:type="dxa" w:w="110"/>
              <w:bottom w:type="dxa" w:w="70"/>
              <w:right w:type="dxa" w:w="110"/>
            </w:tcMar>
          </w:tcPr>
          <w:p>
            <w:pPr>
              <w:spacing w:after="0"/>
            </w:pPr>
            <w:r>
              <w:t xml:space="preserve">Manufacture, Storage and Import of Hazardous Chemicals Rules</w:t>
            </w:r>
          </w:p>
        </w:tc>
      </w:tr>
      <w:tr>
        <w:trPr>
          <w:cantSplit/>
          <w:tblHeader w:val="false"/>
        </w:trPr>
        <w:tc>
          <w:tcPr>
            <w:tcMar>
              <w:top w:type="dxa" w:w="70"/>
              <w:left w:type="dxa" w:w="110"/>
              <w:bottom w:type="dxa" w:w="70"/>
              <w:right w:type="dxa" w:w="110"/>
            </w:tcMar>
          </w:tcPr>
          <w:p>
            <w:pPr>
              <w:spacing w:after="0"/>
            </w:pPr>
            <w:r>
              <w:t xml:space="preserve">NBC</w:t>
            </w:r>
          </w:p>
        </w:tc>
        <w:tc>
          <w:tcPr>
            <w:tcMar>
              <w:top w:type="dxa" w:w="70"/>
              <w:left w:type="dxa" w:w="110"/>
              <w:bottom w:type="dxa" w:w="70"/>
              <w:right w:type="dxa" w:w="110"/>
            </w:tcMar>
          </w:tcPr>
          <w:p>
            <w:pPr>
              <w:spacing w:after="0"/>
            </w:pPr>
            <w:r>
              <w:t xml:space="preserve">National Building Code</w:t>
            </w:r>
          </w:p>
        </w:tc>
      </w:tr>
      <w:tr>
        <w:trPr>
          <w:cantSplit/>
          <w:tblHeader w:val="false"/>
        </w:trPr>
        <w:tc>
          <w:tcPr>
            <w:tcMar>
              <w:top w:type="dxa" w:w="70"/>
              <w:left w:type="dxa" w:w="110"/>
              <w:bottom w:type="dxa" w:w="70"/>
              <w:right w:type="dxa" w:w="110"/>
            </w:tcMar>
          </w:tcPr>
          <w:p>
            <w:pPr>
              <w:spacing w:after="0"/>
            </w:pPr>
            <w:r>
              <w:t xml:space="preserve">NGT</w:t>
            </w:r>
          </w:p>
        </w:tc>
        <w:tc>
          <w:tcPr>
            <w:tcMar>
              <w:top w:type="dxa" w:w="70"/>
              <w:left w:type="dxa" w:w="110"/>
              <w:bottom w:type="dxa" w:w="70"/>
              <w:right w:type="dxa" w:w="110"/>
            </w:tcMar>
          </w:tcPr>
          <w:p>
            <w:pPr>
              <w:spacing w:after="0"/>
            </w:pPr>
            <w:r>
              <w:t xml:space="preserve">National Green Tribunal</w:t>
            </w:r>
          </w:p>
        </w:tc>
      </w:tr>
      <w:tr>
        <w:trPr>
          <w:cantSplit/>
          <w:tblHeader w:val="false"/>
        </w:trPr>
        <w:tc>
          <w:tcPr>
            <w:tcMar>
              <w:top w:type="dxa" w:w="70"/>
              <w:left w:type="dxa" w:w="110"/>
              <w:bottom w:type="dxa" w:w="70"/>
              <w:right w:type="dxa" w:w="110"/>
            </w:tcMar>
          </w:tcPr>
          <w:p>
            <w:pPr>
              <w:spacing w:after="0"/>
            </w:pPr>
            <w:r>
              <w:t xml:space="preserve">NSWS</w:t>
            </w:r>
          </w:p>
        </w:tc>
        <w:tc>
          <w:tcPr>
            <w:tcMar>
              <w:top w:type="dxa" w:w="70"/>
              <w:left w:type="dxa" w:w="110"/>
              <w:bottom w:type="dxa" w:w="70"/>
              <w:right w:type="dxa" w:w="110"/>
            </w:tcMar>
          </w:tcPr>
          <w:p>
            <w:pPr>
              <w:spacing w:after="0"/>
            </w:pPr>
            <w:r>
              <w:t xml:space="preserve">National Single Window System</w:t>
            </w:r>
          </w:p>
        </w:tc>
      </w:tr>
      <w:tr>
        <w:trPr>
          <w:cantSplit/>
          <w:tblHeader w:val="false"/>
        </w:trPr>
        <w:tc>
          <w:tcPr>
            <w:tcMar>
              <w:top w:type="dxa" w:w="70"/>
              <w:left w:type="dxa" w:w="110"/>
              <w:bottom w:type="dxa" w:w="70"/>
              <w:right w:type="dxa" w:w="110"/>
            </w:tcMar>
          </w:tcPr>
          <w:p>
            <w:pPr>
              <w:spacing w:after="0"/>
            </w:pPr>
            <w:r>
              <w:t xml:space="preserve">OSH Code</w:t>
            </w:r>
          </w:p>
        </w:tc>
        <w:tc>
          <w:tcPr>
            <w:tcMar>
              <w:top w:type="dxa" w:w="70"/>
              <w:left w:type="dxa" w:w="110"/>
              <w:bottom w:type="dxa" w:w="70"/>
              <w:right w:type="dxa" w:w="110"/>
            </w:tcMar>
          </w:tcPr>
          <w:p>
            <w:pPr>
              <w:spacing w:after="0"/>
            </w:pPr>
            <w:r>
              <w:t xml:space="preserve">Occupational Safety, Health &amp; Working Conditions Code, 2020</w:t>
            </w:r>
          </w:p>
        </w:tc>
      </w:tr>
      <w:tr>
        <w:trPr>
          <w:cantSplit/>
          <w:tblHeader w:val="false"/>
        </w:trPr>
        <w:tc>
          <w:tcPr>
            <w:tcMar>
              <w:top w:type="dxa" w:w="70"/>
              <w:left w:type="dxa" w:w="110"/>
              <w:bottom w:type="dxa" w:w="70"/>
              <w:right w:type="dxa" w:w="110"/>
            </w:tcMar>
          </w:tcPr>
          <w:p>
            <w:pPr>
              <w:spacing w:after="0"/>
            </w:pPr>
            <w:r>
              <w:t xml:space="preserve">PESA</w:t>
            </w:r>
          </w:p>
        </w:tc>
        <w:tc>
          <w:tcPr>
            <w:tcMar>
              <w:top w:type="dxa" w:w="70"/>
              <w:left w:type="dxa" w:w="110"/>
              <w:bottom w:type="dxa" w:w="70"/>
              <w:right w:type="dxa" w:w="110"/>
            </w:tcMar>
          </w:tcPr>
          <w:p>
            <w:pPr>
              <w:spacing w:after="0"/>
            </w:pPr>
            <w:r>
              <w:t xml:space="preserve">Panchayats (Extension to Scheduled Areas) Act, 1996</w:t>
            </w:r>
          </w:p>
        </w:tc>
      </w:tr>
      <w:tr>
        <w:trPr>
          <w:cantSplit/>
          <w:tblHeader w:val="false"/>
        </w:trPr>
        <w:tc>
          <w:tcPr>
            <w:tcMar>
              <w:top w:type="dxa" w:w="70"/>
              <w:left w:type="dxa" w:w="110"/>
              <w:bottom w:type="dxa" w:w="70"/>
              <w:right w:type="dxa" w:w="110"/>
            </w:tcMar>
          </w:tcPr>
          <w:p>
            <w:pPr>
              <w:spacing w:after="0"/>
            </w:pPr>
            <w:r>
              <w:t xml:space="preserve">POSH</w:t>
            </w:r>
          </w:p>
        </w:tc>
        <w:tc>
          <w:tcPr>
            <w:tcMar>
              <w:top w:type="dxa" w:w="70"/>
              <w:left w:type="dxa" w:w="110"/>
              <w:bottom w:type="dxa" w:w="70"/>
              <w:right w:type="dxa" w:w="110"/>
            </w:tcMar>
          </w:tcPr>
          <w:p>
            <w:pPr>
              <w:spacing w:after="0"/>
            </w:pPr>
            <w:r>
              <w:t xml:space="preserve">Prevention of Sexual Harassment (at Workplace) Act, 2013</w:t>
            </w:r>
          </w:p>
        </w:tc>
      </w:tr>
      <w:tr>
        <w:trPr>
          <w:cantSplit/>
          <w:tblHeader w:val="false"/>
        </w:trPr>
        <w:tc>
          <w:tcPr>
            <w:tcMar>
              <w:top w:type="dxa" w:w="70"/>
              <w:left w:type="dxa" w:w="110"/>
              <w:bottom w:type="dxa" w:w="70"/>
              <w:right w:type="dxa" w:w="110"/>
            </w:tcMar>
          </w:tcPr>
          <w:p>
            <w:pPr>
              <w:spacing w:after="0"/>
            </w:pPr>
            <w:r>
              <w:t xml:space="preserve">PTEC / PTRC</w:t>
            </w:r>
          </w:p>
        </w:tc>
        <w:tc>
          <w:tcPr>
            <w:tcMar>
              <w:top w:type="dxa" w:w="70"/>
              <w:left w:type="dxa" w:w="110"/>
              <w:bottom w:type="dxa" w:w="70"/>
              <w:right w:type="dxa" w:w="110"/>
            </w:tcMar>
          </w:tcPr>
          <w:p>
            <w:pPr>
              <w:spacing w:after="0"/>
            </w:pPr>
            <w:r>
              <w:t xml:space="preserve">Professional Tax Enrolment / Registration Certificate</w:t>
            </w:r>
          </w:p>
        </w:tc>
      </w:tr>
      <w:tr>
        <w:trPr>
          <w:cantSplit/>
          <w:tblHeader w:val="false"/>
        </w:trPr>
        <w:tc>
          <w:tcPr>
            <w:tcMar>
              <w:top w:type="dxa" w:w="70"/>
              <w:left w:type="dxa" w:w="110"/>
              <w:bottom w:type="dxa" w:w="70"/>
              <w:right w:type="dxa" w:w="110"/>
            </w:tcMar>
          </w:tcPr>
          <w:p>
            <w:pPr>
              <w:spacing w:after="0"/>
            </w:pPr>
            <w:r>
              <w:t xml:space="preserve">RERA</w:t>
            </w:r>
          </w:p>
        </w:tc>
        <w:tc>
          <w:tcPr>
            <w:tcMar>
              <w:top w:type="dxa" w:w="70"/>
              <w:left w:type="dxa" w:w="110"/>
              <w:bottom w:type="dxa" w:w="70"/>
              <w:right w:type="dxa" w:w="110"/>
            </w:tcMar>
          </w:tcPr>
          <w:p>
            <w:pPr>
              <w:spacing w:after="0"/>
            </w:pPr>
            <w:r>
              <w:t xml:space="preserve">Real Estate (Regulation and Development) Act — state authorities</w:t>
            </w:r>
          </w:p>
        </w:tc>
      </w:tr>
      <w:tr>
        <w:trPr>
          <w:cantSplit/>
          <w:tblHeader w:val="false"/>
        </w:trPr>
        <w:tc>
          <w:tcPr>
            <w:tcMar>
              <w:top w:type="dxa" w:w="70"/>
              <w:left w:type="dxa" w:w="110"/>
              <w:bottom w:type="dxa" w:w="70"/>
              <w:right w:type="dxa" w:w="110"/>
            </w:tcMar>
          </w:tcPr>
          <w:p>
            <w:pPr>
              <w:spacing w:after="0"/>
            </w:pPr>
            <w:r>
              <w:t xml:space="preserve">RoC</w:t>
            </w:r>
          </w:p>
        </w:tc>
        <w:tc>
          <w:tcPr>
            <w:tcMar>
              <w:top w:type="dxa" w:w="70"/>
              <w:left w:type="dxa" w:w="110"/>
              <w:bottom w:type="dxa" w:w="70"/>
              <w:right w:type="dxa" w:w="110"/>
            </w:tcMar>
          </w:tcPr>
          <w:p>
            <w:pPr>
              <w:spacing w:after="0"/>
            </w:pPr>
            <w:r>
              <w:t xml:space="preserve">Registrar of Companies</w:t>
            </w:r>
          </w:p>
        </w:tc>
      </w:tr>
      <w:tr>
        <w:trPr>
          <w:cantSplit/>
          <w:tblHeader w:val="false"/>
        </w:trPr>
        <w:tc>
          <w:tcPr>
            <w:tcMar>
              <w:top w:type="dxa" w:w="70"/>
              <w:left w:type="dxa" w:w="110"/>
              <w:bottom w:type="dxa" w:w="70"/>
              <w:right w:type="dxa" w:w="110"/>
            </w:tcMar>
          </w:tcPr>
          <w:p>
            <w:pPr>
              <w:spacing w:after="0"/>
            </w:pPr>
            <w:r>
              <w:t xml:space="preserve">SEIAA</w:t>
            </w:r>
          </w:p>
        </w:tc>
        <w:tc>
          <w:tcPr>
            <w:tcMar>
              <w:top w:type="dxa" w:w="70"/>
              <w:left w:type="dxa" w:w="110"/>
              <w:bottom w:type="dxa" w:w="70"/>
              <w:right w:type="dxa" w:w="110"/>
            </w:tcMar>
          </w:tcPr>
          <w:p>
            <w:pPr>
              <w:spacing w:after="0"/>
            </w:pPr>
            <w:r>
              <w:t xml:space="preserve">State Environment Impact Assessment Authority</w:t>
            </w:r>
          </w:p>
        </w:tc>
      </w:tr>
      <w:tr>
        <w:trPr>
          <w:cantSplit/>
          <w:tblHeader w:val="false"/>
        </w:trPr>
        <w:tc>
          <w:tcPr>
            <w:tcMar>
              <w:top w:type="dxa" w:w="70"/>
              <w:left w:type="dxa" w:w="110"/>
              <w:bottom w:type="dxa" w:w="70"/>
              <w:right w:type="dxa" w:w="110"/>
            </w:tcMar>
          </w:tcPr>
          <w:p>
            <w:pPr>
              <w:spacing w:after="0"/>
            </w:pPr>
            <w:r>
              <w:t xml:space="preserve">SERC</w:t>
            </w:r>
          </w:p>
        </w:tc>
        <w:tc>
          <w:tcPr>
            <w:tcMar>
              <w:top w:type="dxa" w:w="70"/>
              <w:left w:type="dxa" w:w="110"/>
              <w:bottom w:type="dxa" w:w="70"/>
              <w:right w:type="dxa" w:w="110"/>
            </w:tcMar>
          </w:tcPr>
          <w:p>
            <w:pPr>
              <w:spacing w:after="0"/>
            </w:pPr>
            <w:r>
              <w:t xml:space="preserve">State Electricity Regulatory Commission</w:t>
            </w:r>
          </w:p>
        </w:tc>
      </w:tr>
      <w:tr>
        <w:trPr>
          <w:cantSplit/>
          <w:tblHeader w:val="false"/>
        </w:trPr>
        <w:tc>
          <w:tcPr>
            <w:tcMar>
              <w:top w:type="dxa" w:w="70"/>
              <w:left w:type="dxa" w:w="110"/>
              <w:bottom w:type="dxa" w:w="70"/>
              <w:right w:type="dxa" w:w="110"/>
            </w:tcMar>
          </w:tcPr>
          <w:p>
            <w:pPr>
              <w:spacing w:after="0"/>
            </w:pPr>
            <w:r>
              <w:t xml:space="preserve">SPCB</w:t>
            </w:r>
          </w:p>
        </w:tc>
        <w:tc>
          <w:tcPr>
            <w:tcMar>
              <w:top w:type="dxa" w:w="70"/>
              <w:left w:type="dxa" w:w="110"/>
              <w:bottom w:type="dxa" w:w="70"/>
              <w:right w:type="dxa" w:w="110"/>
            </w:tcMar>
          </w:tcPr>
          <w:p>
            <w:pPr>
              <w:spacing w:after="0"/>
            </w:pPr>
            <w:r>
              <w:t xml:space="preserve">State Pollution Control Board</w:t>
            </w:r>
          </w:p>
        </w:tc>
      </w:tr>
      <w:tr>
        <w:trPr>
          <w:cantSplit/>
          <w:tblHeader w:val="false"/>
        </w:trPr>
        <w:tc>
          <w:tcPr>
            <w:tcMar>
              <w:top w:type="dxa" w:w="70"/>
              <w:left w:type="dxa" w:w="110"/>
              <w:bottom w:type="dxa" w:w="70"/>
              <w:right w:type="dxa" w:w="110"/>
            </w:tcMar>
          </w:tcPr>
          <w:p>
            <w:pPr>
              <w:spacing w:after="0"/>
            </w:pPr>
            <w:r>
              <w:t xml:space="preserve">TSDF</w:t>
            </w:r>
          </w:p>
        </w:tc>
        <w:tc>
          <w:tcPr>
            <w:tcMar>
              <w:top w:type="dxa" w:w="70"/>
              <w:left w:type="dxa" w:w="110"/>
              <w:bottom w:type="dxa" w:w="70"/>
              <w:right w:type="dxa" w:w="110"/>
            </w:tcMar>
          </w:tcPr>
          <w:p>
            <w:pPr>
              <w:spacing w:after="0"/>
            </w:pPr>
            <w:r>
              <w:t xml:space="preserve">Treatment, Storage and Disposal Facility (hazardous waste)</w:t>
            </w:r>
          </w:p>
        </w:tc>
      </w:tr>
      <w:tr>
        <w:trPr>
          <w:cantSplit/>
          <w:tblHeader w:val="false"/>
        </w:trPr>
        <w:tc>
          <w:tcPr>
            <w:tcMar>
              <w:top w:type="dxa" w:w="70"/>
              <w:left w:type="dxa" w:w="110"/>
              <w:bottom w:type="dxa" w:w="70"/>
              <w:right w:type="dxa" w:w="110"/>
            </w:tcMar>
          </w:tcPr>
          <w:p>
            <w:pPr>
              <w:spacing w:after="0"/>
            </w:pPr>
            <w:r>
              <w:t xml:space="preserve">UDCPR</w:t>
            </w:r>
          </w:p>
        </w:tc>
        <w:tc>
          <w:tcPr>
            <w:tcMar>
              <w:top w:type="dxa" w:w="70"/>
              <w:left w:type="dxa" w:w="110"/>
              <w:bottom w:type="dxa" w:w="70"/>
              <w:right w:type="dxa" w:w="110"/>
            </w:tcMar>
          </w:tcPr>
          <w:p>
            <w:pPr>
              <w:spacing w:after="0"/>
            </w:pPr>
            <w:r>
              <w:t xml:space="preserve">Unified Development Control and Promotion Regulations (Maharashtra)</w:t>
            </w:r>
          </w:p>
        </w:tc>
      </w:tr>
      <w:tr>
        <w:trPr>
          <w:cantSplit/>
          <w:tblHeader w:val="false"/>
        </w:trPr>
        <w:tc>
          <w:tcPr>
            <w:tcMar>
              <w:top w:type="dxa" w:w="70"/>
              <w:left w:type="dxa" w:w="110"/>
              <w:bottom w:type="dxa" w:w="70"/>
              <w:right w:type="dxa" w:w="110"/>
            </w:tcMar>
          </w:tcPr>
          <w:p>
            <w:pPr>
              <w:spacing w:after="0"/>
            </w:pPr>
            <w:r>
              <w:t xml:space="preserve">ULB</w:t>
            </w:r>
          </w:p>
        </w:tc>
        <w:tc>
          <w:tcPr>
            <w:tcMar>
              <w:top w:type="dxa" w:w="70"/>
              <w:left w:type="dxa" w:w="110"/>
              <w:bottom w:type="dxa" w:w="70"/>
              <w:right w:type="dxa" w:w="110"/>
            </w:tcMar>
          </w:tcPr>
          <w:p>
            <w:pPr>
              <w:spacing w:after="0"/>
            </w:pPr>
            <w:r>
              <w:t xml:space="preserve">Urban Local Body</w:t>
            </w:r>
          </w:p>
        </w:tc>
      </w:tr>
      <w:tr>
        <w:trPr>
          <w:cantSplit/>
          <w:tblHeader w:val="false"/>
        </w:trPr>
        <w:tc>
          <w:tcPr>
            <w:tcMar>
              <w:top w:type="dxa" w:w="70"/>
              <w:left w:type="dxa" w:w="110"/>
              <w:bottom w:type="dxa" w:w="70"/>
              <w:right w:type="dxa" w:w="110"/>
            </w:tcMar>
          </w:tcPr>
          <w:p>
            <w:pPr>
              <w:spacing w:after="0"/>
            </w:pPr>
            <w:r>
              <w:t xml:space="preserve">UTGST</w:t>
            </w:r>
          </w:p>
        </w:tc>
        <w:tc>
          <w:tcPr>
            <w:tcMar>
              <w:top w:type="dxa" w:w="70"/>
              <w:left w:type="dxa" w:w="110"/>
              <w:bottom w:type="dxa" w:w="70"/>
              <w:right w:type="dxa" w:w="110"/>
            </w:tcMar>
          </w:tcPr>
          <w:p>
            <w:pPr>
              <w:spacing w:after="0"/>
            </w:pPr>
            <w:r>
              <w:t xml:space="preserve">Union Territory Goods and Services Tax</w:t>
            </w:r>
          </w:p>
        </w:tc>
      </w:tr>
      <w:tr>
        <w:trPr>
          <w:cantSplit/>
          <w:tblHeader w:val="false"/>
        </w:trPr>
        <w:tc>
          <w:tcPr>
            <w:tcMar>
              <w:top w:type="dxa" w:w="70"/>
              <w:left w:type="dxa" w:w="110"/>
              <w:bottom w:type="dxa" w:w="70"/>
              <w:right w:type="dxa" w:w="110"/>
            </w:tcMar>
          </w:tcPr>
          <w:p>
            <w:pPr>
              <w:spacing w:after="0"/>
            </w:pPr>
            <w:r>
              <w:t xml:space="preserve">VDA</w:t>
            </w:r>
          </w:p>
        </w:tc>
        <w:tc>
          <w:tcPr>
            <w:tcMar>
              <w:top w:type="dxa" w:w="70"/>
              <w:left w:type="dxa" w:w="110"/>
              <w:bottom w:type="dxa" w:w="70"/>
              <w:right w:type="dxa" w:w="110"/>
            </w:tcMar>
          </w:tcPr>
          <w:p>
            <w:pPr>
              <w:spacing w:after="0"/>
            </w:pPr>
            <w:r>
              <w:t xml:space="preserve">Variable Dearness Allowance (minimum wage indexation)</w:t>
            </w:r>
          </w:p>
        </w:tc>
      </w:tr>
    </w:tbl>
    <w:p>
      <w:pPr>
        <w:spacing w:after="40"/>
      </w:pPr>
    </w:p>
    <w:p>
      <w:pPr>
        <w:pStyle w:val="Heading1"/>
        <w:keepNext/>
        <w:keepLines/>
        <w:pBdr>
          <w:bottom w:val="single" w:color="2157CF" w:sz="8" w:space="3"/>
        </w:pBdr>
      </w:pPr>
      <w:r>
        <w:t xml:space="preserve">16. Closing Summary</w:t>
      </w:r>
    </w:p>
    <w:p>
      <w:r>
        <w:rPr>
          <w:b/>
          <w:bCs/>
        </w:rPr>
        <w:t xml:space="preserve">Uniform nationwide:</w:t>
      </w:r>
      <w:r>
        <w:t xml:space="preserve"> company and LLP incorporation, PAN/TAN/DIN, Udyam registration, IEC, income tax, customs, GST rate structure and return forms, EPF, ESI contribution rates, gratuity, maternity benefit, POSH, the text of the four labour codes, FSSAI standards, and the framework of the Factories, Legal Metrology and Environment Protection Acts.</w:t>
      </w:r>
    </w:p>
    <w:p>
      <w:r>
        <w:rPr>
          <w:b/>
          <w:bCs/>
        </w:rPr>
        <w:t xml:space="preserve">Central law, state administration — identical statute, different experience:</w:t>
      </w:r>
      <w:r>
        <w:t xml:space="preserve"> Factories Act licensing, Consent to Establish and Operate, FSSAI state licences, drug licences, legal metrology verification, BOCW cess, contract labour licensing, and the labour codes pending state rules.</w:t>
      </w:r>
    </w:p>
    <w:p>
      <w:r>
        <w:rPr>
          <w:b/>
          <w:bCs/>
        </w:rPr>
        <w:t xml:space="preserve">Purely state or local — different law, authority, rate and process everywhere:</w:t>
      </w:r>
      <w:r>
        <w:t xml:space="preserve"> professional tax, stamp duty and registration fees, shops and establishments, labour welfare fund, minimum wages, land revenue and conversion, land ceiling and tenancy, building approval, trade licence, property tax, fire NOC, electricity duty, motor vehicle tax, and excise.</w:t>
      </w:r>
    </w:p>
    <w:p>
      <w:r>
        <w:rPr>
          <w:b/>
          <w:bCs/>
        </w:rPr>
        <w:t xml:space="preserve">Constitutionally distinct regimes that override the ordinary framework:</w:t>
      </w:r>
      <w:r>
        <w:t xml:space="preserve"> Articles 371A, 371F, 371G and 371H; the Fifth and Sixth Schedules; PESA; the Inner Line Permit system; and the post-2019 frameworks in Jammu &amp; Kashmir and Ladakh.</w:t>
      </w:r>
    </w:p>
    <w:p>
      <w:r>
        <w:t xml:space="preserve">The operative conclusion is that a pan-India business must maintain </w:t>
      </w:r>
      <w:r>
        <w:rPr>
          <w:b/>
          <w:bCs/>
        </w:rPr>
        <w:t xml:space="preserve">two registers of obligation</w:t>
      </w:r>
      <w:r>
        <w:t xml:space="preserve"> — one central checklist that genuinely applies everywhere, and a separate, independently maintained checklist for every state, union territory and municipality in which it operates. The central register is stable and well documented. The state register is neither: it changes by notification, is published in the state’s official gazette and often in the state language, and has no single national repository. That asymmetry — not the volume of law — is what makes multi-state compliance in India structurally difficult, and it is why compliance cost rises disproportionately rather than linearly with each new state of operation.</w:t>
      </w:r>
    </w:p>
    <w:p>
      <w:r>
        <w:rPr>
          <w:b/>
          <w:bCs/>
          <w:i/>
          <w:iCs/>
        </w:rPr>
        <w:t xml:space="preserve">Note:</w:t>
      </w:r>
      <w:r>
        <w:t xml:space="preserve"> </w:t>
      </w:r>
      <w:r>
        <w:rPr>
          <w:i/>
          <w:iCs/>
        </w:rPr>
        <w:t xml:space="preserve">Rates, thresholds, portal names, statutory citations and applicability positions in this document are revised periodically by state notification and were compiled as a general academic snapshot as of August 2026. Many figures are indicative ranges rather than exact current rates, and several positions — particularly professional tax applicability, labour welfare fund operation, stamp duty percentages, GST registration thresholds for special category states, and the status of state labour code rules — have changed more than once in recent years and may have changed again. This document is prepared for academic reference and comparative study. Before relying on any figure, threshold or applicability statement for an actual transaction, filing, or business decision, verify the current position with the respective state department, the official state gazette, or a qualified professional.</w:t>
      </w:r>
    </w:p>
    <w:sectPr>
      <w:headerReference w:type="default" r:id="rId7"/>
      <w:footerReference w:type="default" r:id="rId8"/>
      <w:type w:val="nextPage"/>
      <w:pgSz w:w="11905" w:h="16837" w:orient="portrait"/>
      <w:pgMar w:top="1247" w:right="1133" w:bottom="1360" w:left="1133" w:header="68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ocForge Sans">
    <w:charset w:val="00"/>
    <w:family w:val="swiss"/>
    <w:pitch w:val="variable"/>
    <w:sig w:usb0="E0002AFF" w:usb1="C000247B" w:usb2="00000009" w:usb3="00000000" w:csb0="000001FF" w:csb1="00000000"/>
    <w:embedRegular r:id="rId1" w:fontKey="{ec20d713-812e-b34f-ce3d-8faceaef8ccc}"/>
    <w:embedBold r:id="rId2" w:fontKey="{f874c6c3-989a-c5c0-2b74-43883b553d09}"/>
    <w:embedItalic r:id="rId3" w:fontKey="{f3666f95-4e99-7d94-12bf-81ed02737d8b}"/>
    <w:embedBoldItalic r:id="rId4" w:fontKey="{6759fb9d-ebad-aafc-824d-c30c09d9161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798A"/>
        <w:sz w:val="16"/>
        <w:szCs w:val="16"/>
      </w:rPr>
      <w:t xml:space="preserve">Page </w:t>
    </w:r>
    <w:r>
      <w:rPr>
        <w:color w:val="71798A"/>
        <w:sz w:val="16"/>
        <w:szCs w:val="16"/>
      </w:rPr>
      <w:fldChar w:fldCharType="begin"/>
      <w:instrText xml:space="preserve">PAGE</w:instrText>
      <w:fldChar w:fldCharType="separate"/>
      <w:fldChar w:fldCharType="end"/>
    </w:r>
    <w:r>
      <w:rPr>
        <w:color w:val="71798A"/>
        <w:sz w:val="16"/>
        <w:szCs w:val="16"/>
      </w:rPr>
      <w:t xml:space="preserve"> of </w:t>
    </w:r>
    <w:r>
      <w:rPr>
        <w:color w:val="71798A"/>
        <w:sz w:val="16"/>
        <w:szCs w:val="16"/>
      </w:rPr>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DFHeader"/>
      <w:tabs>
        <w:tab w:val="right" w:pos="9637"/>
      </w:tabs>
    </w:pPr>
    <w:r>
      <w:rPr>
        <w:spacing w:val="26"/>
      </w:rPr>
      <w:t xml:space="preserve">GAWK</w:t>
    </w:r>
    <w:r>
      <w:tab/>
    </w:r>
    <w:fldSimple w:instr="STYLEREF 1 \* MERGEFORMA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20"/>
      </w:pPr>
    </w:lvl>
    <w:lvl w:ilvl="1" w15:tentative="1">
      <w:start w:val="1"/>
      <w:numFmt w:val="lowerLetter"/>
      <w:lvlText w:val="%2."/>
      <w:lvlJc w:val="start"/>
      <w:pPr>
        <w:ind w:left="1120" w:hanging="320"/>
      </w:pPr>
    </w:lvl>
    <w:lvl w:ilvl="2" w15:tentative="1">
      <w:start w:val="1"/>
      <w:numFmt w:val="lowerRoman"/>
      <w:lvlText w:val="%3."/>
      <w:lvlJc w:val="start"/>
      <w:pPr>
        <w:ind w:left="1620" w:hanging="32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ocForge Sans" w:cs="DocForge Sans" w:eastAsia="DocForge Sans" w:hAnsi="DocForge Sans"/>
        <w:color w:val="1C2128"/>
        <w:sz w:val="22"/>
        <w:szCs w:val="22"/>
        <w:lang w:val="en-GB"/>
      </w:rPr>
    </w:rPrDefault>
    <w:pPrDefault>
      <w:pPr>
        <w:spacing w:after="175" w:line="350"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75" w:before="263"/>
    </w:pPr>
    <w:rPr>
      <w:rFonts w:ascii="DocForge Sans" w:cs="DocForge Sans" w:eastAsia="DocForge Sans" w:hAnsi="DocForge Sans"/>
      <w:b/>
      <w:bCs/>
      <w:color w:val="12161C"/>
      <w:sz w:val="41"/>
      <w:szCs w:val="41"/>
    </w:rPr>
  </w:style>
  <w:style w:type="paragraph" w:styleId="Heading2">
    <w:name w:val="Heading 2"/>
    <w:basedOn w:val="Normal"/>
    <w:next w:val="Normal"/>
    <w:qFormat/>
    <w:pPr>
      <w:spacing w:after="132" w:before="175"/>
    </w:pPr>
    <w:rPr>
      <w:rFonts w:ascii="DocForge Sans" w:cs="DocForge Sans" w:eastAsia="DocForge Sans" w:hAnsi="DocForge Sans"/>
      <w:b/>
      <w:bCs/>
      <w:color w:val="163B8D"/>
      <w:sz w:val="29"/>
      <w:szCs w:val="29"/>
    </w:rPr>
  </w:style>
  <w:style w:type="paragraph" w:styleId="Heading3">
    <w:name w:val="Heading 3"/>
    <w:basedOn w:val="Normal"/>
    <w:next w:val="Normal"/>
    <w:qFormat/>
    <w:pPr>
      <w:spacing w:after="88" w:before="87"/>
    </w:pPr>
    <w:rPr>
      <w:rFonts w:ascii="DocForge Sans" w:cs="DocForge Sans" w:eastAsia="DocForge Sans" w:hAnsi="DocForge Sans"/>
      <w:b/>
      <w:bCs/>
      <w:color w:val="12161C"/>
      <w:sz w:val="24"/>
      <w:szCs w:val="24"/>
    </w:rPr>
  </w:style>
  <w:style w:type="paragraph" w:styleId="Heading4">
    <w:name w:val="Heading 4"/>
    <w:basedOn w:val="Normal"/>
    <w:next w:val="Normal"/>
    <w:qFormat/>
    <w:pPr>
      <w:spacing w:after="88" w:before="43"/>
    </w:pPr>
    <w:rPr>
      <w:rFonts w:ascii="DocForge Sans" w:cs="DocForge Sans" w:eastAsia="DocForge Sans" w:hAnsi="DocForge Sans"/>
      <w:b/>
      <w:bCs/>
      <w:i/>
      <w:iCs/>
      <w:color w:val="333A45"/>
      <w:sz w:val="22"/>
      <w:szCs w:val="22"/>
    </w:rPr>
  </w:style>
  <w:style w:type="paragraph" w:styleId="Heading5">
    <w:name w:val="Heading 5"/>
    <w:basedOn w:val="Normal"/>
    <w:next w:val="Normal"/>
    <w:qFormat/>
    <w:pPr>
      <w:spacing w:after="70" w:before="160"/>
    </w:pPr>
    <w:rPr>
      <w:rFonts w:ascii="DocForge Sans" w:cs="DocForge Sans" w:eastAsia="DocForge Sans" w:hAnsi="DocForge Sans"/>
      <w:b/>
      <w:bCs/>
      <w:color w:val="333A45"/>
      <w:sz w:val="21"/>
      <w:szCs w:val="21"/>
    </w:rPr>
  </w:style>
  <w:style w:type="paragraph" w:styleId="Heading6">
    <w:name w:val="Heading 6"/>
    <w:basedOn w:val="Normal"/>
    <w:next w:val="Normal"/>
    <w:qFormat/>
    <w:pPr>
      <w:spacing w:after="60" w:before="140"/>
    </w:pPr>
    <w:rPr>
      <w:rFonts w:ascii="DocForge Sans" w:cs="DocForge Sans" w:eastAsia="DocForge Sans" w:hAnsi="DocForge Sans"/>
      <w:b/>
      <w:bCs/>
      <w:color w:val="4A516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B49AE"/>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FHeader">
    <w:name w:val="DocForge Header"/>
    <w:basedOn w:val="Normal"/>
    <w:qFormat w:val="false"/>
    <w:pPr>
      <w:pBdr>
        <w:bottom w:val="single" w:color="E3E6EB" w:sz="2" w:space="4"/>
      </w:pBdr>
      <w:spacing w:after="0" w:before="0" w:line="240" w:lineRule="auto"/>
    </w:pPr>
    <w:rPr>
      <w:rFonts w:ascii="DocForge Sans" w:cs="DocForge Sans" w:eastAsia="DocForge Sans" w:hAnsi="DocForge Sans"/>
      <w:color w:val="828A99"/>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gawk</dc:title>
  <dc:creator>DocForge</dc:creator>
  <cp:lastModifiedBy>DocForge</cp:lastModifiedBy>
  <cp:revision>1</cp:revision>
  <dcterms:created xsi:type="dcterms:W3CDTF">2026-08-15T16:33:51.355Z</dcterms:created>
  <dcterms:modified xsi:type="dcterms:W3CDTF">2026-08-15T16:33:51.356Z</dcterms:modified>
</cp:coreProperties>
</file>

<file path=docProps/custom.xml><?xml version="1.0" encoding="utf-8"?>
<Properties xmlns="http://schemas.openxmlformats.org/officeDocument/2006/custom-properties" xmlns:vt="http://schemas.openxmlformats.org/officeDocument/2006/docPropsVTypes"/>
</file>