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SECURE CODING GUIDE FOR BEGINNERS</w:t>
        <w:br/>
        <w:t>(OWASP TOP 10:2025)</w:t>
      </w:r>
    </w:p>
    <w:p>
      <w:pPr>
        <w:jc w:val="center"/>
      </w:pPr>
      <w:r>
        <w:t>Capstone Project 4 | Target audience: Second-year CSE students</w:t>
      </w:r>
    </w:p>
    <w:p>
      <w:r>
        <w:t>Prepared as a beginner-friendly defensive learning package. Student: ____________________   Department: CSE   Date: __________</w:t>
      </w:r>
    </w:p>
    <w:p>
      <w:pPr>
        <w:pStyle w:val="Heading1"/>
      </w:pPr>
      <w:r>
        <w:t>Abstract</w:t>
      </w:r>
    </w:p>
    <w:p>
      <w:r>
        <w:t>This project explains how AI can support beginner developers in learning secure coding without creating attack tools. It combines the OWASP Top 10:2025, primary-source verification, five before/after code examples, a practical checklist, a local defensive demo, an automated source check, a quiz, a presentation, and an AI verification log. AI is treated as a drafting assistant rather than an authority.</w:t>
      </w:r>
    </w:p>
    <w:p>
      <w:pPr>
        <w:pStyle w:val="Heading1"/>
      </w:pPr>
      <w:r>
        <w:t>1. Objectives and target audience</w:t>
      </w:r>
    </w:p>
    <w:p>
      <w:pPr>
        <w:pStyle w:val="ListBullet"/>
      </w:pPr>
      <w:r>
        <w:t>Explain the OWASP Top 10:2025 in simple language.</w:t>
      </w:r>
    </w:p>
    <w:p>
      <w:pPr>
        <w:pStyle w:val="ListBullet"/>
      </w:pPr>
      <w:r>
        <w:t>Compare insecure patterns with safer alternatives.</w:t>
      </w:r>
    </w:p>
    <w:p>
      <w:pPr>
        <w:pStyle w:val="ListBullet"/>
      </w:pPr>
      <w:r>
        <w:t>Use AI for research, explanation, checklist generation, documentation, quiz design, and presentation.</w:t>
      </w:r>
    </w:p>
    <w:p>
      <w:pPr>
        <w:pStyle w:val="ListBullet"/>
      </w:pPr>
      <w:r>
        <w:t>Verify security advice against primary documentation.</w:t>
      </w:r>
    </w:p>
    <w:p>
      <w:pPr>
        <w:pStyle w:val="ListBullet"/>
      </w:pPr>
      <w:r>
        <w:t>Demonstrate one automated defensive check without exploit code.</w:t>
      </w:r>
    </w:p>
    <w:p>
      <w:pPr>
        <w:pStyle w:val="Heading1"/>
      </w:pPr>
      <w:r>
        <w:t>2. Research summary</w:t>
      </w:r>
    </w:p>
    <w:p>
      <w:r>
        <w:t>The OWASP Top 10:2025 is the current edition identified during preparation (checked 26 October 2026). Compared with 2021, the 2025 list includes Software Supply Chain Failures and Mishandling of Exceptional Conditions, and incorporates a broader view of supply-chain risk. The Top 10 is an awareness document, not a complete application-security standard. NIST SSDF complements it with secure-development practices across the software lifecycle. MDN provides practical web security explanations, while official Java documentation supports safe database API usage.</w:t>
      </w:r>
    </w:p>
    <w:p>
      <w:pPr>
        <w:pStyle w:val="Heading2"/>
      </w:pPr>
      <w:r>
        <w:t>A01:2025 Broken Access Control</w:t>
      </w:r>
    </w:p>
    <w:p>
      <w:r>
        <w:t>A user can access data or actions they are not allowed to use.</w:t>
      </w:r>
    </w:p>
    <w:p>
      <w:pPr>
        <w:pStyle w:val="Heading2"/>
      </w:pPr>
      <w:r>
        <w:t>A02:2025 Security Misconfiguration</w:t>
      </w:r>
    </w:p>
    <w:p>
      <w:r>
        <w:t>Unsafe defaults, exposed debug pages, excess permissions, or incorrect security settings.</w:t>
      </w:r>
    </w:p>
    <w:p>
      <w:pPr>
        <w:pStyle w:val="Heading2"/>
      </w:pPr>
      <w:r>
        <w:t>A03:2025 Software Supply Chain Failures</w:t>
      </w:r>
    </w:p>
    <w:p>
      <w:r>
        <w:t>Risk from compromised or vulnerable packages, build systems, or distribution pipelines.</w:t>
      </w:r>
    </w:p>
    <w:p>
      <w:pPr>
        <w:pStyle w:val="Heading2"/>
      </w:pPr>
      <w:r>
        <w:t>A04:2025 Cryptographic Failures</w:t>
      </w:r>
    </w:p>
    <w:p>
      <w:r>
        <w:t>Sensitive data is exposed because encryption or key handling is missing or weak.</w:t>
      </w:r>
    </w:p>
    <w:p>
      <w:pPr>
        <w:pStyle w:val="Heading2"/>
      </w:pPr>
      <w:r>
        <w:t>A05:2025 Injection</w:t>
      </w:r>
    </w:p>
    <w:p>
      <w:r>
        <w:t>Untrusted input is interpreted as SQL, a command, or another executable language.</w:t>
      </w:r>
    </w:p>
    <w:p>
      <w:pPr>
        <w:pStyle w:val="Heading2"/>
      </w:pPr>
      <w:r>
        <w:t>A06:2025 Insecure Design</w:t>
      </w:r>
    </w:p>
    <w:p>
      <w:r>
        <w:t>The system lacks security requirements, threat modelling, or safe workflows.</w:t>
      </w:r>
    </w:p>
    <w:p>
      <w:pPr>
        <w:pStyle w:val="Heading2"/>
      </w:pPr>
      <w:r>
        <w:t>A07:2025 Authentication Failures</w:t>
      </w:r>
    </w:p>
    <w:p>
      <w:r>
        <w:t>Weak login, session handling, or account recovery lets accounts be misused.</w:t>
      </w:r>
    </w:p>
    <w:p>
      <w:pPr>
        <w:pStyle w:val="Heading2"/>
      </w:pPr>
      <w:r>
        <w:t>A08:2025 Software or Data Integrity Failures</w:t>
      </w:r>
    </w:p>
    <w:p>
      <w:r>
        <w:t>The application trusts code, updates, or data without checking integrity or provenance.</w:t>
      </w:r>
    </w:p>
    <w:p>
      <w:pPr>
        <w:pStyle w:val="Heading2"/>
      </w:pPr>
      <w:r>
        <w:t>A09:2025 Security Logging and Alerting Failures</w:t>
      </w:r>
    </w:p>
    <w:p>
      <w:r>
        <w:t>Important security events are not recorded, monitored, or escalated.</w:t>
      </w:r>
    </w:p>
    <w:p>
      <w:pPr>
        <w:pStyle w:val="Heading2"/>
      </w:pPr>
      <w:r>
        <w:t>A10:2025 Mishandling of Exceptional Conditions</w:t>
      </w:r>
    </w:p>
    <w:p>
      <w:r>
        <w:t>Errors and unusual states are handled unsafely, inconsistently, or by failing open.</w:t>
      </w:r>
    </w:p>
    <w:p>
      <w:pPr>
        <w:pStyle w:val="Heading1"/>
      </w:pPr>
      <w:r>
        <w:t>3. Research method and AI tools</w:t>
      </w:r>
    </w:p>
    <w:p>
      <w:r>
        <w:t>Suggested free-tier tools used/planned for this student workflow: ChatGPT (drafting and explanation), Google Gemini (independent explanation/check), Perplexity (source discovery), NotebookLM (source-grounded notes), GitHub (repository and Actions), and VS Code (editing). Availability and free-tier limits can change. This generated package does not claim that external AI tools were actually run by the author; the student should execute the prompts and fill in the comparison log before submission.</w:t>
      </w:r>
    </w:p>
    <w:p>
      <w:r>
        <w:t>Method: (1) start from the official OWASP 2025 list; (2) cross-check secure development concepts against NIST SSDF; (3) check browser examples against MDN; (4) check Java PreparedStatement usage against Java API documentation; (5) compile/run the local demo and script; (6) record discrepancies and dates.</w:t>
      </w:r>
    </w:p>
    <w:p>
      <w:pPr>
        <w:pStyle w:val="Heading1"/>
      </w:pPr>
      <w:r>
        <w:t>4. Secure-coding checklist</w:t>
      </w:r>
    </w:p>
    <w:p>
      <w:r>
        <w:t>☐ Authorization is checked on the server for every protected resource and action.</w:t>
      </w:r>
    </w:p>
    <w:p>
      <w:r>
        <w:t>☐ Access is denied by default; ownership and role checks are covered by tests.</w:t>
      </w:r>
    </w:p>
    <w:p>
      <w:r>
        <w:t>☐ Debug mode, default accounts, sample secrets, and verbose production errors are disabled.</w:t>
      </w:r>
    </w:p>
    <w:p>
      <w:r>
        <w:t>☐ Dependencies and CI actions are inventoried, reviewed, and updated deliberately.</w:t>
      </w:r>
    </w:p>
    <w:p>
      <w:r>
        <w:t>☐ Sensitive data is minimized; transport is protected with HTTPS; keys are not hard-coded.</w:t>
      </w:r>
    </w:p>
    <w:p>
      <w:r>
        <w:t>☐ SQL uses parameterized queries; shell commands are not built from untrusted strings.</w:t>
      </w:r>
    </w:p>
    <w:p>
      <w:r>
        <w:t>☐ User input is validated on the server for type, length, format, and allowed range.</w:t>
      </w:r>
    </w:p>
    <w:p>
      <w:r>
        <w:t>☐ Plain text is inserted with textContent; rich HTML is sanitized with a maintained library.</w:t>
      </w:r>
    </w:p>
    <w:p>
      <w:r>
        <w:t>☐ Authentication uses maintained frameworks, safe sessions, and vetted password hashing.</w:t>
      </w:r>
    </w:p>
    <w:p>
      <w:r>
        <w:t>☐ Security requirements and abuse cases are considered before implementation.</w:t>
      </w:r>
    </w:p>
    <w:p>
      <w:r>
        <w:t>☐ Updates and important data are verified at trust boundaries.</w:t>
      </w:r>
    </w:p>
    <w:p>
      <w:r>
        <w:t>☐ Security events are logged without passwords, tokens, or unnecessary personal data.</w:t>
      </w:r>
    </w:p>
    <w:p>
      <w:r>
        <w:t>☐ Errors fail safely and do not expose stack traces or internal secrets to users.</w:t>
      </w:r>
    </w:p>
    <w:p>
      <w:r>
        <w:t>☐ AI-generated claims and code are verified against primary sources and tests.</w:t>
      </w:r>
    </w:p>
    <w:p>
      <w:pPr>
        <w:pStyle w:val="Heading1"/>
      </w:pPr>
      <w:r>
        <w:t>5. Insecure versus secure code pairs</w:t>
      </w:r>
    </w:p>
    <w:p>
      <w:pPr>
        <w:pStyle w:val="Heading2"/>
      </w:pPr>
      <w:r>
        <w:t>1. SQL injection (A05)</w:t>
      </w:r>
    </w:p>
    <w:p>
      <w:r>
        <w:t>Insecure pattern:</w:t>
      </w:r>
    </w:p>
    <w:p>
      <w:pPr>
        <w:pStyle w:val="NoSpacing"/>
      </w:pPr>
      <w:r>
        <w:rPr>
          <w:rFonts w:ascii="Consolas" w:hAnsi="Consolas"/>
          <w:sz w:val="16"/>
        </w:rPr>
        <w:t>// INSECURE: concatenates user input into SQL</w:t>
        <w:br/>
        <w:t>String sql = "SELECT * FROM users WHERE email = '" + email + "'";</w:t>
        <w:br/>
        <w:t>Statement st = conn.createStatement();</w:t>
        <w:br/>
        <w:t>ResultSet rs = st.executeQuery(sql);</w:t>
      </w:r>
    </w:p>
    <w:p>
      <w:r>
        <w:t>Safer pattern:</w:t>
      </w:r>
    </w:p>
    <w:p>
      <w:pPr>
        <w:pStyle w:val="NoSpacing"/>
      </w:pPr>
      <w:r>
        <w:rPr>
          <w:rFonts w:ascii="Consolas" w:hAnsi="Consolas"/>
          <w:sz w:val="16"/>
        </w:rPr>
        <w:t>// SECURE: parameterised query keeps data separate from SQL</w:t>
        <w:br/>
        <w:t>String sql = "SELECT id, email FROM users WHERE email = ?";</w:t>
        <w:br/>
        <w:t>try (PreparedStatement ps = conn.prepareStatement(sql)) {</w:t>
        <w:br/>
        <w:t xml:space="preserve">    ps.setString(1, email);</w:t>
        <w:br/>
        <w:t xml:space="preserve">    try (ResultSet rs = ps.executeQuery()) {</w:t>
        <w:br/>
        <w:t xml:space="preserve">        while (rs.next()) {</w:t>
        <w:br/>
        <w:t xml:space="preserve">            System.out.println(rs.getString("email"));</w:t>
        <w:br/>
        <w:t xml:space="preserve">        }</w:t>
        <w:br/>
        <w:t xml:space="preserve">    }</w:t>
        <w:br/>
        <w:t>}</w:t>
      </w:r>
    </w:p>
    <w:p>
      <w:r>
        <w:t>Defensive lesson: Use PreparedStatement parameters; do not build SQL by concatenating untrusted values.</w:t>
      </w:r>
    </w:p>
    <w:p>
      <w:pPr>
        <w:pStyle w:val="Heading2"/>
      </w:pPr>
      <w:r>
        <w:t>2. Input validation (A06/A10)</w:t>
      </w:r>
    </w:p>
    <w:p>
      <w:r>
        <w:t>Insecure pattern:</w:t>
      </w:r>
    </w:p>
    <w:p>
      <w:pPr>
        <w:pStyle w:val="NoSpacing"/>
      </w:pPr>
      <w:r>
        <w:rPr>
          <w:rFonts w:ascii="Consolas" w:hAnsi="Consolas"/>
          <w:sz w:val="16"/>
        </w:rPr>
        <w:t>// INSECURE: accepts arbitrary age text</w:t>
        <w:br/>
        <w:t>int age = Integer.parseInt(request.getParameter("age"));</w:t>
        <w:br/>
        <w:t>// No range check; malformed input may cause an exception.</w:t>
      </w:r>
    </w:p>
    <w:p>
      <w:r>
        <w:t>Safer pattern:</w:t>
      </w:r>
    </w:p>
    <w:p>
      <w:pPr>
        <w:pStyle w:val="NoSpacing"/>
      </w:pPr>
      <w:r>
        <w:rPr>
          <w:rFonts w:ascii="Consolas" w:hAnsi="Consolas"/>
          <w:sz w:val="16"/>
        </w:rPr>
        <w:t>// SECURE: validate syntax and business range</w:t>
        <w:br/>
        <w:t>String rawAge = request.getParameter("age");</w:t>
        <w:br/>
        <w:t>if (rawAge == null || !rawAge.matches("\\d{1,3}")) {</w:t>
        <w:br/>
        <w:t xml:space="preserve">    throw new IllegalArgumentException("Age must be a number");</w:t>
        <w:br/>
        <w:t>}</w:t>
        <w:br/>
        <w:t>int age = Integer.parseInt(rawAge);</w:t>
        <w:br/>
        <w:t>if (age &lt; 0 || age &gt; 120) {</w:t>
        <w:br/>
        <w:t xml:space="preserve">    throw new IllegalArgumentException("Age is outside the allowed range");</w:t>
        <w:br/>
        <w:t>}</w:t>
      </w:r>
    </w:p>
    <w:p>
      <w:r>
        <w:t>Defensive lesson: Validate type, length, format, and business limits on the server. Handle errors safely.</w:t>
      </w:r>
    </w:p>
    <w:p>
      <w:pPr>
        <w:pStyle w:val="Heading2"/>
      </w:pPr>
      <w:r>
        <w:t>3. Access control (A01)</w:t>
      </w:r>
    </w:p>
    <w:p>
      <w:r>
        <w:t>Insecure pattern:</w:t>
      </w:r>
    </w:p>
    <w:p>
      <w:pPr>
        <w:pStyle w:val="NoSpacing"/>
      </w:pPr>
      <w:r>
        <w:rPr>
          <w:rFonts w:ascii="Consolas" w:hAnsi="Consolas"/>
          <w:sz w:val="16"/>
        </w:rPr>
        <w:t>// INSECURE: trusts an ID supplied by the browser</w:t>
        <w:br/>
        <w:t>String documentId = request.getParameter("documentId");</w:t>
        <w:br/>
        <w:t>Document doc = repository.findById(documentId);</w:t>
        <w:br/>
        <w:t>return doc;</w:t>
      </w:r>
    </w:p>
    <w:p>
      <w:r>
        <w:t>Safer pattern:</w:t>
      </w:r>
    </w:p>
    <w:p>
      <w:pPr>
        <w:pStyle w:val="NoSpacing"/>
      </w:pPr>
      <w:r>
        <w:rPr>
          <w:rFonts w:ascii="Consolas" w:hAnsi="Consolas"/>
          <w:sz w:val="16"/>
        </w:rPr>
        <w:t>// SECURE: scope lookup to the authenticated owner</w:t>
        <w:br/>
        <w:t>String documentId = request.getParameter("documentId");</w:t>
        <w:br/>
        <w:t>String currentUserId = auth.requireUserId();</w:t>
        <w:br/>
        <w:t>Document doc = repository.findByIdAndOwner(documentId, currentUserId);</w:t>
        <w:br/>
        <w:t>if (doc == null) {</w:t>
        <w:br/>
        <w:t xml:space="preserve">    throw new NotFoundException();</w:t>
        <w:br/>
        <w:t>}</w:t>
        <w:br/>
        <w:t>return doc;</w:t>
      </w:r>
    </w:p>
    <w:p>
      <w:r>
        <w:t>Defensive lesson: Check authorization on every server-side request. Never trust a hidden button or client-supplied ID.</w:t>
      </w:r>
    </w:p>
    <w:p>
      <w:pPr>
        <w:pStyle w:val="Heading2"/>
      </w:pPr>
      <w:r>
        <w:t>4. Password storage (A04/A07)</w:t>
      </w:r>
    </w:p>
    <w:p>
      <w:r>
        <w:t>Insecure pattern:</w:t>
      </w:r>
    </w:p>
    <w:p>
      <w:pPr>
        <w:pStyle w:val="NoSpacing"/>
      </w:pPr>
      <w:r>
        <w:rPr>
          <w:rFonts w:ascii="Consolas" w:hAnsi="Consolas"/>
          <w:sz w:val="16"/>
        </w:rPr>
        <w:t>// INSECURE: stores a readable password</w:t>
        <w:br/>
        <w:t>user.setPassword(password);</w:t>
        <w:br/>
        <w:t>database.save(user);</w:t>
      </w:r>
    </w:p>
    <w:p>
      <w:r>
        <w:t>Safer pattern:</w:t>
      </w:r>
    </w:p>
    <w:p>
      <w:pPr>
        <w:pStyle w:val="NoSpacing"/>
      </w:pPr>
      <w:r>
        <w:rPr>
          <w:rFonts w:ascii="Consolas" w:hAnsi="Consolas"/>
          <w:sz w:val="16"/>
        </w:rPr>
        <w:t>// SECURE: use a vetted password-hashing library (illustrative API)</w:t>
        <w:br/>
        <w:t>String passwordHash = passwordHasher.hash(password); // Argon2id/bcrypt/PBKDF2 per policy</w:t>
        <w:br/>
        <w:t>user.setPasswordHash(passwordHash);</w:t>
        <w:br/>
        <w:t>database.save(user);</w:t>
      </w:r>
    </w:p>
    <w:p>
      <w:r>
        <w:t>Defensive lesson: Never store plaintext passwords or invent your own cryptography. Use a maintained password-hashing library.</w:t>
      </w:r>
    </w:p>
    <w:p>
      <w:pPr>
        <w:pStyle w:val="Heading2"/>
      </w:pPr>
      <w:r>
        <w:t>5. HTML output encoding (A05)</w:t>
      </w:r>
    </w:p>
    <w:p>
      <w:r>
        <w:t>Insecure pattern:</w:t>
      </w:r>
    </w:p>
    <w:p>
      <w:pPr>
        <w:pStyle w:val="NoSpacing"/>
      </w:pPr>
      <w:r>
        <w:rPr>
          <w:rFonts w:ascii="Consolas" w:hAnsi="Consolas"/>
          <w:sz w:val="16"/>
        </w:rPr>
        <w:t>// INSECURE: inserts user-controlled text as HTML</w:t>
        <w:br/>
        <w:t>element.innerHTML = userComment;</w:t>
      </w:r>
    </w:p>
    <w:p>
      <w:r>
        <w:t>Safer pattern:</w:t>
      </w:r>
    </w:p>
    <w:p>
      <w:pPr>
        <w:pStyle w:val="NoSpacing"/>
      </w:pPr>
      <w:r>
        <w:rPr>
          <w:rFonts w:ascii="Consolas" w:hAnsi="Consolas"/>
          <w:sz w:val="16"/>
        </w:rPr>
        <w:t>// SECURE for plain text: browser treats content as text</w:t>
        <w:br/>
        <w:t>element.textContent = userComment;</w:t>
      </w:r>
    </w:p>
    <w:p>
      <w:r>
        <w:t>Defensive lesson: Prefer textContent for plain text. If rich HTML is required, use a maintained HTML sanitizer and context-aware encoding.</w:t>
      </w:r>
    </w:p>
    <w:p>
      <w:pPr>
        <w:pStyle w:val="Heading1"/>
      </w:pPr>
      <w:r>
        <w:t>6. Beginner guide: risks and defensive fixes</w:t>
      </w:r>
    </w:p>
    <w:p>
      <w:pPr>
        <w:pStyle w:val="Heading2"/>
      </w:pPr>
      <w:r>
        <w:t>Introduction</w:t>
      </w:r>
    </w:p>
    <w:p>
      <w:r>
        <w:t>Secure coding means reducing risk throughout design, implementation, testing, release, and maintenance. The OWASP Top 10 is an awareness guide, not a complete security standard or a guarantee that an application is secure. This student project uses the OWASP Top 10:2025 categories and focuses on defensive habits. AI can explain unfamiliar concepts, draft examples, and generate review questions, but its output must be checked against primary sources and tested.</w:t>
      </w:r>
    </w:p>
    <w:p>
      <w:pPr>
        <w:pStyle w:val="Heading2"/>
      </w:pPr>
      <w:r>
        <w:t>A01:2025 — Broken Access Control</w:t>
      </w:r>
    </w:p>
    <w:p>
      <w:r>
        <w:t>Access control determines who may read, change, delete, or administer a resource. A common design mistake is relying on a user interface to hide restricted buttons while the server accepts the request anyway. Another is trusting an object ID supplied by a browser without checking ownership. The defensive fix is deny-by-default authorization, server-side checks on every request, and tests for both allowed and forbidden actions. Use a framework's established authorization mechanisms and keep permissions least-privileged.</w:t>
      </w:r>
    </w:p>
    <w:p>
      <w:pPr>
        <w:pStyle w:val="Heading2"/>
      </w:pPr>
      <w:r>
        <w:t>A02:2025 — Security Misconfiguration</w:t>
      </w:r>
    </w:p>
    <w:p>
      <w:r>
        <w:t>Misconfiguration includes debug mode in production, default credentials, unnecessary services, overly broad cloud permissions, verbose error pages, and missing security headers. Secure configuration should be repeatable and reviewed rather than manually improvised. Disable debug features in production, remove sample accounts, restrict permissions, set safe headers, and keep environment-specific secrets outside source control. Add configuration checks to CI and document secure defaults.</w:t>
      </w:r>
    </w:p>
    <w:p>
      <w:pPr>
        <w:pStyle w:val="Heading2"/>
      </w:pPr>
      <w:r>
        <w:t>A03:2025 — Software Supply Chain Failures</w:t>
      </w:r>
    </w:p>
    <w:p>
      <w:r>
        <w:t>Modern applications depend on packages, build tools, actions, container images, and release systems. A vulnerable or compromised dependency can undermine otherwise careful code. Keep a dependency inventory, use maintained packages, review advisories, update deliberately, pin critical CI actions or dependencies where appropriate, and protect release credentials. Use automated dependency scanning as a signal, then review results and test updates. Do not blindly copy package installation commands from AI responses.</w:t>
      </w:r>
    </w:p>
    <w:p>
      <w:pPr>
        <w:pStyle w:val="Heading2"/>
      </w:pPr>
      <w:r>
        <w:t>A04:2025 — Cryptographic Failures</w:t>
      </w:r>
    </w:p>
    <w:p>
      <w:r>
        <w:t>Sensitive information can be exposed by plaintext storage, weak algorithms, hard-coded keys, poor randomness, or missing transport protection. Identify which data is sensitive and avoid collecting data that is not needed. Use HTTPS, platform cryptography, approved algorithms, secure password hashing such as Argon2id/bcrypt/PBKDF2 through maintained libraries, and a proper secret-management process. Do not design your own encryption. Keys and passwords should not be committed to repositories or written into logs.</w:t>
      </w:r>
    </w:p>
    <w:p>
      <w:pPr>
        <w:pStyle w:val="Heading2"/>
      </w:pPr>
      <w:r>
        <w:t>A05:2025 — Injection</w:t>
      </w:r>
    </w:p>
    <w:p>
      <w:r>
        <w:t>Injection happens when untrusted input is interpreted as part of a command or query. SQL injection is reduced by parameterized queries such as Java PreparedStatement. For operating-system processes, avoid shell command construction and use safe APIs with fixed arguments. For browser output, use context-appropriate encoding and prefer textContent when displaying plain text. Validation helps define acceptable input, but it is not a replacement for parameterized queries or output encoding.</w:t>
      </w:r>
    </w:p>
    <w:p>
      <w:pPr>
        <w:pStyle w:val="Heading2"/>
      </w:pPr>
      <w:r>
        <w:t>A06:2025 — Insecure Design</w:t>
      </w:r>
    </w:p>
    <w:p>
      <w:r>
        <w:t>A program can be implemented exactly as specified and still be unsafe if its design has no security requirements. Examples include unlimited password-reset attempts, no ownership rules, or workflows that expose private data. Define assets, users, trust boundaries, abuse cases, and expected authorization before coding. Use threat modelling, secure design patterns, rate limits, privacy-by-design, and security tests tied to requirements. Review design changes when features or data flows change.</w:t>
      </w:r>
    </w:p>
    <w:p>
      <w:pPr>
        <w:pStyle w:val="Heading2"/>
      </w:pPr>
      <w:r>
        <w:t>A07:2025 — Authentication Failures</w:t>
      </w:r>
    </w:p>
    <w:p>
      <w:r>
        <w:t>Authentication verifies identity; authorization determines what that identity may do. Weak passwords, unsafe session cookies, predictable recovery flows, and missing rate limits can expose accounts. Use established authentication frameworks, secure password hashing, multifactor authentication where appropriate, rate limits, safe account recovery, and session cookies with Secure, HttpOnly, and appropriate SameSite settings over HTTPS. Avoid revealing whether a particular email address exists during login or recovery.</w:t>
      </w:r>
    </w:p>
    <w:p>
      <w:pPr>
        <w:pStyle w:val="Heading2"/>
      </w:pPr>
      <w:r>
        <w:t>A08:2025 — Software or Data Integrity Failures</w:t>
      </w:r>
    </w:p>
    <w:p>
      <w:r>
        <w:t>Integrity failures occur when the application trusts code, updates, serialized objects, or important data without verifying that it is authentic and unchanged. Use trusted distribution channels, verify signatures or checksums where appropriate, protect build pipelines, review deserialization risks, and validate data at trust boundaries. Separate development and production credentials. A checksum only proves integrity relative to a trusted checksum; it does not by itself prove that a file is trustworthy.</w:t>
      </w:r>
    </w:p>
    <w:p>
      <w:pPr>
        <w:pStyle w:val="Heading2"/>
      </w:pPr>
      <w:r>
        <w:t>A09:2025 — Security Logging and Alerting Failures</w:t>
      </w:r>
    </w:p>
    <w:p>
      <w:r>
        <w:t>Logs help teams investigate unusual activity, but only if meaningful events are recorded and reviewed. Log authentication failures, authorization denials, and important administrative changes with timestamps and correlation identifiers. Do not log passwords, session tokens, or unnecessary personal information. Protect logs against tampering, restrict access, set retention rules, and configure alerts for patterns that need action. Test that alerts reach the right person and avoid flooding teams with noise.</w:t>
      </w:r>
    </w:p>
    <w:p>
      <w:pPr>
        <w:pStyle w:val="Heading2"/>
      </w:pPr>
      <w:r>
        <w:t>A10:2025 — Mishandling of Exceptional Conditions</w:t>
      </w:r>
    </w:p>
    <w:p>
      <w:r>
        <w:t>Unexpected errors can cause information leaks, inconsistent state, or unsafe fallback behaviour. A system that continues with default privileges after an authorization service fails is failing open. Validate inputs, handle exceptions at appropriate boundaries, fail safely, use transactions for related changes, and show users a generic error with a reference ID. Keep detailed diagnostics in protected logs. Test missing values, timeouts, malformed data, and dependency failures.</w:t>
      </w:r>
    </w:p>
    <w:p>
      <w:pPr>
        <w:pStyle w:val="Heading2"/>
      </w:pPr>
      <w:r>
        <w:t>Using AI responsibly</w:t>
      </w:r>
    </w:p>
    <w:p>
      <w:r>
        <w:t>AI tools are useful for explanations, draft checklists, tests, and code review questions. They can also invent APIs, cite nonexistent sources, recommend outdated categories, or provide code that looks plausible but is insecure. Ask for sources and assumptions, verify claims in official documentation, compile and test code, and have a human review security-sensitive changes. Do not submit secrets or private user data to public AI services. This project deliberately uses defensive toy examples and does not include working exploit instructions.</w:t>
      </w:r>
    </w:p>
    <w:p>
      <w:pPr>
        <w:pStyle w:val="Heading2"/>
      </w:pPr>
      <w:r>
        <w:t>Practical workflow and conclusion</w:t>
      </w:r>
    </w:p>
    <w:p>
      <w:r>
        <w:t>For each change: understand the requirement; identify sensitive assets and trust boundaries; choose framework-supported secure patterns; write tests; run static checks and dependency scanning; review logs and error handling; and document unresolved risks. Practice only on code you own or a deliberately vulnerable local training environment such as OWASP Juice Shop. The goal is not to memorize ten labels, but to build a repeatable habit of asking what can go wrong and how to prevent it.</w:t>
      </w:r>
    </w:p>
    <w:p>
      <w:pPr>
        <w:pStyle w:val="Heading1"/>
      </w:pPr>
      <w:r>
        <w:t>7. Automation and testing</w:t>
      </w:r>
    </w:p>
    <w:p>
      <w:r>
        <w:t>The repository includes scripts/check_secure_patterns.py and a GitHub Actions workflow. The script performs a simple, transparent pattern check for obvious risks such as SQL string concatenation, innerHTML, and hard-coded password assignments in selected source files. It is a teaching aid, not a security scanner: it can miss vulnerabilities and can flag harmless code. A clean result does not prove security. Review its output manually.</w:t>
      </w:r>
    </w:p>
    <w:p>
      <w:r>
        <w:t>Run locally: python scripts/check_secure_patterns.py .  |  Expected baseline: PASS on the starter Java source. To demonstrate a negative test, create a temporary copy containing a deliberately unsafe pattern, run the script, record the finding, and delete the temporary file. Do not add unsafe code to a deployed application.</w:t>
      </w:r>
    </w:p>
    <w:p>
      <w:pPr>
        <w:pStyle w:val="Heading1"/>
      </w:pPr>
      <w:r>
        <w:t>8. AI output verification report</w:t>
      </w:r>
    </w:p>
    <w:p>
      <w:r>
        <w:t>Verification status at package creation: source list and OWASP category names checked against the official OWASP Top 10:2025 page and introduction. The code examples are illustrative and still require compilation in the student's chosen framework. No external AI tool execution is claimed. Complete the table below after running at least two AI tools.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Claim / output</w:t>
            </w:r>
          </w:p>
        </w:tc>
        <w:tc>
          <w:tcPr>
            <w:tcW w:type="dxa" w:w="2160"/>
          </w:tcPr>
          <w:p>
            <w:r>
              <w:t>Primary source</w:t>
            </w:r>
          </w:p>
        </w:tc>
        <w:tc>
          <w:tcPr>
            <w:tcW w:type="dxa" w:w="2160"/>
          </w:tcPr>
          <w:p>
            <w:r>
              <w:t>Result</w:t>
            </w:r>
          </w:p>
        </w:tc>
        <w:tc>
          <w:tcPr>
            <w:tcW w:type="dxa" w:w="2160"/>
          </w:tcPr>
          <w:p>
            <w:r>
              <w:t>Correction / note</w:t>
            </w:r>
          </w:p>
        </w:tc>
      </w:tr>
      <w:tr>
        <w:tc>
          <w:tcPr>
            <w:tcW w:type="dxa" w:w="2160"/>
          </w:tcPr>
          <w:p>
            <w:r>
              <w:t>OWASP categories use 2025 names</w:t>
            </w:r>
          </w:p>
        </w:tc>
        <w:tc>
          <w:tcPr>
            <w:tcW w:type="dxa" w:w="2160"/>
          </w:tcPr>
          <w:p>
            <w:r>
              <w:t>OWASP Top 10:2025</w:t>
            </w:r>
          </w:p>
        </w:tc>
        <w:tc>
          <w:tcPr>
            <w:tcW w:type="dxa" w:w="2160"/>
          </w:tcPr>
          <w:p>
            <w:r>
              <w:t>Verified against official list</w:t>
            </w:r>
          </w:p>
        </w:tc>
        <w:tc>
          <w:tcPr>
            <w:tcW w:type="dxa" w:w="2160"/>
          </w:tcPr>
          <w:p>
            <w:r>
              <w:t>Use edition labels consistently</w:t>
            </w:r>
          </w:p>
        </w:tc>
      </w:tr>
      <w:tr>
        <w:tc>
          <w:tcPr>
            <w:tcW w:type="dxa" w:w="2160"/>
          </w:tcPr>
          <w:p>
            <w:r>
              <w:t>PreparedStatement binds values</w:t>
            </w:r>
          </w:p>
        </w:tc>
        <w:tc>
          <w:tcPr>
            <w:tcW w:type="dxa" w:w="2160"/>
          </w:tcPr>
          <w:p>
            <w:r>
              <w:t>Java PreparedStatement API</w:t>
            </w:r>
          </w:p>
        </w:tc>
        <w:tc>
          <w:tcPr>
            <w:tcW w:type="dxa" w:w="2160"/>
          </w:tcPr>
          <w:p>
            <w:r>
              <w:t>Verify during code review</w:t>
            </w:r>
          </w:p>
        </w:tc>
        <w:tc>
          <w:tcPr>
            <w:tcW w:type="dxa" w:w="2160"/>
          </w:tcPr>
          <w:p>
            <w:r>
              <w:t>Compile and test using a trusted DB driver</w:t>
            </w:r>
          </w:p>
        </w:tc>
      </w:tr>
      <w:tr>
        <w:tc>
          <w:tcPr>
            <w:tcW w:type="dxa" w:w="2160"/>
          </w:tcPr>
          <w:p>
            <w:r>
              <w:t>textContent treats value as text</w:t>
            </w:r>
          </w:p>
        </w:tc>
        <w:tc>
          <w:tcPr>
            <w:tcW w:type="dxa" w:w="2160"/>
          </w:tcPr>
          <w:p>
            <w:r>
              <w:t>MDN Web Security / DOM docs</w:t>
            </w:r>
          </w:p>
        </w:tc>
        <w:tc>
          <w:tcPr>
            <w:tcW w:type="dxa" w:w="2160"/>
          </w:tcPr>
          <w:p>
            <w:r>
              <w:t>Verify in browser</w:t>
            </w:r>
          </w:p>
        </w:tc>
        <w:tc>
          <w:tcPr>
            <w:tcW w:type="dxa" w:w="2160"/>
          </w:tcPr>
          <w:p>
            <w:r>
              <w:t>Rich HTML needs a maintained sanitizer</w:t>
            </w:r>
          </w:p>
        </w:tc>
      </w:tr>
      <w:tr>
        <w:tc>
          <w:tcPr>
            <w:tcW w:type="dxa" w:w="2160"/>
          </w:tcPr>
          <w:p>
            <w:r>
              <w:t>Password hashing recommendation</w:t>
            </w:r>
          </w:p>
        </w:tc>
        <w:tc>
          <w:tcPr>
            <w:tcW w:type="dxa" w:w="2160"/>
          </w:tcPr>
          <w:p>
            <w:r>
              <w:t>OWASP Password Storage Cheat Sheet</w:t>
            </w:r>
          </w:p>
        </w:tc>
        <w:tc>
          <w:tcPr>
            <w:tcW w:type="dxa" w:w="2160"/>
          </w:tcPr>
          <w:p>
            <w:r>
              <w:t>Needs implementation-specific review</w:t>
            </w:r>
          </w:p>
        </w:tc>
        <w:tc>
          <w:tcPr>
            <w:tcW w:type="dxa" w:w="2160"/>
          </w:tcPr>
          <w:p>
            <w:r>
              <w:t>Use maintained library; do not invent crypto</w:t>
            </w:r>
          </w:p>
        </w:tc>
      </w:tr>
      <w:tr>
        <w:tc>
          <w:tcPr>
            <w:tcW w:type="dxa" w:w="2160"/>
          </w:tcPr>
          <w:p>
            <w:r>
              <w:t>AI-generated API names</w:t>
            </w:r>
          </w:p>
        </w:tc>
        <w:tc>
          <w:tcPr>
            <w:tcW w:type="dxa" w:w="2160"/>
          </w:tcPr>
          <w:p>
            <w:r>
              <w:t>Official framework/API docs</w:t>
            </w:r>
          </w:p>
        </w:tc>
        <w:tc>
          <w:tcPr>
            <w:tcW w:type="dxa" w:w="2160"/>
          </w:tcPr>
          <w:p>
            <w:r>
              <w:t>Not assumed correct</w:t>
            </w:r>
          </w:p>
        </w:tc>
        <w:tc>
          <w:tcPr>
            <w:tcW w:type="dxa" w:w="2160"/>
          </w:tcPr>
          <w:p>
            <w:r>
              <w:t>Compile and verify exact version</w:t>
            </w:r>
          </w:p>
        </w:tc>
      </w:tr>
    </w:tbl>
    <w:p>
      <w:r>
        <w:t>Before submission, run the research and verification prompts with at least two AI tools. Record the tool, date, prompt, output claim, source checked, discrepancy, and final decision. This is required to honestly demonstrate multi-tool research.</w:t>
      </w:r>
    </w:p>
    <w:p>
      <w:pPr>
        <w:pStyle w:val="Heading1"/>
      </w:pPr>
      <w:r>
        <w:t>9. Ethics and safe-use rules</w:t>
      </w:r>
    </w:p>
    <w:p>
      <w:pPr>
        <w:pStyle w:val="ListBullet"/>
      </w:pPr>
      <w:r>
        <w:t>Use only your own local practice application or an explicitly authorized training lab.</w:t>
      </w:r>
    </w:p>
    <w:p>
      <w:pPr>
        <w:pStyle w:val="ListBullet"/>
      </w:pPr>
      <w:r>
        <w:t>Do not attack real websites or access other people's data.</w:t>
      </w:r>
    </w:p>
    <w:p>
      <w:pPr>
        <w:pStyle w:val="ListBullet"/>
      </w:pPr>
      <w:r>
        <w:t>This package contains defensive examples, not working exploits.</w:t>
      </w:r>
    </w:p>
    <w:p>
      <w:pPr>
        <w:pStyle w:val="ListBullet"/>
      </w:pPr>
      <w:r>
        <w:t>Never paste passwords, API keys, personal records, or private source code into public AI tools.</w:t>
      </w:r>
    </w:p>
    <w:p>
      <w:pPr>
        <w:pStyle w:val="ListBullet"/>
      </w:pPr>
      <w:r>
        <w:t>Verify AI-written code and citations before use; ask a teacher or experienced reviewer when uncertain.</w:t>
      </w:r>
    </w:p>
    <w:p>
      <w:pPr>
        <w:pStyle w:val="ListBullet"/>
      </w:pPr>
      <w:r>
        <w:t>Use Juice Shop only in a local or otherwise authorized training setup.</w:t>
      </w:r>
    </w:p>
    <w:p>
      <w:pPr>
        <w:pStyle w:val="Heading1"/>
      </w:pPr>
      <w:r>
        <w:t>10. Conclusion</w:t>
      </w:r>
    </w:p>
    <w:p>
      <w:r>
        <w:t>AI can make secure coding easier to learn by translating security terminology into plain language, generating review questions, and helping draft tests. Its value depends on source verification, safe practice boundaries, and human judgment. The repeatable workflow—design safely, code with secure APIs, test, review dependencies, log responsibly, and verify AI output—is more important than memorizing a list.</w:t>
      </w:r>
    </w:p>
    <w:p>
      <w:pPr>
        <w:pStyle w:val="Heading1"/>
      </w:pPr>
      <w:r>
        <w:t>References</w:t>
      </w:r>
    </w:p>
    <w:p>
      <w:pPr>
        <w:pStyle w:val="ListBullet"/>
      </w:pPr>
      <w:r>
        <w:t>OWASP Top 10:2025. https://top10.owasp.org/2025/</w:t>
      </w:r>
    </w:p>
    <w:p>
      <w:pPr>
        <w:pStyle w:val="ListBullet"/>
      </w:pPr>
      <w:r>
        <w:t>OWASP Top 10 Introduction / 2025 changes. https://top10.owasp.org/2025/0x00_2025-Introduction/</w:t>
      </w:r>
    </w:p>
    <w:p>
      <w:pPr>
        <w:pStyle w:val="ListBullet"/>
      </w:pPr>
      <w:r>
        <w:t>OWASP Cheat Sheet Series. https://cheatsheetseries.owasp.org/</w:t>
      </w:r>
    </w:p>
    <w:p>
      <w:pPr>
        <w:pStyle w:val="ListBullet"/>
      </w:pPr>
      <w:r>
        <w:t>NIST Secure Software Development Framework (SSDF), SP 800-218. https://csrc.nist.gov/pubs/sp/800/218/final</w:t>
      </w:r>
    </w:p>
    <w:p>
      <w:pPr>
        <w:pStyle w:val="ListBullet"/>
      </w:pPr>
      <w:r>
        <w:t>MDN Web Security. https://developer.mozilla.org/en-US/docs/Web/Security</w:t>
      </w:r>
    </w:p>
    <w:p>
      <w:pPr>
        <w:pStyle w:val="ListBullet"/>
      </w:pPr>
      <w:r>
        <w:t>Java PreparedStatement documentation. https://docs.oracle.com/javase/8/docs/api/java/sql/PreparedStatement.html</w:t>
      </w:r>
    </w:p>
    <w:p>
      <w:pPr>
        <w:pStyle w:val="ListBullet"/>
      </w:pPr>
      <w:r>
        <w:t>GitHub Actions documentation. https://docs.github.com/en/actions</w:t>
      </w:r>
    </w:p>
    <w:p>
      <w:pPr>
        <w:pStyle w:val="ListBullet"/>
      </w:pPr>
      <w:r>
        <w:t>OWASP Juice Shop. https://owasp.org/www-project-juice-shop/</w:t>
      </w:r>
    </w:p>
    <w:p>
      <w:pPr>
        <w:pStyle w:val="ListBullet"/>
      </w:pPr>
      <w:r>
        <w:t>OWASP Web Security Testing Guide. https://owasp.org/www-project-web-security-testing-guide/</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