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rFonts w:ascii="Arial" w:cs="Arial" w:eastAsia="Arial" w:hAnsi="Arial"/>
          <w:b/>
          <w:bCs/>
          <w:color w:val="2E5A88"/>
          <w:sz w:val="48"/>
          <w:szCs w:val="48"/>
        </w:rPr>
        <w:t xml:space="preserve">OPTIONS PAPER</w:t>
      </w:r>
    </w:p>
    <w:p>
      <w:pPr>
        <w:spacing w:before="200"/>
      </w:pPr>
    </w:p>
    <w:p>
      <w:pPr>
        <w:jc w:val="center"/>
      </w:pPr>
      <w:r>
        <w:rPr>
          <w:rFonts w:ascii="Arial" w:cs="Arial" w:eastAsia="Arial" w:hAnsi="Arial"/>
          <w:b/>
          <w:bCs/>
          <w:sz w:val="36"/>
          <w:szCs w:val="36"/>
        </w:rPr>
        <w:t xml:space="preserve">MuleSoft CloudHub 2.0 Logging Architecture</w:t>
      </w:r>
    </w:p>
    <w:p>
      <w:pPr>
        <w:spacing w:before="100"/>
      </w:pPr>
    </w:p>
    <w:p>
      <w:pPr>
        <w:jc w:val="center"/>
      </w:pPr>
      <w:r>
        <w:rPr>
          <w:rFonts w:ascii="Arial" w:cs="Arial" w:eastAsia="Arial" w:hAnsi="Arial"/>
          <w:color w:val="666666"/>
          <w:sz w:val="28"/>
          <w:szCs w:val="28"/>
        </w:rPr>
        <w:t xml:space="preserve">Separation of Audit and Operational Logs</w:t>
      </w:r>
    </w:p>
    <w:p>
      <w:pPr>
        <w:spacing w:before="600"/>
      </w:pPr>
    </w:p>
    <w:p>
      <w:pPr>
        <w:jc w:val="center"/>
      </w:pPr>
      <w:r>
        <w:rPr>
          <w:rFonts w:ascii="Arial" w:cs="Arial" w:eastAsia="Arial" w:hAnsi="Arial"/>
          <w:b/>
          <w:bCs/>
          <w:color w:val="CC0000"/>
          <w:sz w:val="32"/>
          <w:szCs w:val="32"/>
        </w:rPr>
        <w:t xml:space="preserve">UPDATED DRAFT</w:t>
      </w:r>
    </w:p>
    <w:p>
      <w:pPr>
        <w:spacing w:before="800"/>
      </w:pPr>
    </w:p>
    <w:tbl>
      <w:tblPr>
        <w:tblW w:type="dxa" w:w="5000"/>
        <w:jc w:val="center"/>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tblGrid>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Document Status: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UPDATED DRAFT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Date: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April 12, 2026</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Author:</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[Author Name]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Version: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0.2</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Classification: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Internal - Confidential</w:t>
            </w:r>
          </w:p>
        </w:tc>
      </w:tr>
    </w:tbl>
    <w:p>
      <w:r>
        <w:br w:type="page"/>
      </w:r>
    </w:p>
    <w:p>
      <w:pPr>
        <w:pStyle w:val="Heading1"/>
        <w:spacing w:after="200" w:before="400"/>
      </w:pPr>
      <w:r>
        <w:rPr>
          <w:rFonts w:ascii="Arial" w:cs="Arial" w:eastAsia="Arial" w:hAnsi="Arial"/>
          <w:b/>
          <w:bCs/>
          <w:sz w:val="32"/>
          <w:szCs w:val="32"/>
        </w:rPr>
        <w:t xml:space="preserve">Table of Contents</w:t>
      </w:r>
    </w:p>
    <w:p>
      <w:pPr>
        <w:spacing w:after="120"/>
        <w:jc w:val="left"/>
      </w:pPr>
      <w:r>
        <w:rPr>
          <w:rFonts w:ascii="Arial" w:cs="Arial" w:eastAsia="Arial" w:hAnsi="Arial"/>
          <w:sz w:val="22"/>
          <w:szCs w:val="22"/>
        </w:rPr>
        <w:t xml:space="preserve">1. Executive Summary</w:t>
      </w:r>
    </w:p>
    <w:p>
      <w:pPr>
        <w:spacing w:after="120"/>
        <w:jc w:val="left"/>
      </w:pPr>
      <w:r>
        <w:rPr>
          <w:rFonts w:ascii="Arial" w:cs="Arial" w:eastAsia="Arial" w:hAnsi="Arial"/>
          <w:sz w:val="22"/>
          <w:szCs w:val="22"/>
        </w:rPr>
        <w:t xml:space="preserve">2. Background and Current State</w:t>
      </w:r>
    </w:p>
    <w:p>
      <w:pPr>
        <w:spacing w:after="120"/>
        <w:jc w:val="left"/>
      </w:pPr>
      <w:r>
        <w:rPr>
          <w:rFonts w:ascii="Arial" w:cs="Arial" w:eastAsia="Arial" w:hAnsi="Arial"/>
          <w:sz w:val="22"/>
          <w:szCs w:val="22"/>
        </w:rPr>
        <w:t xml:space="preserve">3. Problem Statement</w:t>
      </w:r>
    </w:p>
    <w:p>
      <w:pPr>
        <w:spacing w:after="120"/>
        <w:jc w:val="left"/>
      </w:pPr>
      <w:r>
        <w:rPr>
          <w:rFonts w:ascii="Arial" w:cs="Arial" w:eastAsia="Arial" w:hAnsi="Arial"/>
          <w:sz w:val="22"/>
          <w:szCs w:val="22"/>
        </w:rPr>
        <w:t xml:space="preserve">4. Options Analysis</w:t>
      </w:r>
    </w:p>
    <w:p>
      <w:pPr>
        <w:spacing w:after="120"/>
        <w:jc w:val="left"/>
      </w:pPr>
      <w:r>
        <w:rPr>
          <w:rFonts w:ascii="Arial" w:cs="Arial" w:eastAsia="Arial" w:hAnsi="Arial"/>
          <w:sz w:val="22"/>
          <w:szCs w:val="22"/>
        </w:rPr>
        <w:t xml:space="preserve">    4.1 Option 1: Dual-Category Custom Connector</w:t>
      </w:r>
    </w:p>
    <w:p>
      <w:pPr>
        <w:spacing w:after="120"/>
        <w:jc w:val="left"/>
      </w:pPr>
      <w:r>
        <w:rPr>
          <w:rFonts w:ascii="Arial" w:cs="Arial" w:eastAsia="Arial" w:hAnsi="Arial"/>
          <w:sz w:val="22"/>
          <w:szCs w:val="22"/>
        </w:rPr>
        <w:t xml:space="preserve">    4.2 Option 2: Log Level-Based Separation</w:t>
      </w:r>
    </w:p>
    <w:p>
      <w:pPr>
        <w:spacing w:after="120"/>
        <w:jc w:val="left"/>
      </w:pPr>
      <w:r>
        <w:rPr>
          <w:rFonts w:ascii="Arial" w:cs="Arial" w:eastAsia="Arial" w:hAnsi="Arial"/>
          <w:sz w:val="22"/>
          <w:szCs w:val="22"/>
        </w:rPr>
        <w:t xml:space="preserve">    4.3 Option 3: Graylog Pipeline Filtering (Not Recommended)</w:t>
      </w:r>
    </w:p>
    <w:p>
      <w:pPr>
        <w:spacing w:after="120"/>
        <w:jc w:val="left"/>
      </w:pPr>
      <w:r>
        <w:rPr>
          <w:rFonts w:ascii="Arial" w:cs="Arial" w:eastAsia="Arial" w:hAnsi="Arial"/>
          <w:sz w:val="22"/>
          <w:szCs w:val="22"/>
        </w:rPr>
        <w:t xml:space="preserve">    4.4 Option 4: Selective Payload Logging with PII Masking</w:t>
      </w:r>
    </w:p>
    <w:p>
      <w:pPr>
        <w:spacing w:after="120"/>
        <w:jc w:val="left"/>
      </w:pPr>
      <w:r>
        <w:rPr>
          <w:rFonts w:ascii="Arial" w:cs="Arial" w:eastAsia="Arial" w:hAnsi="Arial"/>
          <w:sz w:val="22"/>
          <w:szCs w:val="22"/>
        </w:rPr>
        <w:t xml:space="preserve">    4.5 Option 5: Hybrid Approach (Recommended)</w:t>
      </w:r>
    </w:p>
    <w:p>
      <w:pPr>
        <w:spacing w:after="120"/>
        <w:jc w:val="left"/>
      </w:pPr>
      <w:r>
        <w:rPr>
          <w:rFonts w:ascii="Arial" w:cs="Arial" w:eastAsia="Arial" w:hAnsi="Arial"/>
          <w:sz w:val="22"/>
          <w:szCs w:val="22"/>
        </w:rPr>
        <w:t xml:space="preserve">5. Effort Estimate Comparison</w:t>
      </w:r>
    </w:p>
    <w:p>
      <w:pPr>
        <w:spacing w:after="120"/>
        <w:jc w:val="left"/>
      </w:pPr>
      <w:r>
        <w:rPr>
          <w:rFonts w:ascii="Arial" w:cs="Arial" w:eastAsia="Arial" w:hAnsi="Arial"/>
          <w:sz w:val="22"/>
          <w:szCs w:val="22"/>
        </w:rPr>
        <w:t xml:space="preserve">6. Security and Privacy Considerations</w:t>
      </w:r>
    </w:p>
    <w:p>
      <w:pPr>
        <w:spacing w:after="120"/>
        <w:jc w:val="left"/>
      </w:pPr>
      <w:r>
        <w:rPr>
          <w:rFonts w:ascii="Arial" w:cs="Arial" w:eastAsia="Arial" w:hAnsi="Arial"/>
          <w:sz w:val="22"/>
          <w:szCs w:val="22"/>
        </w:rPr>
        <w:t xml:space="preserve">7. Options Comparison Matrix</w:t>
      </w:r>
    </w:p>
    <w:p>
      <w:pPr>
        <w:spacing w:after="120"/>
        <w:jc w:val="left"/>
      </w:pPr>
      <w:r>
        <w:rPr>
          <w:rFonts w:ascii="Arial" w:cs="Arial" w:eastAsia="Arial" w:hAnsi="Arial"/>
          <w:sz w:val="22"/>
          <w:szCs w:val="22"/>
        </w:rPr>
        <w:t xml:space="preserve">8. Recommendation and Next Steps</w:t>
      </w:r>
    </w:p>
    <w:p>
      <w:pPr>
        <w:spacing w:after="120"/>
        <w:jc w:val="left"/>
      </w:pPr>
      <w:r>
        <w:rPr>
          <w:rFonts w:ascii="Arial" w:cs="Arial" w:eastAsia="Arial" w:hAnsi="Arial"/>
          <w:sz w:val="22"/>
          <w:szCs w:val="22"/>
        </w:rPr>
        <w:t xml:space="preserve">9. Appendices</w:t>
      </w:r>
    </w:p>
    <w:p>
      <w:r>
        <w:br w:type="page"/>
      </w:r>
    </w:p>
    <w:p>
      <w:pPr>
        <w:pStyle w:val="Heading1"/>
        <w:spacing w:after="200" w:before="400"/>
      </w:pPr>
      <w:r>
        <w:rPr>
          <w:rFonts w:ascii="Arial" w:cs="Arial" w:eastAsia="Arial" w:hAnsi="Arial"/>
          <w:b/>
          <w:bCs/>
          <w:sz w:val="32"/>
          <w:szCs w:val="32"/>
        </w:rPr>
        <w:t xml:space="preserve">1. Executive Summary</w:t>
      </w:r>
    </w:p>
    <w:p>
      <w:pPr>
        <w:spacing w:after="120"/>
        <w:jc w:val="left"/>
      </w:pPr>
      <w:r>
        <w:rPr>
          <w:rFonts w:ascii="Arial" w:cs="Arial" w:eastAsia="Arial" w:hAnsi="Arial"/>
          <w:sz w:val="22"/>
          <w:szCs w:val="22"/>
        </w:rPr>
        <w:t xml:space="preserve">This options paper presents a strategic approach to restructuring our MuleSoft CloudHub 2.0 logging architecture. The primary objective is to separate audit logs from operational logs to address storage accumulation issues in Graylog, improve security posture regarding PII data handling, and streamline developer access for troubleshooting.</w:t>
      </w:r>
    </w:p>
    <w:p>
      <w:pPr>
        <w:spacing w:after="120"/>
        <w:jc w:val="left"/>
      </w:pPr>
      <w:r>
        <w:rPr>
          <w:rFonts w:ascii="Arial" w:cs="Arial" w:eastAsia="Arial" w:hAnsi="Arial"/>
          <w:sz w:val="22"/>
          <w:szCs w:val="22"/>
        </w:rPr>
        <w:t xml:space="preserve">The current architecture sends all logs, including payload data containing PII, to our centralized Graylog platform. This approach has led to excessive log accumulation, increased storage costs, privacy compliance concerns, and complex access management for developers.</w:t>
      </w:r>
    </w:p>
    <w:p>
      <w:pPr>
        <w:spacing w:before="200"/>
      </w:pPr>
    </w:p>
    <w:p>
      <w:pPr>
        <w:spacing w:after="120"/>
      </w:pPr>
      <w:r>
        <w:rPr>
          <w:rFonts w:ascii="Arial" w:cs="Arial" w:eastAsia="Arial" w:hAnsi="Arial"/>
          <w:b/>
          <w:bCs/>
          <w:sz w:val="22"/>
          <w:szCs w:val="22"/>
        </w:rPr>
        <w:t xml:space="preserve">Recommended Approach: </w:t>
      </w:r>
      <w:r>
        <w:rPr>
          <w:rFonts w:ascii="Arial" w:cs="Arial" w:eastAsia="Arial" w:hAnsi="Arial"/>
          <w:sz w:val="22"/>
          <w:szCs w:val="22"/>
        </w:rPr>
        <w:t xml:space="preserve">Option 5 - A Hybrid approach combining a Dual-Category Custom Connector with selective log routing, and PII masking for audit logs sent to Graylog.</w:t>
      </w:r>
    </w:p>
    <w:p>
      <w:r>
        <w:br w:type="page"/>
      </w:r>
    </w:p>
    <w:p>
      <w:pPr>
        <w:pStyle w:val="Heading1"/>
        <w:spacing w:after="200" w:before="400"/>
      </w:pPr>
      <w:r>
        <w:rPr>
          <w:rFonts w:ascii="Arial" w:cs="Arial" w:eastAsia="Arial" w:hAnsi="Arial"/>
          <w:b/>
          <w:bCs/>
          <w:sz w:val="32"/>
          <w:szCs w:val="32"/>
        </w:rPr>
        <w:t xml:space="preserve">2. Background and Current State</w:t>
      </w:r>
    </w:p>
    <w:p>
      <w:pPr>
        <w:pStyle w:val="Heading2"/>
        <w:spacing w:after="150" w:before="300"/>
      </w:pPr>
      <w:r>
        <w:rPr>
          <w:rFonts w:ascii="Arial" w:cs="Arial" w:eastAsia="Arial" w:hAnsi="Arial"/>
          <w:b/>
          <w:bCs/>
          <w:sz w:val="26"/>
          <w:szCs w:val="26"/>
        </w:rPr>
        <w:t xml:space="preserve">2.1 Current Architecture Overview</w:t>
      </w:r>
    </w:p>
    <w:p>
      <w:pPr>
        <w:spacing w:after="120"/>
        <w:jc w:val="left"/>
      </w:pPr>
      <w:r>
        <w:rPr>
          <w:rFonts w:ascii="Arial" w:cs="Arial" w:eastAsia="Arial" w:hAnsi="Arial"/>
          <w:sz w:val="22"/>
          <w:szCs w:val="22"/>
        </w:rPr>
        <w:t xml:space="preserve">Currently, all application logs, regardless of category or sensitivity, follow a single path to Graylog. CloudHub 2.0 provides default logging (100MB / 30 days), but our configuration bypasses this by forwarding everything to the enterprise centralized solution.</w:t>
      </w:r>
    </w:p>
    <w:p>
      <w:pPr>
        <w:shd w:fill="F0F8FF" w:val="clear"/>
        <w:spacing w:after="200" w:before="200"/>
        <w:jc w:val="center"/>
      </w:pPr>
      <w:r>
        <w:rPr>
          <w:rFonts w:ascii="Arial" w:cs="Arial" w:eastAsia="Arial" w:hAnsi="Arial"/>
          <w:i/>
          <w:iCs/>
          <w:color w:val="0066CC"/>
          <w:sz w:val="20"/>
          <w:szCs w:val="20"/>
        </w:rPr>
        <w:t xml:space="preserve">[INSERT DIAGRAM: Current Architecture Flowchart showing all application logs (MuleSoft Application → Custom JSON Logger → Log4j2 Appender) flowing into a single Graylog bucket]</w:t>
      </w:r>
    </w:p>
    <w:p>
      <w:pPr>
        <w:pStyle w:val="Heading2"/>
        <w:spacing w:after="150" w:before="300"/>
      </w:pPr>
      <w:r>
        <w:rPr>
          <w:rFonts w:ascii="Arial" w:cs="Arial" w:eastAsia="Arial" w:hAnsi="Arial"/>
          <w:b/>
          <w:bCs/>
          <w:sz w:val="26"/>
          <w:szCs w:val="26"/>
        </w:rPr>
        <w:t xml:space="preserve">2.2 Current Log Flow</w:t>
      </w:r>
    </w:p>
    <w:p>
      <w:pPr>
        <w:spacing w:after="120"/>
        <w:jc w:val="center"/>
      </w:pPr>
      <w:r>
        <w:rPr>
          <w:rFonts w:ascii="Arial" w:cs="Arial" w:eastAsia="Arial" w:hAnsi="Arial"/>
          <w:sz w:val="22"/>
          <w:szCs w:val="22"/>
        </w:rPr>
        <w:t xml:space="preserve">MuleSoft Application → Custom JSON Logger → Log4j2 Appender → Graylog</w:t>
      </w:r>
    </w:p>
    <w:p>
      <w:pPr>
        <w:pStyle w:val="Heading2"/>
        <w:spacing w:after="150" w:before="300"/>
      </w:pPr>
      <w:r>
        <w:rPr>
          <w:rFonts w:ascii="Arial" w:cs="Arial" w:eastAsia="Arial" w:hAnsi="Arial"/>
          <w:b/>
          <w:bCs/>
          <w:sz w:val="26"/>
          <w:szCs w:val="26"/>
        </w:rPr>
        <w:t xml:space="preserve">2.3 CloudHub 2.0 Default Logging Capabilities</w:t>
      </w:r>
    </w:p>
    <w:p>
      <w:pPr>
        <w:spacing w:after="120"/>
        <w:jc w:val="left"/>
      </w:pPr>
      <w:r>
        <w:rPr>
          <w:rFonts w:ascii="Arial" w:cs="Arial" w:eastAsia="Arial" w:hAnsi="Arial"/>
          <w:sz w:val="22"/>
          <w:szCs w:val="22"/>
        </w:rPr>
        <w:t xml:space="preserve">CloudHub 2.0 provides built-in logging infrastructure with the following characteristics: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2E5A88"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5860"/>
            <w:tcBorders>
              <w:top w:val="single" w:color="CCCCCC" w:sz="1"/>
              <w:left w:val="single" w:color="CCCCCC" w:sz="1"/>
              <w:bottom w:val="single" w:color="CCCCCC" w:sz="1"/>
              <w:right w:val="single" w:color="CCCCCC" w:sz="1"/>
            </w:tcBorders>
            <w:shd w:fill="2E5A88" w:val="clear"/>
            <w:tcMar>
              <w:top w:type="dxa" w:w="80"/>
              <w:left w:type="dxa" w:w="120"/>
              <w:bottom w:type="dxa" w:w="80"/>
              <w:right w:type="dxa" w:w="120"/>
            </w:tcMar>
          </w:tcPr>
          <w:p>
            <w:r>
              <w:rPr>
                <w:rFonts w:ascii="Arial" w:cs="Arial" w:eastAsia="Arial" w:hAnsi="Arial"/>
                <w:b/>
                <w:bCs/>
                <w:color w:val="FFFFFF"/>
                <w:sz w:val="20"/>
                <w:szCs w:val="20"/>
              </w:rPr>
              <w:t xml:space="preserve">Specification</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Storage Limit</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100 MB per application</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Retention Period</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30 days (rolling)</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Access</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CloudHub Runtime Manager / Anypoint Platform</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Log Download</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Supported via Runtime Manager UI and API</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Real-time Viewing</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Available through Runtime Manager console</w:t>
            </w:r>
          </w:p>
        </w:tc>
      </w:tr>
    </w:tbl>
    <w:p>
      <w:r>
        <w:br w:type="page"/>
      </w:r>
    </w:p>
    <w:p>
      <w:pPr>
        <w:pStyle w:val="Heading1"/>
        <w:spacing w:after="200" w:before="400"/>
      </w:pPr>
      <w:r>
        <w:rPr>
          <w:rFonts w:ascii="Arial" w:cs="Arial" w:eastAsia="Arial" w:hAnsi="Arial"/>
          <w:b/>
          <w:bCs/>
          <w:sz w:val="32"/>
          <w:szCs w:val="32"/>
        </w:rPr>
        <w:t xml:space="preserve">3. Problem Statement</w:t>
      </w:r>
    </w:p>
    <w:p>
      <w:pPr>
        <w:pStyle w:val="Heading2"/>
        <w:spacing w:after="150" w:before="300"/>
      </w:pPr>
      <w:r>
        <w:rPr>
          <w:rFonts w:ascii="Arial" w:cs="Arial" w:eastAsia="Arial" w:hAnsi="Arial"/>
          <w:b/>
          <w:bCs/>
          <w:sz w:val="26"/>
          <w:szCs w:val="26"/>
        </w:rPr>
        <w:t xml:space="preserve">3.1 Log Volume and Storage</w:t>
      </w:r>
    </w:p>
    <w:p>
      <w:pPr>
        <w:spacing w:after="120"/>
        <w:jc w:val="left"/>
      </w:pPr>
      <w:r>
        <w:rPr>
          <w:rFonts w:ascii="Arial" w:cs="Arial" w:eastAsia="Arial" w:hAnsi="Arial"/>
          <w:sz w:val="22"/>
          <w:szCs w:val="22"/>
        </w:rPr>
        <w:t xml:space="preserve">Rapid accumulation of full payloads in Graylog increases costs and degrades search performance. The current approach of sending all logs, including complete request/response payloads, has resulted in:</w:t>
      </w:r>
    </w:p>
    <w:p>
      <w:pPr>
        <w:pStyle w:val="ListParagraph"/>
        <w:numPr>
          <w:ilvl w:val="0"/>
          <w:numId w:val="2"/>
        </w:numPr>
        <w:spacing w:after="80"/>
      </w:pPr>
      <w:r>
        <w:rPr>
          <w:rFonts w:ascii="Arial" w:cs="Arial" w:eastAsia="Arial" w:hAnsi="Arial"/>
          <w:sz w:val="22"/>
          <w:szCs w:val="22"/>
        </w:rPr>
        <w:t xml:space="preserve">Exponential growth in storage requirements</w:t>
      </w:r>
    </w:p>
    <w:p>
      <w:pPr>
        <w:pStyle w:val="ListParagraph"/>
        <w:numPr>
          <w:ilvl w:val="0"/>
          <w:numId w:val="2"/>
        </w:numPr>
        <w:spacing w:after="80"/>
      </w:pPr>
      <w:r>
        <w:rPr>
          <w:rFonts w:ascii="Arial" w:cs="Arial" w:eastAsia="Arial" w:hAnsi="Arial"/>
          <w:sz w:val="22"/>
          <w:szCs w:val="22"/>
        </w:rPr>
        <w:t xml:space="preserve">Increased infrastructure and licensing costs</w:t>
      </w:r>
    </w:p>
    <w:p>
      <w:pPr>
        <w:pStyle w:val="ListParagraph"/>
        <w:numPr>
          <w:ilvl w:val="0"/>
          <w:numId w:val="2"/>
        </w:numPr>
        <w:spacing w:after="80"/>
      </w:pPr>
      <w:r>
        <w:rPr>
          <w:rFonts w:ascii="Arial" w:cs="Arial" w:eastAsia="Arial" w:hAnsi="Arial"/>
          <w:sz w:val="22"/>
          <w:szCs w:val="22"/>
        </w:rPr>
        <w:t xml:space="preserve">Slower query performance affecting operational monitoring</w:t>
      </w:r>
    </w:p>
    <w:p>
      <w:pPr>
        <w:pStyle w:val="ListParagraph"/>
        <w:numPr>
          <w:ilvl w:val="0"/>
          <w:numId w:val="2"/>
        </w:numPr>
        <w:spacing w:after="120"/>
      </w:pPr>
      <w:r>
        <w:rPr>
          <w:rFonts w:ascii="Arial" w:cs="Arial" w:eastAsia="Arial" w:hAnsi="Arial"/>
          <w:sz w:val="22"/>
          <w:szCs w:val="22"/>
        </w:rPr>
        <w:t xml:space="preserve">Retention policy challenges due to volume constraints</w:t>
      </w:r>
    </w:p>
    <w:p>
      <w:pPr>
        <w:pStyle w:val="Heading2"/>
        <w:spacing w:after="150" w:before="300"/>
      </w:pPr>
      <w:r>
        <w:rPr>
          <w:rFonts w:ascii="Arial" w:cs="Arial" w:eastAsia="Arial" w:hAnsi="Arial"/>
          <w:b/>
          <w:bCs/>
          <w:sz w:val="26"/>
          <w:szCs w:val="26"/>
        </w:rPr>
        <w:t xml:space="preserve">3.2 PII Data Exposure</w:t>
      </w:r>
    </w:p>
    <w:p>
      <w:pPr>
        <w:spacing w:after="120"/>
        <w:jc w:val="left"/>
      </w:pPr>
      <w:r>
        <w:rPr>
          <w:rFonts w:ascii="Arial" w:cs="Arial" w:eastAsia="Arial" w:hAnsi="Arial"/>
          <w:sz w:val="22"/>
          <w:szCs w:val="22"/>
        </w:rPr>
        <w:t xml:space="preserve">Sensitive data (PII) is captured and stored in a centralized platform accessible to a wider audience, violating data minimization principles. This creates:</w:t>
      </w:r>
    </w:p>
    <w:p>
      <w:pPr>
        <w:pStyle w:val="ListParagraph"/>
        <w:numPr>
          <w:ilvl w:val="0"/>
          <w:numId w:val="2"/>
        </w:numPr>
        <w:spacing w:after="80"/>
      </w:pPr>
      <w:r>
        <w:rPr>
          <w:rFonts w:ascii="Arial" w:cs="Arial" w:eastAsia="Arial" w:hAnsi="Arial"/>
          <w:sz w:val="22"/>
          <w:szCs w:val="22"/>
        </w:rPr>
        <w:t xml:space="preserve">Potential regulatory compliance violations (GDPR, CCPA)</w:t>
      </w:r>
    </w:p>
    <w:p>
      <w:pPr>
        <w:pStyle w:val="ListParagraph"/>
        <w:numPr>
          <w:ilvl w:val="0"/>
          <w:numId w:val="2"/>
        </w:numPr>
        <w:spacing w:after="80"/>
      </w:pPr>
      <w:r>
        <w:rPr>
          <w:rFonts w:ascii="Arial" w:cs="Arial" w:eastAsia="Arial" w:hAnsi="Arial"/>
          <w:sz w:val="22"/>
          <w:szCs w:val="22"/>
        </w:rPr>
        <w:t xml:space="preserve">Increased breach impact if centralized platform is compromised</w:t>
      </w:r>
    </w:p>
    <w:p>
      <w:pPr>
        <w:pStyle w:val="ListParagraph"/>
        <w:numPr>
          <w:ilvl w:val="0"/>
          <w:numId w:val="2"/>
        </w:numPr>
        <w:spacing w:after="120"/>
      </w:pPr>
      <w:r>
        <w:rPr>
          <w:rFonts w:ascii="Arial" w:cs="Arial" w:eastAsia="Arial" w:hAnsi="Arial"/>
          <w:sz w:val="22"/>
          <w:szCs w:val="22"/>
        </w:rPr>
        <w:t xml:space="preserve">Extended retention of sensitive data beyond operational necessity</w:t>
      </w:r>
    </w:p>
    <w:p>
      <w:pPr>
        <w:pStyle w:val="Heading2"/>
        <w:spacing w:after="150" w:before="300"/>
      </w:pPr>
      <w:r>
        <w:rPr>
          <w:rFonts w:ascii="Arial" w:cs="Arial" w:eastAsia="Arial" w:hAnsi="Arial"/>
          <w:b/>
          <w:bCs/>
          <w:sz w:val="26"/>
          <w:szCs w:val="26"/>
        </w:rPr>
        <w:t xml:space="preserve">3.3 Access Management Complexity</w:t>
      </w:r>
    </w:p>
    <w:p>
      <w:pPr>
        <w:spacing w:after="120"/>
        <w:jc w:val="left"/>
      </w:pPr>
      <w:r>
        <w:rPr>
          <w:rFonts w:ascii="Arial" w:cs="Arial" w:eastAsia="Arial" w:hAnsi="Arial"/>
          <w:sz w:val="22"/>
          <w:szCs w:val="22"/>
        </w:rPr>
        <w:t xml:space="preserve">Developers require complex Graylog access approvals just for routine troubleshooting. This results in:</w:t>
      </w:r>
    </w:p>
    <w:p>
      <w:pPr>
        <w:pStyle w:val="ListParagraph"/>
        <w:numPr>
          <w:ilvl w:val="0"/>
          <w:numId w:val="2"/>
        </w:numPr>
        <w:spacing w:after="80"/>
      </w:pPr>
      <w:r>
        <w:rPr>
          <w:rFonts w:ascii="Arial" w:cs="Arial" w:eastAsia="Arial" w:hAnsi="Arial"/>
          <w:sz w:val="22"/>
          <w:szCs w:val="22"/>
        </w:rPr>
        <w:t xml:space="preserve">Additional access request and approval workflows</w:t>
      </w:r>
    </w:p>
    <w:p>
      <w:pPr>
        <w:pStyle w:val="ListParagraph"/>
        <w:numPr>
          <w:ilvl w:val="0"/>
          <w:numId w:val="2"/>
        </w:numPr>
        <w:spacing w:after="80"/>
      </w:pPr>
      <w:r>
        <w:rPr>
          <w:rFonts w:ascii="Arial" w:cs="Arial" w:eastAsia="Arial" w:hAnsi="Arial"/>
          <w:sz w:val="22"/>
          <w:szCs w:val="22"/>
        </w:rPr>
        <w:t xml:space="preserve">Broader access to PII data than operationally necessary</w:t>
      </w:r>
    </w:p>
    <w:p>
      <w:pPr>
        <w:pStyle w:val="ListParagraph"/>
        <w:numPr>
          <w:ilvl w:val="0"/>
          <w:numId w:val="2"/>
        </w:numPr>
        <w:spacing w:after="80"/>
      </w:pPr>
      <w:r>
        <w:rPr>
          <w:rFonts w:ascii="Arial" w:cs="Arial" w:eastAsia="Arial" w:hAnsi="Arial"/>
          <w:sz w:val="22"/>
          <w:szCs w:val="22"/>
        </w:rPr>
        <w:t xml:space="preserve">Increased security attack surface</w:t>
      </w:r>
    </w:p>
    <w:p>
      <w:pPr>
        <w:pStyle w:val="ListParagraph"/>
        <w:numPr>
          <w:ilvl w:val="0"/>
          <w:numId w:val="2"/>
        </w:numPr>
        <w:spacing w:after="120"/>
      </w:pPr>
      <w:r>
        <w:rPr>
          <w:rFonts w:ascii="Arial" w:cs="Arial" w:eastAsia="Arial" w:hAnsi="Arial"/>
          <w:sz w:val="22"/>
          <w:szCs w:val="22"/>
        </w:rPr>
        <w:t xml:space="preserve">Delayed troubleshooting due to access provisioning time</w:t>
      </w:r>
    </w:p>
    <w:p>
      <w:r>
        <w:br w:type="page"/>
      </w:r>
    </w:p>
    <w:p>
      <w:pPr>
        <w:pStyle w:val="Heading1"/>
        <w:spacing w:after="200" w:before="400"/>
      </w:pPr>
      <w:r>
        <w:rPr>
          <w:rFonts w:ascii="Arial" w:cs="Arial" w:eastAsia="Arial" w:hAnsi="Arial"/>
          <w:b/>
          <w:bCs/>
          <w:sz w:val="32"/>
          <w:szCs w:val="32"/>
        </w:rPr>
        <w:t xml:space="preserve">4. Options Analysis</w:t>
      </w:r>
    </w:p>
    <w:p>
      <w:pPr>
        <w:pStyle w:val="Heading2"/>
        <w:spacing w:after="150" w:before="300"/>
      </w:pPr>
      <w:r>
        <w:rPr>
          <w:rFonts w:ascii="Arial" w:cs="Arial" w:eastAsia="Arial" w:hAnsi="Arial"/>
          <w:b/>
          <w:bCs/>
          <w:sz w:val="26"/>
          <w:szCs w:val="26"/>
        </w:rPr>
        <w:t xml:space="preserve">4.1 Option 1: Dual-Category Custom Connector Upgrade</w:t>
      </w:r>
    </w:p>
    <w:p>
      <w:pPr>
        <w:pStyle w:val="Heading3"/>
        <w:spacing w:after="100" w:before="200"/>
      </w:pPr>
      <w:r>
        <w:rPr>
          <w:rFonts w:ascii="Arial" w:cs="Arial" w:eastAsia="Arial" w:hAnsi="Arial"/>
          <w:b/>
          <w:bCs/>
          <w:sz w:val="24"/>
          <w:szCs w:val="24"/>
        </w:rPr>
        <w:t xml:space="preserve">Description</w:t>
      </w:r>
    </w:p>
    <w:p>
      <w:pPr>
        <w:spacing w:after="120"/>
        <w:jc w:val="left"/>
      </w:pPr>
      <w:r>
        <w:rPr>
          <w:rFonts w:ascii="Arial" w:cs="Arial" w:eastAsia="Arial" w:hAnsi="Arial"/>
          <w:sz w:val="22"/>
          <w:szCs w:val="22"/>
        </w:rPr>
        <w:t xml:space="preserve">Upgrade the existing custom JSON logger connector to include a category selection mechanism, allowing developers to explicitly designate logs as either "Audit" or "Operational" at the point of logging.</w:t>
      </w:r>
    </w:p>
    <w:p>
      <w:pPr>
        <w:pStyle w:val="Heading3"/>
        <w:spacing w:after="100" w:before="200"/>
      </w:pPr>
      <w:r>
        <w:rPr>
          <w:rFonts w:ascii="Arial" w:cs="Arial" w:eastAsia="Arial" w:hAnsi="Arial"/>
          <w:b/>
          <w:bCs/>
          <w:sz w:val="24"/>
          <w:szCs w:val="24"/>
        </w:rPr>
        <w:t xml:space="preserve">Implementation Details</w:t>
      </w:r>
    </w:p>
    <w:p>
      <w:pPr>
        <w:pStyle w:val="ListParagraph"/>
        <w:numPr>
          <w:ilvl w:val="0"/>
          <w:numId w:val="2"/>
        </w:numPr>
        <w:spacing w:after="80"/>
      </w:pPr>
      <w:r>
        <w:rPr>
          <w:rFonts w:ascii="Arial" w:cs="Arial" w:eastAsia="Arial" w:hAnsi="Arial"/>
          <w:sz w:val="22"/>
          <w:szCs w:val="22"/>
        </w:rPr>
        <w:t xml:space="preserve">Add dropdown field to custom connector: com.mycompany.audit or com.mycompany.operational</w:t>
      </w:r>
    </w:p>
    <w:p>
      <w:pPr>
        <w:pStyle w:val="ListParagraph"/>
        <w:numPr>
          <w:ilvl w:val="0"/>
          <w:numId w:val="2"/>
        </w:numPr>
        <w:spacing w:after="40"/>
      </w:pPr>
      <w:r>
        <w:rPr>
          <w:rFonts w:ascii="Arial" w:cs="Arial" w:eastAsia="Arial" w:hAnsi="Arial"/>
          <w:sz w:val="22"/>
          <w:szCs w:val="22"/>
        </w:rPr>
        <w:t xml:space="preserve">Configure Log4j2 with two appenders:</w:t>
      </w:r>
    </w:p>
    <w:p>
      <w:pPr>
        <w:pStyle w:val="ListParagraph"/>
        <w:numPr>
          <w:ilvl w:val="1"/>
          <w:numId w:val="2"/>
        </w:numPr>
        <w:spacing w:after="40"/>
      </w:pPr>
      <w:r>
        <w:rPr>
          <w:rFonts w:ascii="Arial" w:cs="Arial" w:eastAsia="Arial" w:hAnsi="Arial"/>
          <w:sz w:val="22"/>
          <w:szCs w:val="22"/>
        </w:rPr>
        <w:t xml:space="preserve">Graylog appender filtered for com.mycompany.audit logs only</w:t>
      </w:r>
    </w:p>
    <w:p>
      <w:pPr>
        <w:pStyle w:val="ListParagraph"/>
        <w:numPr>
          <w:ilvl w:val="1"/>
          <w:numId w:val="2"/>
        </w:numPr>
        <w:spacing w:after="80"/>
      </w:pPr>
      <w:r>
        <w:rPr>
          <w:rFonts w:ascii="Arial" w:cs="Arial" w:eastAsia="Arial" w:hAnsi="Arial"/>
          <w:sz w:val="22"/>
          <w:szCs w:val="22"/>
        </w:rPr>
        <w:t xml:space="preserve">Console/file appender for com.mycompany.operational logs (CloudHub default)</w:t>
      </w:r>
    </w:p>
    <w:p>
      <w:pPr>
        <w:pStyle w:val="ListParagraph"/>
        <w:numPr>
          <w:ilvl w:val="0"/>
          <w:numId w:val="2"/>
        </w:numPr>
        <w:spacing w:after="80"/>
      </w:pPr>
      <w:r>
        <w:rPr>
          <w:rFonts w:ascii="Arial" w:cs="Arial" w:eastAsia="Arial" w:hAnsi="Arial"/>
          <w:sz w:val="22"/>
          <w:szCs w:val="22"/>
        </w:rPr>
        <w:t xml:space="preserve">Operational logs retained in CloudHub for 30 days / 100MB limit</w:t>
      </w:r>
    </w:p>
    <w:p>
      <w:pPr>
        <w:pStyle w:val="ListParagraph"/>
        <w:numPr>
          <w:ilvl w:val="0"/>
          <w:numId w:val="2"/>
        </w:numPr>
        <w:spacing w:after="120"/>
      </w:pPr>
      <w:r>
        <w:rPr>
          <w:rFonts w:ascii="Arial" w:cs="Arial" w:eastAsia="Arial" w:hAnsi="Arial"/>
          <w:sz w:val="22"/>
          <w:szCs w:val="22"/>
        </w:rPr>
        <w:t xml:space="preserve">Audit logs forwarded to Graylog for long-term retention and compliance</w:t>
      </w:r>
    </w:p>
    <w:p>
      <w:pPr>
        <w:pStyle w:val="Heading3"/>
        <w:spacing w:after="100" w:before="200"/>
      </w:pPr>
      <w:r>
        <w:rPr>
          <w:rFonts w:ascii="Arial" w:cs="Arial" w:eastAsia="Arial" w:hAnsi="Arial"/>
          <w:b/>
          <w:bCs/>
          <w:sz w:val="24"/>
          <w:szCs w:val="24"/>
        </w:rPr>
        <w:t xml:space="preserve">Log4j2 Configuration Example</w:t>
      </w:r>
    </w:p>
    <w:p>
      <w:pPr>
        <w:spacing w:after="40"/>
      </w:pPr>
      <w:r>
        <w:rPr>
          <w:rFonts w:ascii="Courier New" w:cs="Courier New" w:eastAsia="Courier New" w:hAnsi="Courier New"/>
          <w:sz w:val="20"/>
          <w:szCs w:val="20"/>
        </w:rPr>
        <w:t xml:space="preserve">&lt;Loggers&gt;</w:t>
      </w:r>
    </w:p>
    <w:p>
      <w:pPr>
        <w:spacing w:after="40"/>
      </w:pPr>
      <w:r>
        <w:rPr>
          <w:rFonts w:ascii="Courier New" w:cs="Courier New" w:eastAsia="Courier New" w:hAnsi="Courier New"/>
          <w:sz w:val="20"/>
          <w:szCs w:val="20"/>
        </w:rPr>
        <w:t xml:space="preserve">  &lt;Logger name="com.mycompany.audit" level="INFO" additivity="false"&gt;</w:t>
      </w:r>
    </w:p>
    <w:p>
      <w:pPr>
        <w:spacing w:after="40"/>
      </w:pPr>
      <w:r>
        <w:rPr>
          <w:rFonts w:ascii="Courier New" w:cs="Courier New" w:eastAsia="Courier New" w:hAnsi="Courier New"/>
          <w:sz w:val="20"/>
          <w:szCs w:val="20"/>
        </w:rPr>
        <w:t xml:space="preserve">    &lt;AppenderRef ref="GraylogAppender"/&gt;</w:t>
      </w:r>
    </w:p>
    <w:p>
      <w:pPr>
        <w:spacing w:after="40"/>
      </w:pPr>
      <w:r>
        <w:rPr>
          <w:rFonts w:ascii="Courier New" w:cs="Courier New" w:eastAsia="Courier New" w:hAnsi="Courier New"/>
          <w:sz w:val="20"/>
          <w:szCs w:val="20"/>
        </w:rPr>
        <w:t xml:space="preserve">  &lt;/Logger&gt;</w:t>
      </w:r>
    </w:p>
    <w:p>
      <w:pPr>
        <w:spacing w:after="40"/>
      </w:pPr>
      <w:r>
        <w:rPr>
          <w:rFonts w:ascii="Courier New" w:cs="Courier New" w:eastAsia="Courier New" w:hAnsi="Courier New"/>
          <w:sz w:val="20"/>
          <w:szCs w:val="20"/>
        </w:rPr>
        <w:t xml:space="preserve">  &lt;Logger name="com.mycompany.operational" level="DEBUG" additivity="false"&gt;</w:t>
      </w:r>
    </w:p>
    <w:p>
      <w:pPr>
        <w:spacing w:after="40"/>
      </w:pPr>
      <w:r>
        <w:rPr>
          <w:rFonts w:ascii="Courier New" w:cs="Courier New" w:eastAsia="Courier New" w:hAnsi="Courier New"/>
          <w:sz w:val="20"/>
          <w:szCs w:val="20"/>
        </w:rPr>
        <w:t xml:space="preserve">    &lt;AppenderRef ref="Console"/&gt;</w:t>
      </w:r>
    </w:p>
    <w:p>
      <w:pPr>
        <w:spacing w:after="40"/>
      </w:pPr>
      <w:r>
        <w:rPr>
          <w:rFonts w:ascii="Courier New" w:cs="Courier New" w:eastAsia="Courier New" w:hAnsi="Courier New"/>
          <w:sz w:val="20"/>
          <w:szCs w:val="20"/>
        </w:rPr>
        <w:t xml:space="preserve">  &lt;/Logger&gt;</w:t>
      </w:r>
    </w:p>
    <w:p>
      <w:pPr>
        <w:spacing w:after="120"/>
      </w:pPr>
      <w:r>
        <w:rPr>
          <w:rFonts w:ascii="Courier New" w:cs="Courier New" w:eastAsia="Courier New" w:hAnsi="Courier New"/>
          <w:sz w:val="20"/>
          <w:szCs w:val="20"/>
        </w:rPr>
        <w:t xml:space="preserve">&lt;/Loggers&gt;</w:t>
      </w:r>
    </w:p>
    <w:p>
      <w:pPr>
        <w:pStyle w:val="Heading3"/>
        <w:spacing w:after="100" w:before="200"/>
      </w:pPr>
      <w:r>
        <w:rPr>
          <w:rFonts w:ascii="Arial" w:cs="Arial" w:eastAsia="Arial" w:hAnsi="Arial"/>
          <w:b/>
          <w:bCs/>
          <w:sz w:val="24"/>
          <w:szCs w:val="24"/>
        </w:rPr>
        <w:t xml:space="preserve">Advantages</w:t>
      </w:r>
    </w:p>
    <w:p>
      <w:pPr>
        <w:pStyle w:val="ListParagraph"/>
        <w:numPr>
          <w:ilvl w:val="0"/>
          <w:numId w:val="2"/>
        </w:numPr>
        <w:spacing w:after="80"/>
      </w:pPr>
      <w:r>
        <w:rPr>
          <w:rFonts w:ascii="Arial" w:cs="Arial" w:eastAsia="Arial" w:hAnsi="Arial"/>
          <w:sz w:val="22"/>
          <w:szCs w:val="22"/>
        </w:rPr>
        <w:t xml:space="preserve">Clear separation of concerns at the source</w:t>
      </w:r>
    </w:p>
    <w:p>
      <w:pPr>
        <w:pStyle w:val="ListParagraph"/>
        <w:numPr>
          <w:ilvl w:val="0"/>
          <w:numId w:val="2"/>
        </w:numPr>
        <w:spacing w:after="80"/>
      </w:pPr>
      <w:r>
        <w:rPr>
          <w:rFonts w:ascii="Arial" w:cs="Arial" w:eastAsia="Arial" w:hAnsi="Arial"/>
          <w:sz w:val="22"/>
          <w:szCs w:val="22"/>
        </w:rPr>
        <w:t xml:space="preserve">Developers only need CloudHub access for operational troubleshooting</w:t>
      </w:r>
    </w:p>
    <w:p>
      <w:pPr>
        <w:pStyle w:val="ListParagraph"/>
        <w:numPr>
          <w:ilvl w:val="0"/>
          <w:numId w:val="2"/>
        </w:numPr>
        <w:spacing w:after="80"/>
      </w:pPr>
      <w:r>
        <w:rPr>
          <w:rFonts w:ascii="Arial" w:cs="Arial" w:eastAsia="Arial" w:hAnsi="Arial"/>
          <w:sz w:val="22"/>
          <w:szCs w:val="22"/>
        </w:rPr>
        <w:t xml:space="preserve">Significant reduction in Graylog storage utilization</w:t>
      </w:r>
    </w:p>
    <w:p>
      <w:pPr>
        <w:pStyle w:val="ListParagraph"/>
        <w:numPr>
          <w:ilvl w:val="0"/>
          <w:numId w:val="2"/>
        </w:numPr>
        <w:spacing w:after="120"/>
      </w:pPr>
      <w:r>
        <w:rPr>
          <w:rFonts w:ascii="Arial" w:cs="Arial" w:eastAsia="Arial" w:hAnsi="Arial"/>
          <w:sz w:val="22"/>
          <w:szCs w:val="22"/>
        </w:rPr>
        <w:t xml:space="preserve">Minimal impact on existing application code</w:t>
      </w:r>
    </w:p>
    <w:p>
      <w:pPr>
        <w:pStyle w:val="Heading3"/>
        <w:spacing w:after="100" w:before="200"/>
      </w:pPr>
      <w:r>
        <w:rPr>
          <w:rFonts w:ascii="Arial" w:cs="Arial" w:eastAsia="Arial" w:hAnsi="Arial"/>
          <w:b/>
          <w:bCs/>
          <w:sz w:val="24"/>
          <w:szCs w:val="24"/>
        </w:rPr>
        <w:t xml:space="preserve">Disadvantages</w:t>
      </w:r>
    </w:p>
    <w:p>
      <w:pPr>
        <w:pStyle w:val="ListParagraph"/>
        <w:numPr>
          <w:ilvl w:val="0"/>
          <w:numId w:val="2"/>
        </w:numPr>
        <w:spacing w:after="80"/>
      </w:pPr>
      <w:r>
        <w:rPr>
          <w:rFonts w:ascii="Arial" w:cs="Arial" w:eastAsia="Arial" w:hAnsi="Arial"/>
          <w:sz w:val="22"/>
          <w:szCs w:val="22"/>
        </w:rPr>
        <w:t xml:space="preserve">Requires connector upgrade and redeployment of all applications</w:t>
      </w:r>
    </w:p>
    <w:p>
      <w:pPr>
        <w:pStyle w:val="ListParagraph"/>
        <w:numPr>
          <w:ilvl w:val="0"/>
          <w:numId w:val="2"/>
        </w:numPr>
        <w:spacing w:after="80"/>
      </w:pPr>
      <w:r>
        <w:rPr>
          <w:rFonts w:ascii="Arial" w:cs="Arial" w:eastAsia="Arial" w:hAnsi="Arial"/>
          <w:sz w:val="22"/>
          <w:szCs w:val="22"/>
        </w:rPr>
        <w:t xml:space="preserve">Developer training required for correct categorization</w:t>
      </w:r>
    </w:p>
    <w:p>
      <w:pPr>
        <w:pStyle w:val="ListParagraph"/>
        <w:numPr>
          <w:ilvl w:val="0"/>
          <w:numId w:val="2"/>
        </w:numPr>
        <w:spacing w:after="120"/>
      </w:pPr>
      <w:r>
        <w:rPr>
          <w:rFonts w:ascii="Arial" w:cs="Arial" w:eastAsia="Arial" w:hAnsi="Arial"/>
          <w:sz w:val="22"/>
          <w:szCs w:val="22"/>
        </w:rPr>
        <w:t xml:space="preserve">Does not inherently address PII in audit logs</w:t>
      </w:r>
    </w:p>
    <w:p>
      <w:r>
        <w:br w:type="page"/>
      </w:r>
    </w:p>
    <w:p>
      <w:pPr>
        <w:pStyle w:val="Heading2"/>
        <w:spacing w:after="150" w:before="300"/>
      </w:pPr>
      <w:r>
        <w:rPr>
          <w:rFonts w:ascii="Arial" w:cs="Arial" w:eastAsia="Arial" w:hAnsi="Arial"/>
          <w:b/>
          <w:bCs/>
          <w:sz w:val="26"/>
          <w:szCs w:val="26"/>
        </w:rPr>
        <w:t xml:space="preserve">4.2 Option 2: Log Level-Based Separation</w:t>
      </w:r>
    </w:p>
    <w:p>
      <w:pPr>
        <w:pStyle w:val="Heading3"/>
        <w:spacing w:after="100" w:before="200"/>
      </w:pPr>
      <w:r>
        <w:rPr>
          <w:rFonts w:ascii="Arial" w:cs="Arial" w:eastAsia="Arial" w:hAnsi="Arial"/>
          <w:b/>
          <w:bCs/>
          <w:sz w:val="24"/>
          <w:szCs w:val="24"/>
        </w:rPr>
        <w:t xml:space="preserve">Description</w:t>
      </w:r>
    </w:p>
    <w:p>
      <w:pPr>
        <w:spacing w:after="120"/>
        <w:jc w:val="left"/>
      </w:pPr>
      <w:r>
        <w:rPr>
          <w:rFonts w:ascii="Arial" w:cs="Arial" w:eastAsia="Arial" w:hAnsi="Arial"/>
          <w:sz w:val="22"/>
          <w:szCs w:val="22"/>
        </w:rPr>
        <w:t xml:space="preserve">Utilize existing log levels (ERROR, WARN, INFO, DEBUG, TRACE) to differentiate between audit and operational logs without modifying the custom connector.</w:t>
      </w:r>
    </w:p>
    <w:p>
      <w:pPr>
        <w:pStyle w:val="Heading3"/>
        <w:spacing w:after="100" w:before="200"/>
      </w:pPr>
      <w:r>
        <w:rPr>
          <w:rFonts w:ascii="Arial" w:cs="Arial" w:eastAsia="Arial" w:hAnsi="Arial"/>
          <w:b/>
          <w:bCs/>
          <w:sz w:val="24"/>
          <w:szCs w:val="24"/>
        </w:rPr>
        <w:t xml:space="preserve">Implementation Details</w:t>
      </w:r>
    </w:p>
    <w:p>
      <w:pPr>
        <w:pStyle w:val="ListParagraph"/>
        <w:numPr>
          <w:ilvl w:val="0"/>
          <w:numId w:val="2"/>
        </w:numPr>
        <w:spacing w:after="80"/>
      </w:pPr>
      <w:r>
        <w:rPr>
          <w:rFonts w:ascii="Arial" w:cs="Arial" w:eastAsia="Arial" w:hAnsi="Arial"/>
          <w:sz w:val="22"/>
          <w:szCs w:val="22"/>
        </w:rPr>
        <w:t xml:space="preserve">Define logging convention: INFO/WARN/ERROR for audit purposes</w:t>
      </w:r>
    </w:p>
    <w:p>
      <w:pPr>
        <w:pStyle w:val="ListParagraph"/>
        <w:numPr>
          <w:ilvl w:val="0"/>
          <w:numId w:val="2"/>
        </w:numPr>
        <w:spacing w:after="80"/>
      </w:pPr>
      <w:r>
        <w:rPr>
          <w:rFonts w:ascii="Arial" w:cs="Arial" w:eastAsia="Arial" w:hAnsi="Arial"/>
          <w:sz w:val="22"/>
          <w:szCs w:val="22"/>
        </w:rPr>
        <w:t xml:space="preserve">Define logging convention: DEBUG/TRACE for operational/troubleshooting</w:t>
      </w:r>
    </w:p>
    <w:p>
      <w:pPr>
        <w:pStyle w:val="ListParagraph"/>
        <w:numPr>
          <w:ilvl w:val="0"/>
          <w:numId w:val="2"/>
        </w:numPr>
        <w:spacing w:after="80"/>
      </w:pPr>
      <w:r>
        <w:rPr>
          <w:rFonts w:ascii="Arial" w:cs="Arial" w:eastAsia="Arial" w:hAnsi="Arial"/>
          <w:sz w:val="22"/>
          <w:szCs w:val="22"/>
        </w:rPr>
        <w:t xml:space="preserve">Configure Graylog appender to only capture INFO level and above</w:t>
      </w:r>
    </w:p>
    <w:p>
      <w:pPr>
        <w:pStyle w:val="ListParagraph"/>
        <w:numPr>
          <w:ilvl w:val="0"/>
          <w:numId w:val="2"/>
        </w:numPr>
        <w:spacing w:after="120"/>
      </w:pPr>
      <w:r>
        <w:rPr>
          <w:rFonts w:ascii="Arial" w:cs="Arial" w:eastAsia="Arial" w:hAnsi="Arial"/>
          <w:sz w:val="22"/>
          <w:szCs w:val="22"/>
        </w:rPr>
        <w:t xml:space="preserve">CloudHub default logging captures all levels including DEBUG/TRACE</w:t>
      </w:r>
    </w:p>
    <w:p>
      <w:pPr>
        <w:pStyle w:val="Heading3"/>
        <w:spacing w:after="100" w:before="200"/>
      </w:pPr>
      <w:r>
        <w:rPr>
          <w:rFonts w:ascii="Arial" w:cs="Arial" w:eastAsia="Arial" w:hAnsi="Arial"/>
          <w:b/>
          <w:bCs/>
          <w:sz w:val="24"/>
          <w:szCs w:val="24"/>
        </w:rPr>
        <w:t xml:space="preserve">Advantages</w:t>
      </w:r>
    </w:p>
    <w:p>
      <w:pPr>
        <w:pStyle w:val="ListParagraph"/>
        <w:numPr>
          <w:ilvl w:val="0"/>
          <w:numId w:val="2"/>
        </w:numPr>
        <w:spacing w:after="80"/>
      </w:pPr>
      <w:r>
        <w:rPr>
          <w:rFonts w:ascii="Arial" w:cs="Arial" w:eastAsia="Arial" w:hAnsi="Arial"/>
          <w:sz w:val="22"/>
          <w:szCs w:val="22"/>
        </w:rPr>
        <w:t xml:space="preserve">No custom connector modifications required</w:t>
      </w:r>
    </w:p>
    <w:p>
      <w:pPr>
        <w:pStyle w:val="ListParagraph"/>
        <w:numPr>
          <w:ilvl w:val="0"/>
          <w:numId w:val="2"/>
        </w:numPr>
        <w:spacing w:after="80"/>
      </w:pPr>
      <w:r>
        <w:rPr>
          <w:rFonts w:ascii="Arial" w:cs="Arial" w:eastAsia="Arial" w:hAnsi="Arial"/>
          <w:sz w:val="22"/>
          <w:szCs w:val="22"/>
        </w:rPr>
        <w:t xml:space="preserve">Configuration-only change (Log4j2 filter)</w:t>
      </w:r>
    </w:p>
    <w:p>
      <w:pPr>
        <w:pStyle w:val="ListParagraph"/>
        <w:numPr>
          <w:ilvl w:val="0"/>
          <w:numId w:val="2"/>
        </w:numPr>
        <w:spacing w:after="80"/>
      </w:pPr>
      <w:r>
        <w:rPr>
          <w:rFonts w:ascii="Arial" w:cs="Arial" w:eastAsia="Arial" w:hAnsi="Arial"/>
          <w:sz w:val="22"/>
          <w:szCs w:val="22"/>
        </w:rPr>
        <w:t xml:space="preserve">Faster implementation timeline</w:t>
      </w:r>
    </w:p>
    <w:p>
      <w:pPr>
        <w:pStyle w:val="ListParagraph"/>
        <w:numPr>
          <w:ilvl w:val="0"/>
          <w:numId w:val="2"/>
        </w:numPr>
        <w:spacing w:after="120"/>
      </w:pPr>
      <w:r>
        <w:rPr>
          <w:rFonts w:ascii="Arial" w:cs="Arial" w:eastAsia="Arial" w:hAnsi="Arial"/>
          <w:sz w:val="22"/>
          <w:szCs w:val="22"/>
        </w:rPr>
        <w:t xml:space="preserve">Leverages standard logging practices</w:t>
      </w:r>
    </w:p>
    <w:p>
      <w:pPr>
        <w:pStyle w:val="Heading3"/>
        <w:spacing w:after="100" w:before="200"/>
      </w:pPr>
      <w:r>
        <w:rPr>
          <w:rFonts w:ascii="Arial" w:cs="Arial" w:eastAsia="Arial" w:hAnsi="Arial"/>
          <w:b/>
          <w:bCs/>
          <w:sz w:val="24"/>
          <w:szCs w:val="24"/>
        </w:rPr>
        <w:t xml:space="preserve">Disadvantages</w:t>
      </w:r>
    </w:p>
    <w:p>
      <w:pPr>
        <w:pStyle w:val="ListParagraph"/>
        <w:numPr>
          <w:ilvl w:val="0"/>
          <w:numId w:val="2"/>
        </w:numPr>
        <w:spacing w:after="80"/>
      </w:pPr>
      <w:r>
        <w:rPr>
          <w:rFonts w:ascii="Arial" w:cs="Arial" w:eastAsia="Arial" w:hAnsi="Arial"/>
          <w:sz w:val="22"/>
          <w:szCs w:val="22"/>
        </w:rPr>
        <w:t xml:space="preserve">Conflates log severity with log purpose (semantic mismatch)</w:t>
      </w:r>
    </w:p>
    <w:p>
      <w:pPr>
        <w:pStyle w:val="ListParagraph"/>
        <w:numPr>
          <w:ilvl w:val="0"/>
          <w:numId w:val="2"/>
        </w:numPr>
        <w:spacing w:after="80"/>
      </w:pPr>
      <w:r>
        <w:rPr>
          <w:rFonts w:ascii="Arial" w:cs="Arial" w:eastAsia="Arial" w:hAnsi="Arial"/>
          <w:sz w:val="22"/>
          <w:szCs w:val="22"/>
        </w:rPr>
        <w:t xml:space="preserve">DEBUG logs may not always contain payload (inconsistent behavior)</w:t>
      </w:r>
    </w:p>
    <w:p>
      <w:pPr>
        <w:pStyle w:val="ListParagraph"/>
        <w:numPr>
          <w:ilvl w:val="0"/>
          <w:numId w:val="2"/>
        </w:numPr>
        <w:spacing w:after="80"/>
      </w:pPr>
      <w:r>
        <w:rPr>
          <w:rFonts w:ascii="Arial" w:cs="Arial" w:eastAsia="Arial" w:hAnsi="Arial"/>
          <w:sz w:val="22"/>
          <w:szCs w:val="22"/>
        </w:rPr>
        <w:t xml:space="preserve">Less explicit intent - harder to audit and maintain</w:t>
      </w:r>
    </w:p>
    <w:p>
      <w:pPr>
        <w:pStyle w:val="ListParagraph"/>
        <w:numPr>
          <w:ilvl w:val="0"/>
          <w:numId w:val="2"/>
        </w:numPr>
        <w:spacing w:after="120"/>
      </w:pPr>
      <w:r>
        <w:rPr>
          <w:rFonts w:ascii="Arial" w:cs="Arial" w:eastAsia="Arial" w:hAnsi="Arial"/>
          <w:sz w:val="22"/>
          <w:szCs w:val="22"/>
        </w:rPr>
        <w:t xml:space="preserve">May conflict with existing log level usage patterns</w:t>
      </w:r>
    </w:p>
    <w:p>
      <w:pPr>
        <w:pStyle w:val="Heading2"/>
        <w:spacing w:after="150" w:before="300"/>
      </w:pPr>
      <w:r>
        <w:rPr>
          <w:rFonts w:ascii="Arial" w:cs="Arial" w:eastAsia="Arial" w:hAnsi="Arial"/>
          <w:b/>
          <w:bCs/>
          <w:sz w:val="26"/>
          <w:szCs w:val="26"/>
        </w:rPr>
        <w:t xml:space="preserve">4.3 Option 3: Graylog Pipeline Filtering (Not Recommended)</w:t>
      </w:r>
    </w:p>
    <w:p>
      <w:pPr>
        <w:pStyle w:val="Heading3"/>
        <w:spacing w:after="100" w:before="200"/>
      </w:pPr>
      <w:r>
        <w:rPr>
          <w:rFonts w:ascii="Arial" w:cs="Arial" w:eastAsia="Arial" w:hAnsi="Arial"/>
          <w:b/>
          <w:bCs/>
          <w:sz w:val="24"/>
          <w:szCs w:val="24"/>
        </w:rPr>
        <w:t xml:space="preserve">Description</w:t>
      </w:r>
    </w:p>
    <w:p>
      <w:pPr>
        <w:spacing w:after="120"/>
        <w:jc w:val="left"/>
      </w:pPr>
      <w:r>
        <w:rPr>
          <w:rFonts w:ascii="Arial" w:cs="Arial" w:eastAsia="Arial" w:hAnsi="Arial"/>
          <w:sz w:val="22"/>
          <w:szCs w:val="22"/>
        </w:rPr>
        <w:t xml:space="preserve">Implement filtering rules within Graylog pipelines to separate, transform, or discard operational logs while retaining audit logs.</w:t>
      </w:r>
    </w:p>
    <w:p>
      <w:pPr>
        <w:pStyle w:val="Heading3"/>
        <w:spacing w:after="100" w:before="200"/>
      </w:pPr>
      <w:r>
        <w:rPr>
          <w:rFonts w:ascii="Arial" w:cs="Arial" w:eastAsia="Arial" w:hAnsi="Arial"/>
          <w:b/>
          <w:bCs/>
          <w:sz w:val="24"/>
          <w:szCs w:val="24"/>
        </w:rPr>
        <w:t xml:space="preserve">Analysis: Not Recommended</w:t>
      </w:r>
    </w:p>
    <w:p>
      <w:pPr>
        <w:spacing w:after="120"/>
        <w:jc w:val="left"/>
      </w:pPr>
      <w:r>
        <w:rPr>
          <w:rFonts w:ascii="Arial" w:cs="Arial" w:eastAsia="Arial" w:hAnsi="Arial"/>
          <w:sz w:val="22"/>
          <w:szCs w:val="22"/>
        </w:rPr>
        <w:t xml:space="preserve">While this option centralizes rule management, it fundamentally fails to solve our existing core problems:</w:t>
      </w:r>
    </w:p>
    <w:p>
      <w:pPr>
        <w:pStyle w:val="ListParagraph"/>
        <w:numPr>
          <w:ilvl w:val="0"/>
          <w:numId w:val="2"/>
        </w:numPr>
        <w:spacing w:after="100"/>
      </w:pPr>
      <w:r>
        <w:rPr>
          <w:rFonts w:ascii="Arial" w:cs="Arial" w:eastAsia="Arial" w:hAnsi="Arial"/>
          <w:b/>
          <w:bCs/>
          <w:sz w:val="22"/>
          <w:szCs w:val="22"/>
        </w:rPr>
        <w:t xml:space="preserve">Fails on Network Overhead/Volume: </w:t>
      </w:r>
      <w:r>
        <w:rPr>
          <w:rFonts w:ascii="Arial" w:cs="Arial" w:eastAsia="Arial" w:hAnsi="Arial"/>
          <w:sz w:val="22"/>
          <w:szCs w:val="22"/>
        </w:rPr>
        <w:t xml:space="preserve">All logs, including massive operational payloads, must still be transmitted over the network to Graylog before filtering occurs.</w:t>
      </w:r>
    </w:p>
    <w:p>
      <w:pPr>
        <w:pStyle w:val="ListParagraph"/>
        <w:numPr>
          <w:ilvl w:val="0"/>
          <w:numId w:val="2"/>
        </w:numPr>
        <w:spacing w:after="100"/>
      </w:pPr>
      <w:r>
        <w:rPr>
          <w:rFonts w:ascii="Arial" w:cs="Arial" w:eastAsia="Arial" w:hAnsi="Arial"/>
          <w:b/>
          <w:bCs/>
          <w:sz w:val="22"/>
          <w:szCs w:val="22"/>
        </w:rPr>
        <w:t xml:space="preserve">Fails on Security: </w:t>
      </w:r>
      <w:r>
        <w:rPr>
          <w:rFonts w:ascii="Arial" w:cs="Arial" w:eastAsia="Arial" w:hAnsi="Arial"/>
          <w:sz w:val="22"/>
          <w:szCs w:val="22"/>
        </w:rPr>
        <w:t xml:space="preserve">PII is still transmitted over the network and hits the Graylog ingestion layer before any masking can be applied.</w:t>
      </w:r>
    </w:p>
    <w:p>
      <w:pPr>
        <w:pStyle w:val="ListParagraph"/>
        <w:numPr>
          <w:ilvl w:val="0"/>
          <w:numId w:val="2"/>
        </w:numPr>
        <w:spacing w:after="120"/>
      </w:pPr>
      <w:r>
        <w:rPr>
          <w:rFonts w:ascii="Arial" w:cs="Arial" w:eastAsia="Arial" w:hAnsi="Arial"/>
          <w:b/>
          <w:bCs/>
          <w:sz w:val="22"/>
          <w:szCs w:val="22"/>
        </w:rPr>
        <w:t xml:space="preserve">Fails on Access: </w:t>
      </w:r>
      <w:r>
        <w:rPr>
          <w:rFonts w:ascii="Arial" w:cs="Arial" w:eastAsia="Arial" w:hAnsi="Arial"/>
          <w:sz w:val="22"/>
          <w:szCs w:val="22"/>
        </w:rPr>
        <w:t xml:space="preserve">It does not address developer access simplification; developers would still need Graylog access to view operational logs before they are discarded.</w:t>
      </w:r>
    </w:p>
    <w:p>
      <w:r>
        <w:br w:type="page"/>
      </w:r>
    </w:p>
    <w:p>
      <w:pPr>
        <w:pStyle w:val="Heading2"/>
        <w:spacing w:after="150" w:before="300"/>
      </w:pPr>
      <w:r>
        <w:rPr>
          <w:rFonts w:ascii="Arial" w:cs="Arial" w:eastAsia="Arial" w:hAnsi="Arial"/>
          <w:b/>
          <w:bCs/>
          <w:sz w:val="26"/>
          <w:szCs w:val="26"/>
        </w:rPr>
        <w:t xml:space="preserve">4.4 Option 4: Selective Payload Logging with PII Masking</w:t>
      </w:r>
    </w:p>
    <w:p>
      <w:pPr>
        <w:pStyle w:val="Heading3"/>
        <w:spacing w:after="100" w:before="200"/>
      </w:pPr>
      <w:r>
        <w:rPr>
          <w:rFonts w:ascii="Arial" w:cs="Arial" w:eastAsia="Arial" w:hAnsi="Arial"/>
          <w:b/>
          <w:bCs/>
          <w:sz w:val="24"/>
          <w:szCs w:val="24"/>
        </w:rPr>
        <w:t xml:space="preserve">Description</w:t>
      </w:r>
    </w:p>
    <w:p>
      <w:pPr>
        <w:spacing w:after="120"/>
        <w:jc w:val="left"/>
      </w:pPr>
      <w:r>
        <w:rPr>
          <w:rFonts w:ascii="Arial" w:cs="Arial" w:eastAsia="Arial" w:hAnsi="Arial"/>
          <w:sz w:val="22"/>
          <w:szCs w:val="22"/>
        </w:rPr>
        <w:t xml:space="preserve">Implement intelligent payload logging that automatically masks or excludes PII fields before logging, regardless of destination.</w:t>
      </w:r>
    </w:p>
    <w:p>
      <w:pPr>
        <w:pStyle w:val="Heading3"/>
        <w:spacing w:after="100" w:before="200"/>
      </w:pPr>
      <w:r>
        <w:rPr>
          <w:rFonts w:ascii="Arial" w:cs="Arial" w:eastAsia="Arial" w:hAnsi="Arial"/>
          <w:b/>
          <w:bCs/>
          <w:sz w:val="24"/>
          <w:szCs w:val="24"/>
        </w:rPr>
        <w:t xml:space="preserve">Implementation Details</w:t>
      </w:r>
    </w:p>
    <w:p>
      <w:pPr>
        <w:pStyle w:val="ListParagraph"/>
        <w:numPr>
          <w:ilvl w:val="0"/>
          <w:numId w:val="2"/>
        </w:numPr>
        <w:spacing w:after="80"/>
      </w:pPr>
      <w:r>
        <w:rPr>
          <w:rFonts w:ascii="Arial" w:cs="Arial" w:eastAsia="Arial" w:hAnsi="Arial"/>
          <w:sz w:val="22"/>
          <w:szCs w:val="22"/>
        </w:rPr>
        <w:t xml:space="preserve">Create PII field registry (configurable list of sensitive field names)</w:t>
      </w:r>
    </w:p>
    <w:p>
      <w:pPr>
        <w:pStyle w:val="ListParagraph"/>
        <w:numPr>
          <w:ilvl w:val="0"/>
          <w:numId w:val="2"/>
        </w:numPr>
        <w:spacing w:after="80"/>
      </w:pPr>
      <w:r>
        <w:rPr>
          <w:rFonts w:ascii="Arial" w:cs="Arial" w:eastAsia="Arial" w:hAnsi="Arial"/>
          <w:sz w:val="22"/>
          <w:szCs w:val="22"/>
        </w:rPr>
        <w:t xml:space="preserve">Implement masking logic in custom connector (hash, redact, or tokenize)</w:t>
      </w:r>
    </w:p>
    <w:p>
      <w:pPr>
        <w:pStyle w:val="ListParagraph"/>
        <w:numPr>
          <w:ilvl w:val="0"/>
          <w:numId w:val="2"/>
        </w:numPr>
        <w:spacing w:after="80"/>
      </w:pPr>
      <w:r>
        <w:rPr>
          <w:rFonts w:ascii="Arial" w:cs="Arial" w:eastAsia="Arial" w:hAnsi="Arial"/>
          <w:sz w:val="22"/>
          <w:szCs w:val="22"/>
        </w:rPr>
        <w:t xml:space="preserve">Support for DataWeave expressions to identify sensitive data patterns</w:t>
      </w:r>
    </w:p>
    <w:p>
      <w:pPr>
        <w:pStyle w:val="ListParagraph"/>
        <w:numPr>
          <w:ilvl w:val="0"/>
          <w:numId w:val="2"/>
        </w:numPr>
        <w:spacing w:after="120"/>
      </w:pPr>
      <w:r>
        <w:rPr>
          <w:rFonts w:ascii="Arial" w:cs="Arial" w:eastAsia="Arial" w:hAnsi="Arial"/>
          <w:sz w:val="22"/>
          <w:szCs w:val="22"/>
        </w:rPr>
        <w:t xml:space="preserve">Configurable masking strategies per field or data type</w:t>
      </w:r>
    </w:p>
    <w:p>
      <w:pPr>
        <w:pStyle w:val="Heading3"/>
        <w:spacing w:after="100" w:before="200"/>
      </w:pPr>
      <w:r>
        <w:rPr>
          <w:rFonts w:ascii="Arial" w:cs="Arial" w:eastAsia="Arial" w:hAnsi="Arial"/>
          <w:b/>
          <w:bCs/>
          <w:sz w:val="24"/>
          <w:szCs w:val="24"/>
        </w:rPr>
        <w:t xml:space="preserve">Masking Strategy Options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CCCCCC" w:sz="1"/>
              <w:left w:val="single" w:color="CCCCCC" w:sz="1"/>
              <w:bottom w:val="single" w:color="CCCCCC" w:sz="1"/>
              <w:right w:val="single" w:color="CCCCCC" w:sz="1"/>
            </w:tcBorders>
            <w:shd w:fill="2E5A88" w:val="clear"/>
            <w:tcMar>
              <w:top w:type="dxa" w:w="80"/>
              <w:left w:type="dxa" w:w="120"/>
              <w:bottom w:type="dxa" w:w="80"/>
              <w:right w:type="dxa" w:w="120"/>
            </w:tcMar>
          </w:tcPr>
          <w:p>
            <w:r>
              <w:rPr>
                <w:rFonts w:ascii="Arial" w:cs="Arial" w:eastAsia="Arial" w:hAnsi="Arial"/>
                <w:b/>
                <w:bCs/>
                <w:color w:val="FFFFFF"/>
                <w:sz w:val="20"/>
                <w:szCs w:val="20"/>
              </w:rPr>
              <w:t xml:space="preserve">Strategy</w:t>
            </w:r>
          </w:p>
        </w:tc>
        <w:tc>
          <w:tcPr>
            <w:tcW w:type="dxa" w:w="3680"/>
            <w:tcBorders>
              <w:top w:val="single" w:color="CCCCCC" w:sz="1"/>
              <w:left w:val="single" w:color="CCCCCC" w:sz="1"/>
              <w:bottom w:val="single" w:color="CCCCCC" w:sz="1"/>
              <w:right w:val="single" w:color="CCCCCC" w:sz="1"/>
            </w:tcBorders>
            <w:shd w:fill="2E5A88"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3680"/>
            <w:tcBorders>
              <w:top w:val="single" w:color="CCCCCC" w:sz="1"/>
              <w:left w:val="single" w:color="CCCCCC" w:sz="1"/>
              <w:bottom w:val="single" w:color="CCCCCC" w:sz="1"/>
              <w:right w:val="single" w:color="CCCCCC" w:sz="1"/>
            </w:tcBorders>
            <w:shd w:fill="2E5A88" w:val="clear"/>
            <w:tcMar>
              <w:top w:type="dxa" w:w="80"/>
              <w:left w:type="dxa" w:w="120"/>
              <w:bottom w:type="dxa" w:w="80"/>
              <w:right w:type="dxa" w:w="120"/>
            </w:tcMar>
          </w:tcPr>
          <w:p>
            <w:r>
              <w:rPr>
                <w:rFonts w:ascii="Arial" w:cs="Arial" w:eastAsia="Arial" w:hAnsi="Arial"/>
                <w:b/>
                <w:bCs/>
                <w:color w:val="FFFFFF"/>
                <w:sz w:val="20"/>
                <w:szCs w:val="20"/>
              </w:rPr>
              <w:t xml:space="preserve">Use Case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Redaction</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Replace with [REDACTED]</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Names, addresses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Partial Mask</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Show last 4 chars (****1234)</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Account numbers, SSN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Hashing</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SHA-256 hash of value</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Correlation without exposure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Tokenization</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Replace with reversible token</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Support investigation</w:t>
            </w:r>
          </w:p>
        </w:tc>
      </w:tr>
    </w:tbl>
    <w:p>
      <w:pPr>
        <w:spacing w:before="200"/>
      </w:pPr>
    </w:p>
    <w:p>
      <w:pPr>
        <w:pStyle w:val="Heading3"/>
        <w:spacing w:after="100" w:before="200"/>
      </w:pPr>
      <w:r>
        <w:rPr>
          <w:rFonts w:ascii="Arial" w:cs="Arial" w:eastAsia="Arial" w:hAnsi="Arial"/>
          <w:b/>
          <w:bCs/>
          <w:sz w:val="24"/>
          <w:szCs w:val="24"/>
        </w:rPr>
        <w:t xml:space="preserve">Advantages</w:t>
      </w:r>
    </w:p>
    <w:p>
      <w:pPr>
        <w:pStyle w:val="ListParagraph"/>
        <w:numPr>
          <w:ilvl w:val="0"/>
          <w:numId w:val="2"/>
        </w:numPr>
        <w:spacing w:after="80"/>
      </w:pPr>
      <w:r>
        <w:rPr>
          <w:rFonts w:ascii="Arial" w:cs="Arial" w:eastAsia="Arial" w:hAnsi="Arial"/>
          <w:sz w:val="22"/>
          <w:szCs w:val="22"/>
        </w:rPr>
        <w:t xml:space="preserve">PII protection at source - never leaves application</w:t>
      </w:r>
    </w:p>
    <w:p>
      <w:pPr>
        <w:pStyle w:val="ListParagraph"/>
        <w:numPr>
          <w:ilvl w:val="0"/>
          <w:numId w:val="2"/>
        </w:numPr>
        <w:spacing w:after="80"/>
      </w:pPr>
      <w:r>
        <w:rPr>
          <w:rFonts w:ascii="Arial" w:cs="Arial" w:eastAsia="Arial" w:hAnsi="Arial"/>
          <w:sz w:val="22"/>
          <w:szCs w:val="22"/>
        </w:rPr>
        <w:t xml:space="preserve">Enables full payload logging for troubleshooting without privacy risk</w:t>
      </w:r>
    </w:p>
    <w:p>
      <w:pPr>
        <w:pStyle w:val="ListParagraph"/>
        <w:numPr>
          <w:ilvl w:val="0"/>
          <w:numId w:val="2"/>
        </w:numPr>
        <w:spacing w:after="120"/>
      </w:pPr>
      <w:r>
        <w:rPr>
          <w:rFonts w:ascii="Arial" w:cs="Arial" w:eastAsia="Arial" w:hAnsi="Arial"/>
          <w:sz w:val="22"/>
          <w:szCs w:val="22"/>
        </w:rPr>
        <w:t xml:space="preserve">Regulatory compliance by design</w:t>
      </w:r>
    </w:p>
    <w:p>
      <w:pPr>
        <w:pStyle w:val="Heading3"/>
        <w:spacing w:after="100" w:before="200"/>
      </w:pPr>
      <w:r>
        <w:rPr>
          <w:rFonts w:ascii="Arial" w:cs="Arial" w:eastAsia="Arial" w:hAnsi="Arial"/>
          <w:b/>
          <w:bCs/>
          <w:sz w:val="24"/>
          <w:szCs w:val="24"/>
        </w:rPr>
        <w:t xml:space="preserve">Disadvantages</w:t>
      </w:r>
    </w:p>
    <w:p>
      <w:pPr>
        <w:pStyle w:val="ListParagraph"/>
        <w:numPr>
          <w:ilvl w:val="0"/>
          <w:numId w:val="2"/>
        </w:numPr>
        <w:spacing w:after="80"/>
      </w:pPr>
      <w:r>
        <w:rPr>
          <w:rFonts w:ascii="Arial" w:cs="Arial" w:eastAsia="Arial" w:hAnsi="Arial"/>
          <w:sz w:val="22"/>
          <w:szCs w:val="22"/>
        </w:rPr>
        <w:t xml:space="preserve">Significant connector development effort</w:t>
      </w:r>
    </w:p>
    <w:p>
      <w:pPr>
        <w:pStyle w:val="ListParagraph"/>
        <w:numPr>
          <w:ilvl w:val="0"/>
          <w:numId w:val="2"/>
        </w:numPr>
        <w:spacing w:after="80"/>
      </w:pPr>
      <w:r>
        <w:rPr>
          <w:rFonts w:ascii="Arial" w:cs="Arial" w:eastAsia="Arial" w:hAnsi="Arial"/>
          <w:sz w:val="22"/>
          <w:szCs w:val="22"/>
        </w:rPr>
        <w:t xml:space="preserve">Performance overhead for masking operations</w:t>
      </w:r>
    </w:p>
    <w:p>
      <w:pPr>
        <w:pStyle w:val="ListParagraph"/>
        <w:numPr>
          <w:ilvl w:val="0"/>
          <w:numId w:val="2"/>
        </w:numPr>
        <w:spacing w:after="80"/>
      </w:pPr>
      <w:r>
        <w:rPr>
          <w:rFonts w:ascii="Arial" w:cs="Arial" w:eastAsia="Arial" w:hAnsi="Arial"/>
          <w:sz w:val="22"/>
          <w:szCs w:val="22"/>
        </w:rPr>
        <w:t xml:space="preserve">Requires ongoing maintenance of PII field registry</w:t>
      </w:r>
    </w:p>
    <w:p>
      <w:pPr>
        <w:pStyle w:val="ListParagraph"/>
        <w:numPr>
          <w:ilvl w:val="0"/>
          <w:numId w:val="2"/>
        </w:numPr>
        <w:spacing w:after="120"/>
      </w:pPr>
      <w:r>
        <w:rPr>
          <w:rFonts w:ascii="Arial" w:cs="Arial" w:eastAsia="Arial" w:hAnsi="Arial"/>
          <w:sz w:val="22"/>
          <w:szCs w:val="22"/>
        </w:rPr>
        <w:t xml:space="preserve">Does not address log volume issues</w:t>
      </w:r>
    </w:p>
    <w:p>
      <w:r>
        <w:br w:type="page"/>
      </w:r>
    </w:p>
    <w:p>
      <w:pPr>
        <w:pStyle w:val="Heading2"/>
        <w:spacing w:after="150" w:before="300"/>
      </w:pPr>
      <w:r>
        <w:rPr>
          <w:rFonts w:ascii="Arial" w:cs="Arial" w:eastAsia="Arial" w:hAnsi="Arial"/>
          <w:b/>
          <w:bCs/>
          <w:sz w:val="26"/>
          <w:szCs w:val="26"/>
        </w:rPr>
        <w:t xml:space="preserve">4.5 Option 5: Hybrid Approach (Recommended)</w:t>
      </w:r>
    </w:p>
    <w:p>
      <w:pPr>
        <w:pStyle w:val="Heading3"/>
        <w:spacing w:after="100" w:before="200"/>
      </w:pPr>
      <w:r>
        <w:rPr>
          <w:rFonts w:ascii="Arial" w:cs="Arial" w:eastAsia="Arial" w:hAnsi="Arial"/>
          <w:b/>
          <w:bCs/>
          <w:sz w:val="24"/>
          <w:szCs w:val="24"/>
        </w:rPr>
        <w:t xml:space="preserve">Description</w:t>
      </w:r>
    </w:p>
    <w:p>
      <w:pPr>
        <w:spacing w:after="120"/>
        <w:jc w:val="left"/>
      </w:pPr>
      <w:r>
        <w:rPr>
          <w:rFonts w:ascii="Arial" w:cs="Arial" w:eastAsia="Arial" w:hAnsi="Arial"/>
          <w:sz w:val="22"/>
          <w:szCs w:val="22"/>
        </w:rPr>
        <w:t xml:space="preserve">Combine Option 1 (Dual-Category Connector) with Option 4 (PII Masking) to achieve both log separation and data protection.</w:t>
      </w:r>
    </w:p>
    <w:p>
      <w:pPr>
        <w:shd w:fill="F0F8FF" w:val="clear"/>
        <w:spacing w:after="200" w:before="200"/>
        <w:jc w:val="center"/>
      </w:pPr>
      <w:r>
        <w:rPr>
          <w:rFonts w:ascii="Arial" w:cs="Arial" w:eastAsia="Arial" w:hAnsi="Arial"/>
          <w:i/>
          <w:iCs/>
          <w:color w:val="0066CC"/>
          <w:sz w:val="20"/>
          <w:szCs w:val="20"/>
        </w:rPr>
        <w:t xml:space="preserve">[INSERT DIAGRAM: Proposed Hybrid Architecture showing developers routing Operational logs to CloudHub (short-term) and Audit logs through a PII Masking filter to Graylog (long-term)]</w:t>
      </w:r>
    </w:p>
    <w:p>
      <w:pPr>
        <w:pStyle w:val="Heading3"/>
        <w:spacing w:after="100" w:before="200"/>
      </w:pPr>
      <w:r>
        <w:rPr>
          <w:rFonts w:ascii="Arial" w:cs="Arial" w:eastAsia="Arial" w:hAnsi="Arial"/>
          <w:b/>
          <w:bCs/>
          <w:sz w:val="24"/>
          <w:szCs w:val="24"/>
        </w:rPr>
        <w:t xml:space="preserve">Implementation Details</w:t>
      </w:r>
    </w:p>
    <w:p>
      <w:pPr>
        <w:pStyle w:val="ListParagraph"/>
        <w:numPr>
          <w:ilvl w:val="0"/>
          <w:numId w:val="2"/>
        </w:numPr>
        <w:spacing w:after="100"/>
      </w:pPr>
      <w:r>
        <w:rPr>
          <w:rFonts w:ascii="Arial" w:cs="Arial" w:eastAsia="Arial" w:hAnsi="Arial"/>
          <w:b/>
          <w:bCs/>
          <w:sz w:val="22"/>
          <w:szCs w:val="22"/>
        </w:rPr>
        <w:t xml:space="preserve">Phase 1: </w:t>
      </w:r>
      <w:r>
        <w:rPr>
          <w:rFonts w:ascii="Arial" w:cs="Arial" w:eastAsia="Arial" w:hAnsi="Arial"/>
          <w:sz w:val="22"/>
          <w:szCs w:val="22"/>
        </w:rPr>
        <w:t xml:space="preserve">Implement dual-category logging (Audit vs. Operational). Developers route operational logs to CloudHub for troubleshooting (auto-deleted after 30 days) and audit logs to Graylog.</w:t>
      </w:r>
    </w:p>
    <w:p>
      <w:pPr>
        <w:pStyle w:val="ListParagraph"/>
        <w:numPr>
          <w:ilvl w:val="0"/>
          <w:numId w:val="2"/>
        </w:numPr>
        <w:spacing w:after="120"/>
      </w:pPr>
      <w:r>
        <w:rPr>
          <w:rFonts w:ascii="Arial" w:cs="Arial" w:eastAsia="Arial" w:hAnsi="Arial"/>
          <w:b/>
          <w:bCs/>
          <w:sz w:val="22"/>
          <w:szCs w:val="22"/>
        </w:rPr>
        <w:t xml:space="preserve">Phase 2: </w:t>
      </w:r>
      <w:r>
        <w:rPr>
          <w:rFonts w:ascii="Arial" w:cs="Arial" w:eastAsia="Arial" w:hAnsi="Arial"/>
          <w:sz w:val="22"/>
          <w:szCs w:val="22"/>
        </w:rPr>
        <w:t xml:space="preserve">Add PII masking logic within the custom connector for all audit logs destined for Graylog.</w:t>
      </w:r>
    </w:p>
    <w:p>
      <w:pPr>
        <w:pStyle w:val="Heading3"/>
        <w:spacing w:after="100" w:before="200"/>
      </w:pPr>
      <w:r>
        <w:rPr>
          <w:rFonts w:ascii="Arial" w:cs="Arial" w:eastAsia="Arial" w:hAnsi="Arial"/>
          <w:b/>
          <w:bCs/>
          <w:sz w:val="24"/>
          <w:szCs w:val="24"/>
        </w:rPr>
        <w:t xml:space="preserve">Log Flow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2E5A88" w:val="clear"/>
            <w:tcMar>
              <w:top w:type="dxa" w:w="80"/>
              <w:left w:type="dxa" w:w="120"/>
              <w:bottom w:type="dxa" w:w="80"/>
              <w:right w:type="dxa" w:w="120"/>
            </w:tcMar>
          </w:tcPr>
          <w:p>
            <w:r>
              <w:rPr>
                <w:rFonts w:ascii="Arial" w:cs="Arial" w:eastAsia="Arial" w:hAnsi="Arial"/>
                <w:b/>
                <w:bCs/>
                <w:color w:val="FFFFFF"/>
                <w:sz w:val="20"/>
                <w:szCs w:val="20"/>
              </w:rPr>
              <w:t xml:space="preserve">Log Type</w:t>
            </w:r>
          </w:p>
        </w:tc>
        <w:tc>
          <w:tcPr>
            <w:tcW w:type="dxa" w:w="2340"/>
            <w:tcBorders>
              <w:top w:val="single" w:color="CCCCCC" w:sz="1"/>
              <w:left w:val="single" w:color="CCCCCC" w:sz="1"/>
              <w:bottom w:val="single" w:color="CCCCCC" w:sz="1"/>
              <w:right w:val="single" w:color="CCCCCC" w:sz="1"/>
            </w:tcBorders>
            <w:shd w:fill="2E5A88" w:val="clear"/>
            <w:tcMar>
              <w:top w:type="dxa" w:w="80"/>
              <w:left w:type="dxa" w:w="120"/>
              <w:bottom w:type="dxa" w:w="80"/>
              <w:right w:type="dxa" w:w="120"/>
            </w:tcMar>
          </w:tcPr>
          <w:p>
            <w:r>
              <w:rPr>
                <w:rFonts w:ascii="Arial" w:cs="Arial" w:eastAsia="Arial" w:hAnsi="Arial"/>
                <w:b/>
                <w:bCs/>
                <w:color w:val="FFFFFF"/>
                <w:sz w:val="20"/>
                <w:szCs w:val="20"/>
              </w:rPr>
              <w:t xml:space="preserve">Destination</w:t>
            </w:r>
          </w:p>
        </w:tc>
        <w:tc>
          <w:tcPr>
            <w:tcW w:type="dxa" w:w="2340"/>
            <w:tcBorders>
              <w:top w:val="single" w:color="CCCCCC" w:sz="1"/>
              <w:left w:val="single" w:color="CCCCCC" w:sz="1"/>
              <w:bottom w:val="single" w:color="CCCCCC" w:sz="1"/>
              <w:right w:val="single" w:color="CCCCCC" w:sz="1"/>
            </w:tcBorders>
            <w:shd w:fill="2E5A88" w:val="clear"/>
            <w:tcMar>
              <w:top w:type="dxa" w:w="80"/>
              <w:left w:type="dxa" w:w="120"/>
              <w:bottom w:type="dxa" w:w="80"/>
              <w:right w:type="dxa" w:w="120"/>
            </w:tcMar>
          </w:tcPr>
          <w:p>
            <w:r>
              <w:rPr>
                <w:rFonts w:ascii="Arial" w:cs="Arial" w:eastAsia="Arial" w:hAnsi="Arial"/>
                <w:b/>
                <w:bCs/>
                <w:color w:val="FFFFFF"/>
                <w:sz w:val="20"/>
                <w:szCs w:val="20"/>
              </w:rPr>
              <w:t xml:space="preserve">Retention</w:t>
            </w:r>
          </w:p>
        </w:tc>
        <w:tc>
          <w:tcPr>
            <w:tcW w:type="dxa" w:w="2340"/>
            <w:tcBorders>
              <w:top w:val="single" w:color="CCCCCC" w:sz="1"/>
              <w:left w:val="single" w:color="CCCCCC" w:sz="1"/>
              <w:bottom w:val="single" w:color="CCCCCC" w:sz="1"/>
              <w:right w:val="single" w:color="CCCCCC" w:sz="1"/>
            </w:tcBorders>
            <w:shd w:fill="2E5A88" w:val="clear"/>
            <w:tcMar>
              <w:top w:type="dxa" w:w="80"/>
              <w:left w:type="dxa" w:w="120"/>
              <w:bottom w:type="dxa" w:w="80"/>
              <w:right w:type="dxa" w:w="120"/>
            </w:tcMar>
          </w:tcPr>
          <w:p>
            <w:r>
              <w:rPr>
                <w:rFonts w:ascii="Arial" w:cs="Arial" w:eastAsia="Arial" w:hAnsi="Arial"/>
                <w:b/>
                <w:bCs/>
                <w:color w:val="FFFFFF"/>
                <w:sz w:val="20"/>
                <w:szCs w:val="20"/>
              </w:rPr>
              <w:t xml:space="preserve">PII Handling</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Operational</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CloudHub</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30 days / 100MB</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Full payload (auto-deleted)</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Audit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Graylog</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Long-term</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Masked at source</w:t>
            </w:r>
          </w:p>
        </w:tc>
      </w:tr>
    </w:tbl>
    <w:p>
      <w:pPr>
        <w:spacing w:before="200"/>
      </w:pPr>
    </w:p>
    <w:p>
      <w:pPr>
        <w:pStyle w:val="Heading3"/>
        <w:spacing w:after="100" w:before="200"/>
      </w:pPr>
      <w:r>
        <w:rPr>
          <w:rFonts w:ascii="Arial" w:cs="Arial" w:eastAsia="Arial" w:hAnsi="Arial"/>
          <w:b/>
          <w:bCs/>
          <w:sz w:val="24"/>
          <w:szCs w:val="24"/>
        </w:rPr>
        <w:t xml:space="preserve">Advantages</w:t>
      </w:r>
    </w:p>
    <w:p>
      <w:pPr>
        <w:pStyle w:val="ListParagraph"/>
        <w:numPr>
          <w:ilvl w:val="0"/>
          <w:numId w:val="2"/>
        </w:numPr>
        <w:spacing w:after="80"/>
      </w:pPr>
      <w:r>
        <w:rPr>
          <w:rFonts w:ascii="Arial" w:cs="Arial" w:eastAsia="Arial" w:hAnsi="Arial"/>
          <w:sz w:val="22"/>
          <w:szCs w:val="22"/>
        </w:rPr>
        <w:t xml:space="preserve">Comprehensive solution addressing all identified problems</w:t>
      </w:r>
    </w:p>
    <w:p>
      <w:pPr>
        <w:pStyle w:val="ListParagraph"/>
        <w:numPr>
          <w:ilvl w:val="0"/>
          <w:numId w:val="2"/>
        </w:numPr>
        <w:spacing w:after="80"/>
      </w:pPr>
      <w:r>
        <w:rPr>
          <w:rFonts w:ascii="Arial" w:cs="Arial" w:eastAsia="Arial" w:hAnsi="Arial"/>
          <w:sz w:val="22"/>
          <w:szCs w:val="22"/>
        </w:rPr>
        <w:t xml:space="preserve">Developer access simplified (CloudHub only for troubleshooting)</w:t>
      </w:r>
    </w:p>
    <w:p>
      <w:pPr>
        <w:pStyle w:val="ListParagraph"/>
        <w:numPr>
          <w:ilvl w:val="0"/>
          <w:numId w:val="2"/>
        </w:numPr>
        <w:spacing w:after="80"/>
      </w:pPr>
      <w:r>
        <w:rPr>
          <w:rFonts w:ascii="Arial" w:cs="Arial" w:eastAsia="Arial" w:hAnsi="Arial"/>
          <w:sz w:val="22"/>
          <w:szCs w:val="22"/>
        </w:rPr>
        <w:t xml:space="preserve">PII protected at the source before reaching centralized logging</w:t>
      </w:r>
    </w:p>
    <w:p>
      <w:pPr>
        <w:pStyle w:val="ListParagraph"/>
        <w:numPr>
          <w:ilvl w:val="0"/>
          <w:numId w:val="2"/>
        </w:numPr>
        <w:spacing w:after="80"/>
      </w:pPr>
      <w:r>
        <w:rPr>
          <w:rFonts w:ascii="Arial" w:cs="Arial" w:eastAsia="Arial" w:hAnsi="Arial"/>
          <w:sz w:val="22"/>
          <w:szCs w:val="22"/>
        </w:rPr>
        <w:t xml:space="preserve">Phased implementation reduces risk and delivers early value</w:t>
      </w:r>
    </w:p>
    <w:p>
      <w:pPr>
        <w:pStyle w:val="ListParagraph"/>
        <w:numPr>
          <w:ilvl w:val="0"/>
          <w:numId w:val="2"/>
        </w:numPr>
        <w:spacing w:after="120"/>
      </w:pPr>
      <w:r>
        <w:rPr>
          <w:rFonts w:ascii="Arial" w:cs="Arial" w:eastAsia="Arial" w:hAnsi="Arial"/>
          <w:sz w:val="22"/>
          <w:szCs w:val="22"/>
        </w:rPr>
        <w:t xml:space="preserve">Full troubleshooting capability preserved in short-term CloudHub logs</w:t>
      </w:r>
    </w:p>
    <w:p>
      <w:pPr>
        <w:pStyle w:val="Heading3"/>
        <w:spacing w:after="100" w:before="200"/>
      </w:pPr>
      <w:r>
        <w:rPr>
          <w:rFonts w:ascii="Arial" w:cs="Arial" w:eastAsia="Arial" w:hAnsi="Arial"/>
          <w:b/>
          <w:bCs/>
          <w:sz w:val="24"/>
          <w:szCs w:val="24"/>
        </w:rPr>
        <w:t xml:space="preserve">Disadvantages</w:t>
      </w:r>
    </w:p>
    <w:p>
      <w:pPr>
        <w:pStyle w:val="ListParagraph"/>
        <w:numPr>
          <w:ilvl w:val="0"/>
          <w:numId w:val="2"/>
        </w:numPr>
        <w:spacing w:after="80"/>
      </w:pPr>
      <w:r>
        <w:rPr>
          <w:rFonts w:ascii="Arial" w:cs="Arial" w:eastAsia="Arial" w:hAnsi="Arial"/>
          <w:sz w:val="22"/>
          <w:szCs w:val="22"/>
        </w:rPr>
        <w:t xml:space="preserve">Highest overall implementation effort</w:t>
      </w:r>
    </w:p>
    <w:p>
      <w:pPr>
        <w:pStyle w:val="ListParagraph"/>
        <w:numPr>
          <w:ilvl w:val="0"/>
          <w:numId w:val="2"/>
        </w:numPr>
        <w:spacing w:after="80"/>
      </w:pPr>
      <w:r>
        <w:rPr>
          <w:rFonts w:ascii="Arial" w:cs="Arial" w:eastAsia="Arial" w:hAnsi="Arial"/>
          <w:sz w:val="22"/>
          <w:szCs w:val="22"/>
        </w:rPr>
        <w:t xml:space="preserve">Longer timeline to full implementation</w:t>
      </w:r>
    </w:p>
    <w:p>
      <w:pPr>
        <w:pStyle w:val="ListParagraph"/>
        <w:numPr>
          <w:ilvl w:val="0"/>
          <w:numId w:val="2"/>
        </w:numPr>
        <w:spacing w:after="120"/>
      </w:pPr>
      <w:r>
        <w:rPr>
          <w:rFonts w:ascii="Arial" w:cs="Arial" w:eastAsia="Arial" w:hAnsi="Arial"/>
          <w:sz w:val="22"/>
          <w:szCs w:val="22"/>
        </w:rPr>
        <w:t xml:space="preserve">More complex testing requirements</w:t>
      </w:r>
    </w:p>
    <w:p>
      <w:r>
        <w:br w:type="page"/>
      </w:r>
    </w:p>
    <w:p>
      <w:pPr>
        <w:pStyle w:val="Heading1"/>
        <w:spacing w:after="200" w:before="400"/>
      </w:pPr>
      <w:r>
        <w:rPr>
          <w:rFonts w:ascii="Arial" w:cs="Arial" w:eastAsia="Arial" w:hAnsi="Arial"/>
          <w:b/>
          <w:bCs/>
          <w:sz w:val="32"/>
          <w:szCs w:val="32"/>
        </w:rPr>
        <w:t xml:space="preserve">5. Effort Estimate Comparison</w:t>
      </w:r>
    </w:p>
    <w:p>
      <w:pPr>
        <w:spacing w:after="120"/>
        <w:jc w:val="left"/>
      </w:pPr>
      <w:r>
        <w:rPr>
          <w:rFonts w:ascii="Arial" w:cs="Arial" w:eastAsia="Arial" w:hAnsi="Arial"/>
          <w:sz w:val="22"/>
          <w:szCs w:val="22"/>
        </w:rPr>
        <w:t xml:space="preserve">The following table consolidates the estimated effort for each option, including development, testing, and rollout phases:</w:t>
      </w:r>
    </w:p>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40"/>
        <w:gridCol w:w="1640"/>
        <w:gridCol w:w="1640"/>
        <w:gridCol w:w="1640"/>
      </w:tblGrid>
      <w:tr>
        <w:tc>
          <w:tcPr>
            <w:tcW w:type="dxa" w:w="2800"/>
            <w:tcBorders>
              <w:top w:val="single" w:color="CCCCCC" w:sz="1"/>
              <w:left w:val="single" w:color="CCCCCC" w:sz="1"/>
              <w:bottom w:val="single" w:color="CCCCCC" w:sz="1"/>
              <w:right w:val="single" w:color="CCCCCC" w:sz="1"/>
            </w:tcBorders>
            <w:shd w:fill="2E5A88" w:val="clear"/>
            <w:tcMar>
              <w:top w:type="dxa" w:w="80"/>
              <w:left w:type="dxa" w:w="120"/>
              <w:bottom w:type="dxa" w:w="80"/>
              <w:right w:type="dxa" w:w="120"/>
            </w:tcMar>
          </w:tcPr>
          <w:p>
            <w:r>
              <w:rPr>
                <w:rFonts w:ascii="Arial" w:cs="Arial" w:eastAsia="Arial" w:hAnsi="Arial"/>
                <w:b/>
                <w:bCs/>
                <w:color w:val="FFFFFF"/>
                <w:sz w:val="20"/>
                <w:szCs w:val="20"/>
              </w:rPr>
              <w:t xml:space="preserve">Option</w:t>
            </w:r>
          </w:p>
        </w:tc>
        <w:tc>
          <w:tcPr>
            <w:tcW w:type="dxa" w:w="1640"/>
            <w:tcBorders>
              <w:top w:val="single" w:color="CCCCCC" w:sz="1"/>
              <w:left w:val="single" w:color="CCCCCC" w:sz="1"/>
              <w:bottom w:val="single" w:color="CCCCCC" w:sz="1"/>
              <w:right w:val="single" w:color="CCCCCC" w:sz="1"/>
            </w:tcBorders>
            <w:shd w:fill="2E5A88" w:val="clear"/>
            <w:tcMar>
              <w:top w:type="dxa" w:w="80"/>
              <w:left w:type="dxa" w:w="120"/>
              <w:bottom w:type="dxa" w:w="80"/>
              <w:right w:type="dxa" w:w="120"/>
            </w:tcMar>
          </w:tcPr>
          <w:p>
            <w:r>
              <w:rPr>
                <w:rFonts w:ascii="Arial" w:cs="Arial" w:eastAsia="Arial" w:hAnsi="Arial"/>
                <w:b/>
                <w:bCs/>
                <w:color w:val="FFFFFF"/>
                <w:sz w:val="20"/>
                <w:szCs w:val="20"/>
              </w:rPr>
              <w:t xml:space="preserve">Development</w:t>
            </w:r>
          </w:p>
        </w:tc>
        <w:tc>
          <w:tcPr>
            <w:tcW w:type="dxa" w:w="1640"/>
            <w:tcBorders>
              <w:top w:val="single" w:color="CCCCCC" w:sz="1"/>
              <w:left w:val="single" w:color="CCCCCC" w:sz="1"/>
              <w:bottom w:val="single" w:color="CCCCCC" w:sz="1"/>
              <w:right w:val="single" w:color="CCCCCC" w:sz="1"/>
            </w:tcBorders>
            <w:shd w:fill="2E5A88" w:val="clear"/>
            <w:tcMar>
              <w:top w:type="dxa" w:w="80"/>
              <w:left w:type="dxa" w:w="120"/>
              <w:bottom w:type="dxa" w:w="80"/>
              <w:right w:type="dxa" w:w="120"/>
            </w:tcMar>
          </w:tcPr>
          <w:p>
            <w:r>
              <w:rPr>
                <w:rFonts w:ascii="Arial" w:cs="Arial" w:eastAsia="Arial" w:hAnsi="Arial"/>
                <w:b/>
                <w:bCs/>
                <w:color w:val="FFFFFF"/>
                <w:sz w:val="20"/>
                <w:szCs w:val="20"/>
              </w:rPr>
              <w:t xml:space="preserve">Testing</w:t>
            </w:r>
          </w:p>
        </w:tc>
        <w:tc>
          <w:tcPr>
            <w:tcW w:type="dxa" w:w="1640"/>
            <w:tcBorders>
              <w:top w:val="single" w:color="CCCCCC" w:sz="1"/>
              <w:left w:val="single" w:color="CCCCCC" w:sz="1"/>
              <w:bottom w:val="single" w:color="CCCCCC" w:sz="1"/>
              <w:right w:val="single" w:color="CCCCCC" w:sz="1"/>
            </w:tcBorders>
            <w:shd w:fill="2E5A88" w:val="clear"/>
            <w:tcMar>
              <w:top w:type="dxa" w:w="80"/>
              <w:left w:type="dxa" w:w="120"/>
              <w:bottom w:type="dxa" w:w="80"/>
              <w:right w:type="dxa" w:w="120"/>
            </w:tcMar>
          </w:tcPr>
          <w:p>
            <w:r>
              <w:rPr>
                <w:rFonts w:ascii="Arial" w:cs="Arial" w:eastAsia="Arial" w:hAnsi="Arial"/>
                <w:b/>
                <w:bCs/>
                <w:color w:val="FFFFFF"/>
                <w:sz w:val="20"/>
                <w:szCs w:val="20"/>
              </w:rPr>
              <w:t xml:space="preserve">Rollout</w:t>
            </w:r>
          </w:p>
        </w:tc>
        <w:tc>
          <w:tcPr>
            <w:tcW w:type="dxa" w:w="1640"/>
            <w:tcBorders>
              <w:top w:val="single" w:color="CCCCCC" w:sz="1"/>
              <w:left w:val="single" w:color="CCCCCC" w:sz="1"/>
              <w:bottom w:val="single" w:color="CCCCCC" w:sz="1"/>
              <w:right w:val="single" w:color="CCCCCC" w:sz="1"/>
            </w:tcBorders>
            <w:shd w:fill="2E5A88" w:val="clear"/>
            <w:tcMar>
              <w:top w:type="dxa" w:w="80"/>
              <w:left w:type="dxa" w:w="120"/>
              <w:bottom w:type="dxa" w:w="80"/>
              <w:right w:type="dxa" w:w="120"/>
            </w:tcMar>
          </w:tcPr>
          <w:p>
            <w:r>
              <w:rPr>
                <w:rFonts w:ascii="Arial" w:cs="Arial" w:eastAsia="Arial" w:hAnsi="Arial"/>
                <w:b/>
                <w:bCs/>
                <w:color w:val="FFFFFF"/>
                <w:sz w:val="20"/>
                <w:szCs w:val="20"/>
              </w:rPr>
              <w:t xml:space="preserve">Total</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Option 1: Dual-Category Connector</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2-3 weeks</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1-2 weeks</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2-4 weeks</w:t>
            </w:r>
          </w:p>
        </w:tc>
        <w:tc>
          <w:tcPr>
            <w:tcW w:type="dxa" w:w="1640"/>
            <w:tcBorders>
              <w:top w:val="single" w:color="CCCCCC" w:sz="1"/>
              <w:left w:val="single" w:color="CCCCCC" w:sz="1"/>
              <w:bottom w:val="single" w:color="CCCCCC" w:sz="1"/>
              <w:right w:val="single" w:color="CCCCCC" w:sz="1"/>
            </w:tcBorders>
            <w:shd w:fill="FFFDE0" w:val="clear"/>
            <w:tcMar>
              <w:top w:type="dxa" w:w="80"/>
              <w:left w:type="dxa" w:w="120"/>
              <w:bottom w:type="dxa" w:w="80"/>
              <w:right w:type="dxa" w:w="120"/>
            </w:tcMar>
          </w:tcPr>
          <w:p>
            <w:r>
              <w:rPr>
                <w:rFonts w:ascii="Arial" w:cs="Arial" w:eastAsia="Arial" w:hAnsi="Arial"/>
                <w:b w:val="false"/>
                <w:bCs w:val="false"/>
                <w:color w:val="000000"/>
                <w:sz w:val="20"/>
                <w:szCs w:val="20"/>
              </w:rPr>
              <w:t xml:space="preserve">5-9 weeks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Option 2: Log Level Separation</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1 week</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1 week</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1-2 weeks</w:t>
            </w:r>
          </w:p>
        </w:tc>
        <w:tc>
          <w:tcPr>
            <w:tcW w:type="dxa" w:w="1640"/>
            <w:tcBorders>
              <w:top w:val="single" w:color="CCCCCC" w:sz="1"/>
              <w:left w:val="single" w:color="CCCCCC" w:sz="1"/>
              <w:bottom w:val="single" w:color="CCCCCC" w:sz="1"/>
              <w:right w:val="single" w:color="CCCCCC" w:sz="1"/>
            </w:tcBorders>
            <w:shd w:fill="E0FFE0" w:val="clear"/>
            <w:tcMar>
              <w:top w:type="dxa" w:w="80"/>
              <w:left w:type="dxa" w:w="120"/>
              <w:bottom w:type="dxa" w:w="80"/>
              <w:right w:type="dxa" w:w="120"/>
            </w:tcMar>
          </w:tcPr>
          <w:p>
            <w:r>
              <w:rPr>
                <w:rFonts w:ascii="Arial" w:cs="Arial" w:eastAsia="Arial" w:hAnsi="Arial"/>
                <w:b w:val="false"/>
                <w:bCs w:val="false"/>
                <w:color w:val="000000"/>
                <w:sz w:val="20"/>
                <w:szCs w:val="20"/>
              </w:rPr>
              <w:t xml:space="preserve">3-4 weeks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Option 3: Graylog Filtering</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1-2 weeks</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1 week</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1 week</w:t>
            </w:r>
          </w:p>
        </w:tc>
        <w:tc>
          <w:tcPr>
            <w:tcW w:type="dxa" w:w="1640"/>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tcPr>
          <w:p>
            <w:r>
              <w:rPr>
                <w:rFonts w:ascii="Arial" w:cs="Arial" w:eastAsia="Arial" w:hAnsi="Arial"/>
                <w:b w:val="false"/>
                <w:bCs w:val="false"/>
                <w:color w:val="000000"/>
                <w:sz w:val="20"/>
                <w:szCs w:val="20"/>
              </w:rPr>
              <w:t xml:space="preserve">3-4 weeks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Option 4: PII Masking Only</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4-6 weeks</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2-3 weeks</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2-4 weeks</w:t>
            </w:r>
          </w:p>
        </w:tc>
        <w:tc>
          <w:tcPr>
            <w:tcW w:type="dxa" w:w="1640"/>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tcPr>
          <w:p>
            <w:r>
              <w:rPr>
                <w:rFonts w:ascii="Arial" w:cs="Arial" w:eastAsia="Arial" w:hAnsi="Arial"/>
                <w:b w:val="false"/>
                <w:bCs w:val="false"/>
                <w:color w:val="000000"/>
                <w:sz w:val="20"/>
                <w:szCs w:val="20"/>
              </w:rPr>
              <w:t xml:space="preserve">8-13 weeks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Option 5: Hybrid (Recommended)</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Phase 1 + 2</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See below</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Phased</w:t>
            </w:r>
          </w:p>
        </w:tc>
        <w:tc>
          <w:tcPr>
            <w:tcW w:type="dxa" w:w="1640"/>
            <w:tcBorders>
              <w:top w:val="single" w:color="CCCCCC" w:sz="1"/>
              <w:left w:val="single" w:color="CCCCCC" w:sz="1"/>
              <w:bottom w:val="single" w:color="CCCCCC" w:sz="1"/>
              <w:right w:val="single" w:color="CCCCCC" w:sz="1"/>
            </w:tcBorders>
            <w:shd w:fill="E8F4EA" w:val="clear"/>
            <w:tcMar>
              <w:top w:type="dxa" w:w="80"/>
              <w:left w:type="dxa" w:w="120"/>
              <w:bottom w:type="dxa" w:w="80"/>
              <w:right w:type="dxa" w:w="120"/>
            </w:tcMar>
          </w:tcPr>
          <w:p>
            <w:r>
              <w:rPr>
                <w:rFonts w:ascii="Arial" w:cs="Arial" w:eastAsia="Arial" w:hAnsi="Arial"/>
                <w:b w:val="false"/>
                <w:bCs w:val="false"/>
                <w:color w:val="000000"/>
                <w:sz w:val="20"/>
                <w:szCs w:val="20"/>
              </w:rPr>
              <w:t xml:space="preserve">7-9 weeks</w:t>
            </w:r>
          </w:p>
        </w:tc>
      </w:tr>
    </w:tbl>
    <w:p>
      <w:pPr>
        <w:spacing w:before="300"/>
      </w:pPr>
    </w:p>
    <w:p>
      <w:pPr>
        <w:pStyle w:val="Heading3"/>
        <w:spacing w:after="100" w:before="200"/>
      </w:pPr>
      <w:r>
        <w:rPr>
          <w:rFonts w:ascii="Arial" w:cs="Arial" w:eastAsia="Arial" w:hAnsi="Arial"/>
          <w:b/>
          <w:bCs/>
          <w:sz w:val="24"/>
          <w:szCs w:val="24"/>
        </w:rPr>
        <w:t xml:space="preserve">Option 5 Phased Breakdown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40"/>
        <w:gridCol w:w="1640"/>
        <w:gridCol w:w="1640"/>
        <w:gridCol w:w="1640"/>
      </w:tblGrid>
      <w:tr>
        <w:tc>
          <w:tcPr>
            <w:tcW w:type="dxa" w:w="2800"/>
            <w:tcBorders>
              <w:top w:val="single" w:color="CCCCCC" w:sz="1"/>
              <w:left w:val="single" w:color="CCCCCC" w:sz="1"/>
              <w:bottom w:val="single" w:color="CCCCCC" w:sz="1"/>
              <w:right w:val="single" w:color="CCCCCC" w:sz="1"/>
            </w:tcBorders>
            <w:shd w:fill="2E5A88"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1640"/>
            <w:tcBorders>
              <w:top w:val="single" w:color="CCCCCC" w:sz="1"/>
              <w:left w:val="single" w:color="CCCCCC" w:sz="1"/>
              <w:bottom w:val="single" w:color="CCCCCC" w:sz="1"/>
              <w:right w:val="single" w:color="CCCCCC" w:sz="1"/>
            </w:tcBorders>
            <w:shd w:fill="2E5A88" w:val="clear"/>
            <w:tcMar>
              <w:top w:type="dxa" w:w="80"/>
              <w:left w:type="dxa" w:w="120"/>
              <w:bottom w:type="dxa" w:w="80"/>
              <w:right w:type="dxa" w:w="120"/>
            </w:tcMar>
          </w:tcPr>
          <w:p>
            <w:r>
              <w:rPr>
                <w:rFonts w:ascii="Arial" w:cs="Arial" w:eastAsia="Arial" w:hAnsi="Arial"/>
                <w:b/>
                <w:bCs/>
                <w:color w:val="FFFFFF"/>
                <w:sz w:val="20"/>
                <w:szCs w:val="20"/>
              </w:rPr>
              <w:t xml:space="preserve">Development</w:t>
            </w:r>
          </w:p>
        </w:tc>
        <w:tc>
          <w:tcPr>
            <w:tcW w:type="dxa" w:w="1640"/>
            <w:tcBorders>
              <w:top w:val="single" w:color="CCCCCC" w:sz="1"/>
              <w:left w:val="single" w:color="CCCCCC" w:sz="1"/>
              <w:bottom w:val="single" w:color="CCCCCC" w:sz="1"/>
              <w:right w:val="single" w:color="CCCCCC" w:sz="1"/>
            </w:tcBorders>
            <w:shd w:fill="2E5A88" w:val="clear"/>
            <w:tcMar>
              <w:top w:type="dxa" w:w="80"/>
              <w:left w:type="dxa" w:w="120"/>
              <w:bottom w:type="dxa" w:w="80"/>
              <w:right w:type="dxa" w:w="120"/>
            </w:tcMar>
          </w:tcPr>
          <w:p>
            <w:r>
              <w:rPr>
                <w:rFonts w:ascii="Arial" w:cs="Arial" w:eastAsia="Arial" w:hAnsi="Arial"/>
                <w:b/>
                <w:bCs/>
                <w:color w:val="FFFFFF"/>
                <w:sz w:val="20"/>
                <w:szCs w:val="20"/>
              </w:rPr>
              <w:t xml:space="preserve">Testing</w:t>
            </w:r>
          </w:p>
        </w:tc>
        <w:tc>
          <w:tcPr>
            <w:tcW w:type="dxa" w:w="1640"/>
            <w:tcBorders>
              <w:top w:val="single" w:color="CCCCCC" w:sz="1"/>
              <w:left w:val="single" w:color="CCCCCC" w:sz="1"/>
              <w:bottom w:val="single" w:color="CCCCCC" w:sz="1"/>
              <w:right w:val="single" w:color="CCCCCC" w:sz="1"/>
            </w:tcBorders>
            <w:shd w:fill="2E5A88" w:val="clear"/>
            <w:tcMar>
              <w:top w:type="dxa" w:w="80"/>
              <w:left w:type="dxa" w:w="120"/>
              <w:bottom w:type="dxa" w:w="80"/>
              <w:right w:type="dxa" w:w="120"/>
            </w:tcMar>
          </w:tcPr>
          <w:p>
            <w:r>
              <w:rPr>
                <w:rFonts w:ascii="Arial" w:cs="Arial" w:eastAsia="Arial" w:hAnsi="Arial"/>
                <w:b/>
                <w:bCs/>
                <w:color w:val="FFFFFF"/>
                <w:sz w:val="20"/>
                <w:szCs w:val="20"/>
              </w:rPr>
              <w:t xml:space="preserve">Rollout</w:t>
            </w:r>
          </w:p>
        </w:tc>
        <w:tc>
          <w:tcPr>
            <w:tcW w:type="dxa" w:w="1640"/>
            <w:tcBorders>
              <w:top w:val="single" w:color="CCCCCC" w:sz="1"/>
              <w:left w:val="single" w:color="CCCCCC" w:sz="1"/>
              <w:bottom w:val="single" w:color="CCCCCC" w:sz="1"/>
              <w:right w:val="single" w:color="CCCCCC" w:sz="1"/>
            </w:tcBorders>
            <w:shd w:fill="2E5A88" w:val="clear"/>
            <w:tcMar>
              <w:top w:type="dxa" w:w="80"/>
              <w:left w:type="dxa" w:w="120"/>
              <w:bottom w:type="dxa" w:w="80"/>
              <w:right w:type="dxa" w:w="120"/>
            </w:tcMar>
          </w:tcPr>
          <w:p>
            <w:r>
              <w:rPr>
                <w:rFonts w:ascii="Arial" w:cs="Arial" w:eastAsia="Arial" w:hAnsi="Arial"/>
                <w:b/>
                <w:bCs/>
                <w:color w:val="FFFFFF"/>
                <w:sz w:val="20"/>
                <w:szCs w:val="20"/>
              </w:rPr>
              <w:t xml:space="preserve">Subtotal</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Phase 1: Dual-Category Logging</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2-3 weeks</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1 week</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1-2 weeks</w:t>
            </w:r>
          </w:p>
        </w:tc>
        <w:tc>
          <w:tcPr>
            <w:tcW w:type="dxa" w:w="1640"/>
            <w:tcBorders>
              <w:top w:val="single" w:color="CCCCCC" w:sz="1"/>
              <w:left w:val="single" w:color="CCCCCC" w:sz="1"/>
              <w:bottom w:val="single" w:color="CCCCCC" w:sz="1"/>
              <w:right w:val="single" w:color="CCCCCC" w:sz="1"/>
            </w:tcBorders>
            <w:shd w:fill="E8F4EA" w:val="clear"/>
            <w:tcMar>
              <w:top w:type="dxa" w:w="80"/>
              <w:left w:type="dxa" w:w="120"/>
              <w:bottom w:type="dxa" w:w="80"/>
              <w:right w:type="dxa" w:w="120"/>
            </w:tcMar>
          </w:tcPr>
          <w:p>
            <w:r>
              <w:rPr>
                <w:rFonts w:ascii="Arial" w:cs="Arial" w:eastAsia="Arial" w:hAnsi="Arial"/>
                <w:b w:val="false"/>
                <w:bCs w:val="false"/>
                <w:color w:val="000000"/>
                <w:sz w:val="20"/>
                <w:szCs w:val="20"/>
              </w:rPr>
              <w:t xml:space="preserve">4-6 weeks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Phase 2: PII Masking</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3-4 weeks</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1-2 weeks</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Included</w:t>
            </w:r>
          </w:p>
        </w:tc>
        <w:tc>
          <w:tcPr>
            <w:tcW w:type="dxa" w:w="1640"/>
            <w:tcBorders>
              <w:top w:val="single" w:color="CCCCCC" w:sz="1"/>
              <w:left w:val="single" w:color="CCCCCC" w:sz="1"/>
              <w:bottom w:val="single" w:color="CCCCCC" w:sz="1"/>
              <w:right w:val="single" w:color="CCCCCC" w:sz="1"/>
            </w:tcBorders>
            <w:shd w:fill="E8F4EA" w:val="clear"/>
            <w:tcMar>
              <w:top w:type="dxa" w:w="80"/>
              <w:left w:type="dxa" w:w="120"/>
              <w:bottom w:type="dxa" w:w="80"/>
              <w:right w:type="dxa" w:w="120"/>
            </w:tcMar>
          </w:tcPr>
          <w:p>
            <w:r>
              <w:rPr>
                <w:rFonts w:ascii="Arial" w:cs="Arial" w:eastAsia="Arial" w:hAnsi="Arial"/>
                <w:b w:val="false"/>
                <w:bCs w:val="false"/>
                <w:color w:val="000000"/>
                <w:sz w:val="20"/>
                <w:szCs w:val="20"/>
              </w:rPr>
              <w:t xml:space="preserve">4-5 weeks</w:t>
            </w:r>
          </w:p>
        </w:tc>
      </w:tr>
    </w:tbl>
    <w:p>
      <w:pPr>
        <w:spacing w:before="200"/>
      </w:pPr>
    </w:p>
    <w:p>
      <w:pPr>
        <w:spacing w:after="120"/>
        <w:jc w:val="left"/>
      </w:pPr>
      <w:r>
        <w:rPr>
          <w:rFonts w:ascii="Arial" w:cs="Arial" w:eastAsia="Arial" w:hAnsi="Arial"/>
          <w:i/>
          <w:iCs/>
          <w:sz w:val="22"/>
          <w:szCs w:val="22"/>
        </w:rPr>
        <w:t xml:space="preserve">Note: Phase 1 delivers immediate value (volume reduction, simplified access) while Phase 2 adds security enhancement. Phases can overlap partially to compress timeline.</w:t>
      </w:r>
    </w:p>
    <w:p>
      <w:r>
        <w:br w:type="page"/>
      </w:r>
    </w:p>
    <w:p>
      <w:pPr>
        <w:pStyle w:val="Heading1"/>
        <w:spacing w:after="200" w:before="400"/>
      </w:pPr>
      <w:r>
        <w:rPr>
          <w:rFonts w:ascii="Arial" w:cs="Arial" w:eastAsia="Arial" w:hAnsi="Arial"/>
          <w:b/>
          <w:bCs/>
          <w:sz w:val="32"/>
          <w:szCs w:val="32"/>
        </w:rPr>
        <w:t xml:space="preserve">6. Security and Privacy Considerations</w:t>
      </w:r>
    </w:p>
    <w:p>
      <w:pPr>
        <w:pStyle w:val="Heading2"/>
        <w:spacing w:after="150" w:before="300"/>
      </w:pPr>
      <w:r>
        <w:rPr>
          <w:rFonts w:ascii="Arial" w:cs="Arial" w:eastAsia="Arial" w:hAnsi="Arial"/>
          <w:b/>
          <w:bCs/>
          <w:sz w:val="26"/>
          <w:szCs w:val="26"/>
        </w:rPr>
        <w:t xml:space="preserve">6.1 Data Classification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CCCCCC" w:sz="1"/>
              <w:left w:val="single" w:color="CCCCCC" w:sz="1"/>
              <w:bottom w:val="single" w:color="CCCCCC" w:sz="1"/>
              <w:right w:val="single" w:color="CCCCCC" w:sz="1"/>
            </w:tcBorders>
            <w:shd w:fill="2E5A88" w:val="clear"/>
            <w:tcMar>
              <w:top w:type="dxa" w:w="80"/>
              <w:left w:type="dxa" w:w="120"/>
              <w:bottom w:type="dxa" w:w="80"/>
              <w:right w:type="dxa" w:w="120"/>
            </w:tcMar>
          </w:tcPr>
          <w:p>
            <w:r>
              <w:rPr>
                <w:rFonts w:ascii="Arial" w:cs="Arial" w:eastAsia="Arial" w:hAnsi="Arial"/>
                <w:b/>
                <w:bCs/>
                <w:color w:val="FFFFFF"/>
                <w:sz w:val="20"/>
                <w:szCs w:val="20"/>
              </w:rPr>
              <w:t xml:space="preserve">Classification</w:t>
            </w:r>
          </w:p>
        </w:tc>
        <w:tc>
          <w:tcPr>
            <w:tcW w:type="dxa" w:w="3680"/>
            <w:tcBorders>
              <w:top w:val="single" w:color="CCCCCC" w:sz="1"/>
              <w:left w:val="single" w:color="CCCCCC" w:sz="1"/>
              <w:bottom w:val="single" w:color="CCCCCC" w:sz="1"/>
              <w:right w:val="single" w:color="CCCCCC" w:sz="1"/>
            </w:tcBorders>
            <w:shd w:fill="2E5A88" w:val="clear"/>
            <w:tcMar>
              <w:top w:type="dxa" w:w="80"/>
              <w:left w:type="dxa" w:w="120"/>
              <w:bottom w:type="dxa" w:w="80"/>
              <w:right w:type="dxa" w:w="120"/>
            </w:tcMar>
          </w:tcPr>
          <w:p>
            <w:r>
              <w:rPr>
                <w:rFonts w:ascii="Arial" w:cs="Arial" w:eastAsia="Arial" w:hAnsi="Arial"/>
                <w:b/>
                <w:bCs/>
                <w:color w:val="FFFFFF"/>
                <w:sz w:val="20"/>
                <w:szCs w:val="20"/>
              </w:rPr>
              <w:t xml:space="preserve">Examples</w:t>
            </w:r>
          </w:p>
        </w:tc>
        <w:tc>
          <w:tcPr>
            <w:tcW w:type="dxa" w:w="3680"/>
            <w:tcBorders>
              <w:top w:val="single" w:color="CCCCCC" w:sz="1"/>
              <w:left w:val="single" w:color="CCCCCC" w:sz="1"/>
              <w:bottom w:val="single" w:color="CCCCCC" w:sz="1"/>
              <w:right w:val="single" w:color="CCCCCC" w:sz="1"/>
            </w:tcBorders>
            <w:shd w:fill="2E5A88" w:val="clear"/>
            <w:tcMar>
              <w:top w:type="dxa" w:w="80"/>
              <w:left w:type="dxa" w:w="120"/>
              <w:bottom w:type="dxa" w:w="80"/>
              <w:right w:type="dxa" w:w="120"/>
            </w:tcMar>
          </w:tcPr>
          <w:p>
            <w:r>
              <w:rPr>
                <w:rFonts w:ascii="Arial" w:cs="Arial" w:eastAsia="Arial" w:hAnsi="Arial"/>
                <w:b/>
                <w:bCs/>
                <w:color w:val="FFFFFF"/>
                <w:sz w:val="20"/>
                <w:szCs w:val="20"/>
              </w:rPr>
              <w:t xml:space="preserve">Handling</w:t>
            </w:r>
          </w:p>
        </w:tc>
      </w:tr>
      <w:tr>
        <w:tc>
          <w:tcPr>
            <w:tcW w:type="dxa" w:w="2000"/>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tcPr>
          <w:p>
            <w:r>
              <w:rPr>
                <w:rFonts w:ascii="Arial" w:cs="Arial" w:eastAsia="Arial" w:hAnsi="Arial"/>
                <w:b w:val="false"/>
                <w:bCs w:val="false"/>
                <w:color w:val="000000"/>
                <w:sz w:val="20"/>
                <w:szCs w:val="20"/>
              </w:rPr>
              <w:t xml:space="preserve">Restricted PII</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SSN, DOB, Biometrics, Financial data</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Never log; tokenize with secure vault</w:t>
            </w:r>
          </w:p>
        </w:tc>
      </w:tr>
      <w:tr>
        <w:tc>
          <w:tcPr>
            <w:tcW w:type="dxa" w:w="2000"/>
            <w:tcBorders>
              <w:top w:val="single" w:color="CCCCCC" w:sz="1"/>
              <w:left w:val="single" w:color="CCCCCC" w:sz="1"/>
              <w:bottom w:val="single" w:color="CCCCCC" w:sz="1"/>
              <w:right w:val="single" w:color="CCCCCC" w:sz="1"/>
            </w:tcBorders>
            <w:shd w:fill="FFF0E0" w:val="clear"/>
            <w:tcMar>
              <w:top w:type="dxa" w:w="80"/>
              <w:left w:type="dxa" w:w="120"/>
              <w:bottom w:type="dxa" w:w="80"/>
              <w:right w:type="dxa" w:w="120"/>
            </w:tcMar>
          </w:tcPr>
          <w:p>
            <w:r>
              <w:rPr>
                <w:rFonts w:ascii="Arial" w:cs="Arial" w:eastAsia="Arial" w:hAnsi="Arial"/>
                <w:b w:val="false"/>
                <w:bCs w:val="false"/>
                <w:color w:val="000000"/>
                <w:sz w:val="20"/>
                <w:szCs w:val="20"/>
              </w:rPr>
              <w:t xml:space="preserve">Sensitive PII</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Name, Email, Phone, Address</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Mask before centralized logging</w:t>
            </w:r>
          </w:p>
        </w:tc>
      </w:tr>
      <w:tr>
        <w:tc>
          <w:tcPr>
            <w:tcW w:type="dxa" w:w="2000"/>
            <w:tcBorders>
              <w:top w:val="single" w:color="CCCCCC" w:sz="1"/>
              <w:left w:val="single" w:color="CCCCCC" w:sz="1"/>
              <w:bottom w:val="single" w:color="CCCCCC" w:sz="1"/>
              <w:right w:val="single" w:color="CCCCCC" w:sz="1"/>
            </w:tcBorders>
            <w:shd w:fill="FFFDE0" w:val="clear"/>
            <w:tcMar>
              <w:top w:type="dxa" w:w="80"/>
              <w:left w:type="dxa" w:w="120"/>
              <w:bottom w:type="dxa" w:w="80"/>
              <w:right w:type="dxa" w:w="120"/>
            </w:tcMar>
          </w:tcPr>
          <w:p>
            <w:r>
              <w:rPr>
                <w:rFonts w:ascii="Arial" w:cs="Arial" w:eastAsia="Arial" w:hAnsi="Arial"/>
                <w:b w:val="false"/>
                <w:bCs w:val="false"/>
                <w:color w:val="000000"/>
                <w:sz w:val="20"/>
                <w:szCs w:val="20"/>
              </w:rPr>
              <w:t xml:space="preserve">Internal</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Correlation IDs, Timestamps, Status codes</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May log to centralized platform</w:t>
            </w:r>
          </w:p>
        </w:tc>
      </w:tr>
    </w:tbl>
    <w:p>
      <w:pPr>
        <w:spacing w:before="300"/>
      </w:pPr>
    </w:p>
    <w:p>
      <w:pPr>
        <w:pStyle w:val="Heading2"/>
        <w:spacing w:after="150" w:before="300"/>
      </w:pPr>
      <w:r>
        <w:rPr>
          <w:rFonts w:ascii="Arial" w:cs="Arial" w:eastAsia="Arial" w:hAnsi="Arial"/>
          <w:b/>
          <w:bCs/>
          <w:sz w:val="26"/>
          <w:szCs w:val="26"/>
        </w:rPr>
        <w:t xml:space="preserve">6.2 Regulatory Compliance - Simplified</w:t>
      </w:r>
    </w:p>
    <w:p>
      <w:pPr>
        <w:spacing w:after="120"/>
        <w:jc w:val="left"/>
      </w:pPr>
      <w:r>
        <w:rPr>
          <w:rFonts w:ascii="Arial" w:cs="Arial" w:eastAsia="Arial" w:hAnsi="Arial"/>
          <w:sz w:val="22"/>
          <w:szCs w:val="22"/>
        </w:rPr>
        <w:t xml:space="preserve">While our systems must comply with various frameworks (GDPR, CCPA, PCI-DSS, internal policies), deep details of these specific laws are not strictly required for development and logging implementation. Rather, the architecture must satisfy two universal principles:</w:t>
      </w:r>
    </w:p>
    <w:p>
      <w:pPr>
        <w:spacing w:before="150"/>
      </w:pPr>
    </w:p>
    <w:p>
      <w:pPr>
        <w:spacing w:after="120"/>
      </w:pPr>
      <w:r>
        <w:rPr>
          <w:rFonts w:ascii="Arial" w:cs="Arial" w:eastAsia="Arial" w:hAnsi="Arial"/>
          <w:b/>
          <w:bCs/>
          <w:sz w:val="22"/>
          <w:szCs w:val="22"/>
        </w:rPr>
        <w:t xml:space="preserve">Data Minimization: </w:t>
      </w:r>
      <w:r>
        <w:rPr>
          <w:rFonts w:ascii="Arial" w:cs="Arial" w:eastAsia="Arial" w:hAnsi="Arial"/>
          <w:sz w:val="22"/>
          <w:szCs w:val="22"/>
        </w:rPr>
        <w:t xml:space="preserve">We must only collect, transmit, and store the absolute minimum amount of personal data necessary. Sending unmasked operational payloads to long-term storage violates this principle.</w:t>
      </w:r>
    </w:p>
    <w:p>
      <w:pPr>
        <w:spacing w:after="120"/>
      </w:pPr>
      <w:r>
        <w:rPr>
          <w:rFonts w:ascii="Arial" w:cs="Arial" w:eastAsia="Arial" w:hAnsi="Arial"/>
          <w:b/>
          <w:bCs/>
          <w:sz w:val="22"/>
          <w:szCs w:val="22"/>
        </w:rPr>
        <w:t xml:space="preserve">Right to Protection &amp; Erasure: </w:t>
      </w:r>
      <w:r>
        <w:rPr>
          <w:rFonts w:ascii="Arial" w:cs="Arial" w:eastAsia="Arial" w:hAnsi="Arial"/>
          <w:sz w:val="22"/>
          <w:szCs w:val="22"/>
        </w:rPr>
        <w:t xml:space="preserve">Centralizing plain-text PII increases our breach impact and complicates compliance when users request data deletion. Masking data at the source mitigates this risk entirely.</w:t>
      </w:r>
    </w:p>
    <w:p>
      <w:pPr>
        <w:pStyle w:val="Heading2"/>
        <w:spacing w:after="150" w:before="300"/>
      </w:pPr>
      <w:r>
        <w:rPr>
          <w:rFonts w:ascii="Arial" w:cs="Arial" w:eastAsia="Arial" w:hAnsi="Arial"/>
          <w:b/>
          <w:bCs/>
          <w:sz w:val="26"/>
          <w:szCs w:val="26"/>
        </w:rPr>
        <w:t xml:space="preserve">6.3 Access Control Recommendations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2E5A88"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2340"/>
            <w:tcBorders>
              <w:top w:val="single" w:color="CCCCCC" w:sz="1"/>
              <w:left w:val="single" w:color="CCCCCC" w:sz="1"/>
              <w:bottom w:val="single" w:color="CCCCCC" w:sz="1"/>
              <w:right w:val="single" w:color="CCCCCC" w:sz="1"/>
            </w:tcBorders>
            <w:shd w:fill="2E5A88" w:val="clear"/>
            <w:tcMar>
              <w:top w:type="dxa" w:w="80"/>
              <w:left w:type="dxa" w:w="120"/>
              <w:bottom w:type="dxa" w:w="80"/>
              <w:right w:type="dxa" w:w="120"/>
            </w:tcMar>
          </w:tcPr>
          <w:p>
            <w:r>
              <w:rPr>
                <w:rFonts w:ascii="Arial" w:cs="Arial" w:eastAsia="Arial" w:hAnsi="Arial"/>
                <w:b/>
                <w:bCs/>
                <w:color w:val="FFFFFF"/>
                <w:sz w:val="20"/>
                <w:szCs w:val="20"/>
              </w:rPr>
              <w:t xml:space="preserve">CloudHub Logs</w:t>
            </w:r>
          </w:p>
        </w:tc>
        <w:tc>
          <w:tcPr>
            <w:tcW w:type="dxa" w:w="2340"/>
            <w:tcBorders>
              <w:top w:val="single" w:color="CCCCCC" w:sz="1"/>
              <w:left w:val="single" w:color="CCCCCC" w:sz="1"/>
              <w:bottom w:val="single" w:color="CCCCCC" w:sz="1"/>
              <w:right w:val="single" w:color="CCCCCC" w:sz="1"/>
            </w:tcBorders>
            <w:shd w:fill="2E5A88" w:val="clear"/>
            <w:tcMar>
              <w:top w:type="dxa" w:w="80"/>
              <w:left w:type="dxa" w:w="120"/>
              <w:bottom w:type="dxa" w:w="80"/>
              <w:right w:type="dxa" w:w="120"/>
            </w:tcMar>
          </w:tcPr>
          <w:p>
            <w:r>
              <w:rPr>
                <w:rFonts w:ascii="Arial" w:cs="Arial" w:eastAsia="Arial" w:hAnsi="Arial"/>
                <w:b/>
                <w:bCs/>
                <w:color w:val="FFFFFF"/>
                <w:sz w:val="20"/>
                <w:szCs w:val="20"/>
              </w:rPr>
              <w:t xml:space="preserve">Graylog (Audit)</w:t>
            </w:r>
          </w:p>
        </w:tc>
        <w:tc>
          <w:tcPr>
            <w:tcW w:type="dxa" w:w="2340"/>
            <w:tcBorders>
              <w:top w:val="single" w:color="CCCCCC" w:sz="1"/>
              <w:left w:val="single" w:color="CCCCCC" w:sz="1"/>
              <w:bottom w:val="single" w:color="CCCCCC" w:sz="1"/>
              <w:right w:val="single" w:color="CCCCCC" w:sz="1"/>
            </w:tcBorders>
            <w:shd w:fill="2E5A88" w:val="clear"/>
            <w:tcMar>
              <w:top w:type="dxa" w:w="80"/>
              <w:left w:type="dxa" w:w="120"/>
              <w:bottom w:type="dxa" w:w="80"/>
              <w:right w:type="dxa" w:w="120"/>
            </w:tcMar>
          </w:tcPr>
          <w:p>
            <w:r>
              <w:rPr>
                <w:rFonts w:ascii="Arial" w:cs="Arial" w:eastAsia="Arial" w:hAnsi="Arial"/>
                <w:b/>
                <w:bCs/>
                <w:color w:val="FFFFFF"/>
                <w:sz w:val="20"/>
                <w:szCs w:val="20"/>
              </w:rPr>
              <w:t xml:space="preserve">PII Access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Developer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Full Access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No Access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Masked Only</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DevOps/Platform</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Full Access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Read Access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Masked Only</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Security Team</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Read Access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Full Access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On Approval</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Compliance/Audit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No Access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Read Access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On Approval</w:t>
            </w:r>
          </w:p>
        </w:tc>
      </w:tr>
    </w:tbl>
    <w:p>
      <w:r>
        <w:br w:type="page"/>
      </w:r>
    </w:p>
    <w:p>
      <w:pPr>
        <w:pStyle w:val="Heading1"/>
        <w:spacing w:after="200" w:before="400"/>
      </w:pPr>
      <w:r>
        <w:rPr>
          <w:rFonts w:ascii="Arial" w:cs="Arial" w:eastAsia="Arial" w:hAnsi="Arial"/>
          <w:b/>
          <w:bCs/>
          <w:sz w:val="32"/>
          <w:szCs w:val="32"/>
        </w:rPr>
        <w:t xml:space="preserve">7. Options Comparison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32"/>
        <w:gridCol w:w="1432"/>
        <w:gridCol w:w="1432"/>
        <w:gridCol w:w="1432"/>
        <w:gridCol w:w="1432"/>
      </w:tblGrid>
      <w:tr>
        <w:tc>
          <w:tcPr>
            <w:tcW w:type="dxa" w:w="2200"/>
            <w:tcBorders>
              <w:top w:val="single" w:color="CCCCCC" w:sz="1"/>
              <w:left w:val="single" w:color="CCCCCC" w:sz="1"/>
              <w:bottom w:val="single" w:color="CCCCCC" w:sz="1"/>
              <w:right w:val="single" w:color="CCCCCC" w:sz="1"/>
            </w:tcBorders>
            <w:shd w:fill="2E5A88" w:val="clear"/>
            <w:tcMar>
              <w:top w:type="dxa" w:w="80"/>
              <w:left w:type="dxa" w:w="120"/>
              <w:bottom w:type="dxa" w:w="80"/>
              <w:right w:type="dxa" w:w="120"/>
            </w:tcMar>
          </w:tcPr>
          <w:p>
            <w:r>
              <w:rPr>
                <w:rFonts w:ascii="Arial" w:cs="Arial" w:eastAsia="Arial" w:hAnsi="Arial"/>
                <w:b/>
                <w:bCs/>
                <w:color w:val="FFFFFF"/>
                <w:sz w:val="20"/>
                <w:szCs w:val="20"/>
              </w:rPr>
              <w:t xml:space="preserve">Criteria</w:t>
            </w:r>
          </w:p>
        </w:tc>
        <w:tc>
          <w:tcPr>
            <w:tcW w:type="dxa" w:w="1432"/>
            <w:tcBorders>
              <w:top w:val="single" w:color="CCCCCC" w:sz="1"/>
              <w:left w:val="single" w:color="CCCCCC" w:sz="1"/>
              <w:bottom w:val="single" w:color="CCCCCC" w:sz="1"/>
              <w:right w:val="single" w:color="CCCCCC" w:sz="1"/>
            </w:tcBorders>
            <w:shd w:fill="2E5A88" w:val="clear"/>
            <w:tcMar>
              <w:top w:type="dxa" w:w="80"/>
              <w:left w:type="dxa" w:w="120"/>
              <w:bottom w:type="dxa" w:w="80"/>
              <w:right w:type="dxa" w:w="120"/>
            </w:tcMar>
          </w:tcPr>
          <w:p>
            <w:r>
              <w:rPr>
                <w:rFonts w:ascii="Arial" w:cs="Arial" w:eastAsia="Arial" w:hAnsi="Arial"/>
                <w:b/>
                <w:bCs/>
                <w:color w:val="FFFFFF"/>
                <w:sz w:val="20"/>
                <w:szCs w:val="20"/>
              </w:rPr>
              <w:t xml:space="preserve">Opt 1</w:t>
            </w:r>
          </w:p>
        </w:tc>
        <w:tc>
          <w:tcPr>
            <w:tcW w:type="dxa" w:w="1432"/>
            <w:tcBorders>
              <w:top w:val="single" w:color="CCCCCC" w:sz="1"/>
              <w:left w:val="single" w:color="CCCCCC" w:sz="1"/>
              <w:bottom w:val="single" w:color="CCCCCC" w:sz="1"/>
              <w:right w:val="single" w:color="CCCCCC" w:sz="1"/>
            </w:tcBorders>
            <w:shd w:fill="2E5A88" w:val="clear"/>
            <w:tcMar>
              <w:top w:type="dxa" w:w="80"/>
              <w:left w:type="dxa" w:w="120"/>
              <w:bottom w:type="dxa" w:w="80"/>
              <w:right w:type="dxa" w:w="120"/>
            </w:tcMar>
          </w:tcPr>
          <w:p>
            <w:r>
              <w:rPr>
                <w:rFonts w:ascii="Arial" w:cs="Arial" w:eastAsia="Arial" w:hAnsi="Arial"/>
                <w:b/>
                <w:bCs/>
                <w:color w:val="FFFFFF"/>
                <w:sz w:val="20"/>
                <w:szCs w:val="20"/>
              </w:rPr>
              <w:t xml:space="preserve">Opt 2</w:t>
            </w:r>
          </w:p>
        </w:tc>
        <w:tc>
          <w:tcPr>
            <w:tcW w:type="dxa" w:w="1432"/>
            <w:tcBorders>
              <w:top w:val="single" w:color="CCCCCC" w:sz="1"/>
              <w:left w:val="single" w:color="CCCCCC" w:sz="1"/>
              <w:bottom w:val="single" w:color="CCCCCC" w:sz="1"/>
              <w:right w:val="single" w:color="CCCCCC" w:sz="1"/>
            </w:tcBorders>
            <w:shd w:fill="2E5A88" w:val="clear"/>
            <w:tcMar>
              <w:top w:type="dxa" w:w="80"/>
              <w:left w:type="dxa" w:w="120"/>
              <w:bottom w:type="dxa" w:w="80"/>
              <w:right w:type="dxa" w:w="120"/>
            </w:tcMar>
          </w:tcPr>
          <w:p>
            <w:r>
              <w:rPr>
                <w:rFonts w:ascii="Arial" w:cs="Arial" w:eastAsia="Arial" w:hAnsi="Arial"/>
                <w:b/>
                <w:bCs/>
                <w:color w:val="FFFFFF"/>
                <w:sz w:val="20"/>
                <w:szCs w:val="20"/>
              </w:rPr>
              <w:t xml:space="preserve">Opt 3</w:t>
            </w:r>
          </w:p>
        </w:tc>
        <w:tc>
          <w:tcPr>
            <w:tcW w:type="dxa" w:w="1432"/>
            <w:tcBorders>
              <w:top w:val="single" w:color="CCCCCC" w:sz="1"/>
              <w:left w:val="single" w:color="CCCCCC" w:sz="1"/>
              <w:bottom w:val="single" w:color="CCCCCC" w:sz="1"/>
              <w:right w:val="single" w:color="CCCCCC" w:sz="1"/>
            </w:tcBorders>
            <w:shd w:fill="2E5A88" w:val="clear"/>
            <w:tcMar>
              <w:top w:type="dxa" w:w="80"/>
              <w:left w:type="dxa" w:w="120"/>
              <w:bottom w:type="dxa" w:w="80"/>
              <w:right w:type="dxa" w:w="120"/>
            </w:tcMar>
          </w:tcPr>
          <w:p>
            <w:r>
              <w:rPr>
                <w:rFonts w:ascii="Arial" w:cs="Arial" w:eastAsia="Arial" w:hAnsi="Arial"/>
                <w:b/>
                <w:bCs/>
                <w:color w:val="FFFFFF"/>
                <w:sz w:val="20"/>
                <w:szCs w:val="20"/>
              </w:rPr>
              <w:t xml:space="preserve">Opt 4</w:t>
            </w:r>
          </w:p>
        </w:tc>
        <w:tc>
          <w:tcPr>
            <w:tcW w:type="dxa" w:w="1432"/>
            <w:tcBorders>
              <w:top w:val="single" w:color="CCCCCC" w:sz="1"/>
              <w:left w:val="single" w:color="CCCCCC" w:sz="1"/>
              <w:bottom w:val="single" w:color="CCCCCC" w:sz="1"/>
              <w:right w:val="single" w:color="CCCCCC" w:sz="1"/>
            </w:tcBorders>
            <w:shd w:fill="2E5A88" w:val="clear"/>
            <w:tcMar>
              <w:top w:type="dxa" w:w="80"/>
              <w:left w:type="dxa" w:w="120"/>
              <w:bottom w:type="dxa" w:w="80"/>
              <w:right w:type="dxa" w:w="120"/>
            </w:tcMar>
          </w:tcPr>
          <w:p>
            <w:r>
              <w:rPr>
                <w:rFonts w:ascii="Arial" w:cs="Arial" w:eastAsia="Arial" w:hAnsi="Arial"/>
                <w:b/>
                <w:bCs/>
                <w:color w:val="FFFFFF"/>
                <w:sz w:val="20"/>
                <w:szCs w:val="20"/>
              </w:rPr>
              <w:t xml:space="preserve">Opt 5</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Reduces Graylog Volume</w:t>
            </w:r>
          </w:p>
        </w:tc>
        <w:tc>
          <w:tcPr>
            <w:tcW w:type="dxa" w:w="1432"/>
            <w:tcBorders>
              <w:top w:val="single" w:color="CCCCCC" w:sz="1"/>
              <w:left w:val="single" w:color="CCCCCC" w:sz="1"/>
              <w:bottom w:val="single" w:color="CCCCCC" w:sz="1"/>
              <w:right w:val="single" w:color="CCCCCC" w:sz="1"/>
            </w:tcBorders>
            <w:shd w:fill="E0FFE0" w:val="clear"/>
            <w:tcMar>
              <w:top w:type="dxa" w:w="80"/>
              <w:left w:type="dxa" w:w="120"/>
              <w:bottom w:type="dxa" w:w="80"/>
              <w:right w:type="dxa" w:w="120"/>
            </w:tcMar>
          </w:tcPr>
          <w:p>
            <w:r>
              <w:rPr>
                <w:rFonts w:ascii="Arial" w:cs="Arial" w:eastAsia="Arial" w:hAnsi="Arial"/>
                <w:b w:val="false"/>
                <w:bCs w:val="false"/>
                <w:color w:val="000000"/>
                <w:sz w:val="20"/>
                <w:szCs w:val="20"/>
              </w:rPr>
              <w:t xml:space="preserve">✔ Yes</w:t>
            </w:r>
          </w:p>
        </w:tc>
        <w:tc>
          <w:tcPr>
            <w:tcW w:type="dxa" w:w="1432"/>
            <w:tcBorders>
              <w:top w:val="single" w:color="CCCCCC" w:sz="1"/>
              <w:left w:val="single" w:color="CCCCCC" w:sz="1"/>
              <w:bottom w:val="single" w:color="CCCCCC" w:sz="1"/>
              <w:right w:val="single" w:color="CCCCCC" w:sz="1"/>
            </w:tcBorders>
            <w:shd w:fill="E0FFE0" w:val="clear"/>
            <w:tcMar>
              <w:top w:type="dxa" w:w="80"/>
              <w:left w:type="dxa" w:w="120"/>
              <w:bottom w:type="dxa" w:w="80"/>
              <w:right w:type="dxa" w:w="120"/>
            </w:tcMar>
          </w:tcPr>
          <w:p>
            <w:r>
              <w:rPr>
                <w:rFonts w:ascii="Arial" w:cs="Arial" w:eastAsia="Arial" w:hAnsi="Arial"/>
                <w:b w:val="false"/>
                <w:bCs w:val="false"/>
                <w:color w:val="000000"/>
                <w:sz w:val="20"/>
                <w:szCs w:val="20"/>
              </w:rPr>
              <w:t xml:space="preserve">✔ Yes</w:t>
            </w:r>
          </w:p>
        </w:tc>
        <w:tc>
          <w:tcPr>
            <w:tcW w:type="dxa" w:w="1432"/>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tcPr>
          <w:p>
            <w:r>
              <w:rPr>
                <w:rFonts w:ascii="Arial" w:cs="Arial" w:eastAsia="Arial" w:hAnsi="Arial"/>
                <w:b w:val="false"/>
                <w:bCs w:val="false"/>
                <w:color w:val="000000"/>
                <w:sz w:val="20"/>
                <w:szCs w:val="20"/>
              </w:rPr>
              <w:t xml:space="preserve">✘ No</w:t>
            </w:r>
          </w:p>
        </w:tc>
        <w:tc>
          <w:tcPr>
            <w:tcW w:type="dxa" w:w="1432"/>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tcPr>
          <w:p>
            <w:r>
              <w:rPr>
                <w:rFonts w:ascii="Arial" w:cs="Arial" w:eastAsia="Arial" w:hAnsi="Arial"/>
                <w:b w:val="false"/>
                <w:bCs w:val="false"/>
                <w:color w:val="000000"/>
                <w:sz w:val="20"/>
                <w:szCs w:val="20"/>
              </w:rPr>
              <w:t xml:space="preserve">✘ No</w:t>
            </w:r>
          </w:p>
        </w:tc>
        <w:tc>
          <w:tcPr>
            <w:tcW w:type="dxa" w:w="1432"/>
            <w:tcBorders>
              <w:top w:val="single" w:color="CCCCCC" w:sz="1"/>
              <w:left w:val="single" w:color="CCCCCC" w:sz="1"/>
              <w:bottom w:val="single" w:color="CCCCCC" w:sz="1"/>
              <w:right w:val="single" w:color="CCCCCC" w:sz="1"/>
            </w:tcBorders>
            <w:shd w:fill="E0FFE0" w:val="clear"/>
            <w:tcMar>
              <w:top w:type="dxa" w:w="80"/>
              <w:left w:type="dxa" w:w="120"/>
              <w:bottom w:type="dxa" w:w="80"/>
              <w:right w:type="dxa" w:w="120"/>
            </w:tcMar>
          </w:tcPr>
          <w:p>
            <w:r>
              <w:rPr>
                <w:rFonts w:ascii="Arial" w:cs="Arial" w:eastAsia="Arial" w:hAnsi="Arial"/>
                <w:b w:val="false"/>
                <w:bCs w:val="false"/>
                <w:color w:val="000000"/>
                <w:sz w:val="20"/>
                <w:szCs w:val="20"/>
              </w:rPr>
              <w:t xml:space="preserve">✔ Yes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Protects PII</w:t>
            </w:r>
          </w:p>
        </w:tc>
        <w:tc>
          <w:tcPr>
            <w:tcW w:type="dxa" w:w="1432"/>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tcPr>
          <w:p>
            <w:r>
              <w:rPr>
                <w:rFonts w:ascii="Arial" w:cs="Arial" w:eastAsia="Arial" w:hAnsi="Arial"/>
                <w:b w:val="false"/>
                <w:bCs w:val="false"/>
                <w:color w:val="000000"/>
                <w:sz w:val="20"/>
                <w:szCs w:val="20"/>
              </w:rPr>
              <w:t xml:space="preserve">✘ No</w:t>
            </w:r>
          </w:p>
        </w:tc>
        <w:tc>
          <w:tcPr>
            <w:tcW w:type="dxa" w:w="1432"/>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tcPr>
          <w:p>
            <w:r>
              <w:rPr>
                <w:rFonts w:ascii="Arial" w:cs="Arial" w:eastAsia="Arial" w:hAnsi="Arial"/>
                <w:b w:val="false"/>
                <w:bCs w:val="false"/>
                <w:color w:val="000000"/>
                <w:sz w:val="20"/>
                <w:szCs w:val="20"/>
              </w:rPr>
              <w:t xml:space="preserve">✘ No</w:t>
            </w:r>
          </w:p>
        </w:tc>
        <w:tc>
          <w:tcPr>
            <w:tcW w:type="dxa" w:w="1432"/>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tcPr>
          <w:p>
            <w:r>
              <w:rPr>
                <w:rFonts w:ascii="Arial" w:cs="Arial" w:eastAsia="Arial" w:hAnsi="Arial"/>
                <w:b w:val="false"/>
                <w:bCs w:val="false"/>
                <w:color w:val="000000"/>
                <w:sz w:val="20"/>
                <w:szCs w:val="20"/>
              </w:rPr>
              <w:t xml:space="preserve">✘ No</w:t>
            </w:r>
          </w:p>
        </w:tc>
        <w:tc>
          <w:tcPr>
            <w:tcW w:type="dxa" w:w="1432"/>
            <w:tcBorders>
              <w:top w:val="single" w:color="CCCCCC" w:sz="1"/>
              <w:left w:val="single" w:color="CCCCCC" w:sz="1"/>
              <w:bottom w:val="single" w:color="CCCCCC" w:sz="1"/>
              <w:right w:val="single" w:color="CCCCCC" w:sz="1"/>
            </w:tcBorders>
            <w:shd w:fill="E0FFE0" w:val="clear"/>
            <w:tcMar>
              <w:top w:type="dxa" w:w="80"/>
              <w:left w:type="dxa" w:w="120"/>
              <w:bottom w:type="dxa" w:w="80"/>
              <w:right w:type="dxa" w:w="120"/>
            </w:tcMar>
          </w:tcPr>
          <w:p>
            <w:r>
              <w:rPr>
                <w:rFonts w:ascii="Arial" w:cs="Arial" w:eastAsia="Arial" w:hAnsi="Arial"/>
                <w:b w:val="false"/>
                <w:bCs w:val="false"/>
                <w:color w:val="000000"/>
                <w:sz w:val="20"/>
                <w:szCs w:val="20"/>
              </w:rPr>
              <w:t xml:space="preserve">✔ Yes</w:t>
            </w:r>
          </w:p>
        </w:tc>
        <w:tc>
          <w:tcPr>
            <w:tcW w:type="dxa" w:w="1432"/>
            <w:tcBorders>
              <w:top w:val="single" w:color="CCCCCC" w:sz="1"/>
              <w:left w:val="single" w:color="CCCCCC" w:sz="1"/>
              <w:bottom w:val="single" w:color="CCCCCC" w:sz="1"/>
              <w:right w:val="single" w:color="CCCCCC" w:sz="1"/>
            </w:tcBorders>
            <w:shd w:fill="E0FFE0" w:val="clear"/>
            <w:tcMar>
              <w:top w:type="dxa" w:w="80"/>
              <w:left w:type="dxa" w:w="120"/>
              <w:bottom w:type="dxa" w:w="80"/>
              <w:right w:type="dxa" w:w="120"/>
            </w:tcMar>
          </w:tcPr>
          <w:p>
            <w:r>
              <w:rPr>
                <w:rFonts w:ascii="Arial" w:cs="Arial" w:eastAsia="Arial" w:hAnsi="Arial"/>
                <w:b w:val="false"/>
                <w:bCs w:val="false"/>
                <w:color w:val="000000"/>
                <w:sz w:val="20"/>
                <w:szCs w:val="20"/>
              </w:rPr>
              <w:t xml:space="preserve">✔ Yes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Dev Access Simplified</w:t>
            </w:r>
          </w:p>
        </w:tc>
        <w:tc>
          <w:tcPr>
            <w:tcW w:type="dxa" w:w="1432"/>
            <w:tcBorders>
              <w:top w:val="single" w:color="CCCCCC" w:sz="1"/>
              <w:left w:val="single" w:color="CCCCCC" w:sz="1"/>
              <w:bottom w:val="single" w:color="CCCCCC" w:sz="1"/>
              <w:right w:val="single" w:color="CCCCCC" w:sz="1"/>
            </w:tcBorders>
            <w:shd w:fill="E0FFE0" w:val="clear"/>
            <w:tcMar>
              <w:top w:type="dxa" w:w="80"/>
              <w:left w:type="dxa" w:w="120"/>
              <w:bottom w:type="dxa" w:w="80"/>
              <w:right w:type="dxa" w:w="120"/>
            </w:tcMar>
          </w:tcPr>
          <w:p>
            <w:r>
              <w:rPr>
                <w:rFonts w:ascii="Arial" w:cs="Arial" w:eastAsia="Arial" w:hAnsi="Arial"/>
                <w:b w:val="false"/>
                <w:bCs w:val="false"/>
                <w:color w:val="000000"/>
                <w:sz w:val="20"/>
                <w:szCs w:val="20"/>
              </w:rPr>
              <w:t xml:space="preserve">✔ Yes</w:t>
            </w:r>
          </w:p>
        </w:tc>
        <w:tc>
          <w:tcPr>
            <w:tcW w:type="dxa" w:w="1432"/>
            <w:tcBorders>
              <w:top w:val="single" w:color="CCCCCC" w:sz="1"/>
              <w:left w:val="single" w:color="CCCCCC" w:sz="1"/>
              <w:bottom w:val="single" w:color="CCCCCC" w:sz="1"/>
              <w:right w:val="single" w:color="CCCCCC" w:sz="1"/>
            </w:tcBorders>
            <w:shd w:fill="E0FFE0" w:val="clear"/>
            <w:tcMar>
              <w:top w:type="dxa" w:w="80"/>
              <w:left w:type="dxa" w:w="120"/>
              <w:bottom w:type="dxa" w:w="80"/>
              <w:right w:type="dxa" w:w="120"/>
            </w:tcMar>
          </w:tcPr>
          <w:p>
            <w:r>
              <w:rPr>
                <w:rFonts w:ascii="Arial" w:cs="Arial" w:eastAsia="Arial" w:hAnsi="Arial"/>
                <w:b w:val="false"/>
                <w:bCs w:val="false"/>
                <w:color w:val="000000"/>
                <w:sz w:val="20"/>
                <w:szCs w:val="20"/>
              </w:rPr>
              <w:t xml:space="preserve">✔ Yes</w:t>
            </w:r>
          </w:p>
        </w:tc>
        <w:tc>
          <w:tcPr>
            <w:tcW w:type="dxa" w:w="1432"/>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tcPr>
          <w:p>
            <w:r>
              <w:rPr>
                <w:rFonts w:ascii="Arial" w:cs="Arial" w:eastAsia="Arial" w:hAnsi="Arial"/>
                <w:b w:val="false"/>
                <w:bCs w:val="false"/>
                <w:color w:val="000000"/>
                <w:sz w:val="20"/>
                <w:szCs w:val="20"/>
              </w:rPr>
              <w:t xml:space="preserve">✘ No</w:t>
            </w:r>
          </w:p>
        </w:tc>
        <w:tc>
          <w:tcPr>
            <w:tcW w:type="dxa" w:w="1432"/>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tcPr>
          <w:p>
            <w:r>
              <w:rPr>
                <w:rFonts w:ascii="Arial" w:cs="Arial" w:eastAsia="Arial" w:hAnsi="Arial"/>
                <w:b w:val="false"/>
                <w:bCs w:val="false"/>
                <w:color w:val="000000"/>
                <w:sz w:val="20"/>
                <w:szCs w:val="20"/>
              </w:rPr>
              <w:t xml:space="preserve">✘ No</w:t>
            </w:r>
          </w:p>
        </w:tc>
        <w:tc>
          <w:tcPr>
            <w:tcW w:type="dxa" w:w="1432"/>
            <w:tcBorders>
              <w:top w:val="single" w:color="CCCCCC" w:sz="1"/>
              <w:left w:val="single" w:color="CCCCCC" w:sz="1"/>
              <w:bottom w:val="single" w:color="CCCCCC" w:sz="1"/>
              <w:right w:val="single" w:color="CCCCCC" w:sz="1"/>
            </w:tcBorders>
            <w:shd w:fill="E0FFE0" w:val="clear"/>
            <w:tcMar>
              <w:top w:type="dxa" w:w="80"/>
              <w:left w:type="dxa" w:w="120"/>
              <w:bottom w:type="dxa" w:w="80"/>
              <w:right w:type="dxa" w:w="120"/>
            </w:tcMar>
          </w:tcPr>
          <w:p>
            <w:r>
              <w:rPr>
                <w:rFonts w:ascii="Arial" w:cs="Arial" w:eastAsia="Arial" w:hAnsi="Arial"/>
                <w:b w:val="false"/>
                <w:bCs w:val="false"/>
                <w:color w:val="000000"/>
                <w:sz w:val="20"/>
                <w:szCs w:val="20"/>
              </w:rPr>
              <w:t xml:space="preserve">✔ Yes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Solves Core Problems</w:t>
            </w:r>
          </w:p>
        </w:tc>
        <w:tc>
          <w:tcPr>
            <w:tcW w:type="dxa" w:w="1432"/>
            <w:tcBorders>
              <w:top w:val="single" w:color="CCCCCC" w:sz="1"/>
              <w:left w:val="single" w:color="CCCCCC" w:sz="1"/>
              <w:bottom w:val="single" w:color="CCCCCC" w:sz="1"/>
              <w:right w:val="single" w:color="CCCCCC" w:sz="1"/>
            </w:tcBorders>
            <w:shd w:fill="FFFDE0" w:val="clear"/>
            <w:tcMar>
              <w:top w:type="dxa" w:w="80"/>
              <w:left w:type="dxa" w:w="120"/>
              <w:bottom w:type="dxa" w:w="80"/>
              <w:right w:type="dxa" w:w="120"/>
            </w:tcMar>
          </w:tcPr>
          <w:p>
            <w:r>
              <w:rPr>
                <w:rFonts w:ascii="Arial" w:cs="Arial" w:eastAsia="Arial" w:hAnsi="Arial"/>
                <w:b w:val="false"/>
                <w:bCs w:val="false"/>
                <w:color w:val="000000"/>
                <w:sz w:val="20"/>
                <w:szCs w:val="20"/>
              </w:rPr>
              <w:t xml:space="preserve">∼ Partial</w:t>
            </w:r>
          </w:p>
        </w:tc>
        <w:tc>
          <w:tcPr>
            <w:tcW w:type="dxa" w:w="1432"/>
            <w:tcBorders>
              <w:top w:val="single" w:color="CCCCCC" w:sz="1"/>
              <w:left w:val="single" w:color="CCCCCC" w:sz="1"/>
              <w:bottom w:val="single" w:color="CCCCCC" w:sz="1"/>
              <w:right w:val="single" w:color="CCCCCC" w:sz="1"/>
            </w:tcBorders>
            <w:shd w:fill="FFFDE0" w:val="clear"/>
            <w:tcMar>
              <w:top w:type="dxa" w:w="80"/>
              <w:left w:type="dxa" w:w="120"/>
              <w:bottom w:type="dxa" w:w="80"/>
              <w:right w:type="dxa" w:w="120"/>
            </w:tcMar>
          </w:tcPr>
          <w:p>
            <w:r>
              <w:rPr>
                <w:rFonts w:ascii="Arial" w:cs="Arial" w:eastAsia="Arial" w:hAnsi="Arial"/>
                <w:b w:val="false"/>
                <w:bCs w:val="false"/>
                <w:color w:val="000000"/>
                <w:sz w:val="20"/>
                <w:szCs w:val="20"/>
              </w:rPr>
              <w:t xml:space="preserve">∼ Partial</w:t>
            </w:r>
          </w:p>
        </w:tc>
        <w:tc>
          <w:tcPr>
            <w:tcW w:type="dxa" w:w="1432"/>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tcPr>
          <w:p>
            <w:r>
              <w:rPr>
                <w:rFonts w:ascii="Arial" w:cs="Arial" w:eastAsia="Arial" w:hAnsi="Arial"/>
                <w:b w:val="false"/>
                <w:bCs w:val="false"/>
                <w:color w:val="000000"/>
                <w:sz w:val="20"/>
                <w:szCs w:val="20"/>
              </w:rPr>
              <w:t xml:space="preserve">✘ Fails</w:t>
            </w:r>
          </w:p>
        </w:tc>
        <w:tc>
          <w:tcPr>
            <w:tcW w:type="dxa" w:w="1432"/>
            <w:tcBorders>
              <w:top w:val="single" w:color="CCCCCC" w:sz="1"/>
              <w:left w:val="single" w:color="CCCCCC" w:sz="1"/>
              <w:bottom w:val="single" w:color="CCCCCC" w:sz="1"/>
              <w:right w:val="single" w:color="CCCCCC" w:sz="1"/>
            </w:tcBorders>
            <w:shd w:fill="FFFDE0" w:val="clear"/>
            <w:tcMar>
              <w:top w:type="dxa" w:w="80"/>
              <w:left w:type="dxa" w:w="120"/>
              <w:bottom w:type="dxa" w:w="80"/>
              <w:right w:type="dxa" w:w="120"/>
            </w:tcMar>
          </w:tcPr>
          <w:p>
            <w:r>
              <w:rPr>
                <w:rFonts w:ascii="Arial" w:cs="Arial" w:eastAsia="Arial" w:hAnsi="Arial"/>
                <w:b w:val="false"/>
                <w:bCs w:val="false"/>
                <w:color w:val="000000"/>
                <w:sz w:val="20"/>
                <w:szCs w:val="20"/>
              </w:rPr>
              <w:t xml:space="preserve">∼ Partial</w:t>
            </w:r>
          </w:p>
        </w:tc>
        <w:tc>
          <w:tcPr>
            <w:tcW w:type="dxa" w:w="1432"/>
            <w:tcBorders>
              <w:top w:val="single" w:color="CCCCCC" w:sz="1"/>
              <w:left w:val="single" w:color="CCCCCC" w:sz="1"/>
              <w:bottom w:val="single" w:color="CCCCCC" w:sz="1"/>
              <w:right w:val="single" w:color="CCCCCC" w:sz="1"/>
            </w:tcBorders>
            <w:shd w:fill="E0FFE0" w:val="clear"/>
            <w:tcMar>
              <w:top w:type="dxa" w:w="80"/>
              <w:left w:type="dxa" w:w="120"/>
              <w:bottom w:type="dxa" w:w="80"/>
              <w:right w:type="dxa" w:w="120"/>
            </w:tcMar>
          </w:tcPr>
          <w:p>
            <w:r>
              <w:rPr>
                <w:rFonts w:ascii="Arial" w:cs="Arial" w:eastAsia="Arial" w:hAnsi="Arial"/>
                <w:b w:val="false"/>
                <w:bCs w:val="false"/>
                <w:color w:val="000000"/>
                <w:sz w:val="20"/>
                <w:szCs w:val="20"/>
              </w:rPr>
              <w:t xml:space="preserve">✔ Yes</w:t>
            </w:r>
          </w:p>
        </w:tc>
      </w:tr>
    </w:tbl>
    <w:p>
      <w:pPr>
        <w:spacing w:before="200"/>
      </w:pPr>
    </w:p>
    <w:p>
      <w:pPr>
        <w:spacing w:after="120"/>
        <w:jc w:val="left"/>
      </w:pPr>
      <w:r>
        <w:rPr>
          <w:rFonts w:ascii="Arial" w:cs="Arial" w:eastAsia="Arial" w:hAnsi="Arial"/>
          <w:sz w:val="22"/>
          <w:szCs w:val="22"/>
        </w:rPr>
        <w:t xml:space="preserve">Legend: ✔ = Fully Addressed | ∼ = Partially Addressed | ✘ = Not Addressed / Fails</w:t>
      </w:r>
    </w:p>
    <w:p>
      <w:r>
        <w:br w:type="page"/>
      </w:r>
    </w:p>
    <w:p>
      <w:pPr>
        <w:pStyle w:val="Heading1"/>
        <w:spacing w:after="200" w:before="400"/>
      </w:pPr>
      <w:r>
        <w:rPr>
          <w:rFonts w:ascii="Arial" w:cs="Arial" w:eastAsia="Arial" w:hAnsi="Arial"/>
          <w:b/>
          <w:bCs/>
          <w:sz w:val="32"/>
          <w:szCs w:val="32"/>
        </w:rPr>
        <w:t xml:space="preserve">8. Recommendation and Next Steps</w:t>
      </w:r>
    </w:p>
    <w:p>
      <w:pPr>
        <w:pStyle w:val="Heading2"/>
        <w:spacing w:after="150" w:before="300"/>
      </w:pPr>
      <w:r>
        <w:rPr>
          <w:rFonts w:ascii="Arial" w:cs="Arial" w:eastAsia="Arial" w:hAnsi="Arial"/>
          <w:b/>
          <w:bCs/>
          <w:sz w:val="26"/>
          <w:szCs w:val="26"/>
        </w:rPr>
        <w:t xml:space="preserve">8.1 Recommended Approach</w:t>
      </w:r>
    </w:p>
    <w:p>
      <w:pPr>
        <w:spacing w:after="120"/>
      </w:pPr>
      <w:r>
        <w:rPr>
          <w:rFonts w:ascii="Arial" w:cs="Arial" w:eastAsia="Arial" w:hAnsi="Arial"/>
          <w:b/>
          <w:bCs/>
          <w:sz w:val="22"/>
          <w:szCs w:val="22"/>
        </w:rPr>
        <w:t xml:space="preserve">Recommendation: </w:t>
      </w:r>
      <w:r>
        <w:rPr>
          <w:rFonts w:ascii="Arial" w:cs="Arial" w:eastAsia="Arial" w:hAnsi="Arial"/>
          <w:sz w:val="22"/>
          <w:szCs w:val="22"/>
        </w:rPr>
        <w:t xml:space="preserve">Option 5 (Hybrid Approach) implemented in two phases.</w:t>
      </w:r>
    </w:p>
    <w:p>
      <w:pPr>
        <w:spacing w:before="200"/>
      </w:pPr>
    </w:p>
    <w:p>
      <w:pPr>
        <w:pStyle w:val="Heading3"/>
        <w:spacing w:after="100" w:before="200"/>
      </w:pPr>
      <w:r>
        <w:rPr>
          <w:rFonts w:ascii="Arial" w:cs="Arial" w:eastAsia="Arial" w:hAnsi="Arial"/>
          <w:b/>
          <w:bCs/>
          <w:sz w:val="24"/>
          <w:szCs w:val="24"/>
        </w:rPr>
        <w:t xml:space="preserve">Phase 1: Dual-Category Logging (Quick Win)</w:t>
      </w:r>
    </w:p>
    <w:p>
      <w:pPr>
        <w:spacing w:after="120"/>
        <w:jc w:val="left"/>
      </w:pPr>
      <w:r>
        <w:rPr>
          <w:rFonts w:ascii="Arial" w:cs="Arial" w:eastAsia="Arial" w:hAnsi="Arial"/>
          <w:sz w:val="22"/>
          <w:szCs w:val="22"/>
        </w:rPr>
        <w:t xml:space="preserve">Timeline: 4-6 weeks</w:t>
      </w:r>
    </w:p>
    <w:p>
      <w:pPr>
        <w:spacing w:after="120"/>
        <w:jc w:val="left"/>
      </w:pPr>
      <w:r>
        <w:rPr>
          <w:rFonts w:ascii="Arial" w:cs="Arial" w:eastAsia="Arial" w:hAnsi="Arial"/>
          <w:sz w:val="22"/>
          <w:szCs w:val="22"/>
        </w:rPr>
        <w:t xml:space="preserve">Implement the connector upgrade so developers can route operational logs away from Graylog immediately. This solves the volume and access issues.</w:t>
      </w:r>
    </w:p>
    <w:p>
      <w:pPr>
        <w:pStyle w:val="ListParagraph"/>
        <w:numPr>
          <w:ilvl w:val="0"/>
          <w:numId w:val="2"/>
        </w:numPr>
        <w:spacing w:after="80"/>
      </w:pPr>
      <w:r>
        <w:rPr>
          <w:rFonts w:ascii="Arial" w:cs="Arial" w:eastAsia="Arial" w:hAnsi="Arial"/>
          <w:sz w:val="22"/>
          <w:szCs w:val="22"/>
        </w:rPr>
        <w:t xml:space="preserve">Implement dual-category custom connector upgrade</w:t>
      </w:r>
    </w:p>
    <w:p>
      <w:pPr>
        <w:pStyle w:val="ListParagraph"/>
        <w:numPr>
          <w:ilvl w:val="0"/>
          <w:numId w:val="2"/>
        </w:numPr>
        <w:spacing w:after="80"/>
      </w:pPr>
      <w:r>
        <w:rPr>
          <w:rFonts w:ascii="Arial" w:cs="Arial" w:eastAsia="Arial" w:hAnsi="Arial"/>
          <w:sz w:val="22"/>
          <w:szCs w:val="22"/>
        </w:rPr>
        <w:t xml:space="preserve">Configure Log4j2 for selective routing</w:t>
      </w:r>
    </w:p>
    <w:p>
      <w:pPr>
        <w:pStyle w:val="ListParagraph"/>
        <w:numPr>
          <w:ilvl w:val="0"/>
          <w:numId w:val="2"/>
        </w:numPr>
        <w:spacing w:after="80"/>
      </w:pPr>
      <w:r>
        <w:rPr>
          <w:rFonts w:ascii="Arial" w:cs="Arial" w:eastAsia="Arial" w:hAnsi="Arial"/>
          <w:sz w:val="22"/>
          <w:szCs w:val="22"/>
        </w:rPr>
        <w:t xml:space="preserve">Establish logging guidelines for developers</w:t>
      </w:r>
    </w:p>
    <w:p>
      <w:pPr>
        <w:pStyle w:val="ListParagraph"/>
        <w:numPr>
          <w:ilvl w:val="0"/>
          <w:numId w:val="2"/>
        </w:numPr>
        <w:spacing w:after="120"/>
      </w:pPr>
      <w:r>
        <w:rPr>
          <w:rFonts w:ascii="Arial" w:cs="Arial" w:eastAsia="Arial" w:hAnsi="Arial"/>
          <w:sz w:val="22"/>
          <w:szCs w:val="22"/>
        </w:rPr>
        <w:t xml:space="preserve">Immediate reduction in Graylog volume</w:t>
      </w:r>
    </w:p>
    <w:p>
      <w:pPr>
        <w:pStyle w:val="Heading3"/>
        <w:spacing w:after="100" w:before="200"/>
      </w:pPr>
      <w:r>
        <w:rPr>
          <w:rFonts w:ascii="Arial" w:cs="Arial" w:eastAsia="Arial" w:hAnsi="Arial"/>
          <w:b/>
          <w:bCs/>
          <w:sz w:val="24"/>
          <w:szCs w:val="24"/>
        </w:rPr>
        <w:t xml:space="preserve">Phase 2: PII Masking (Security Enhancement)</w:t>
      </w:r>
    </w:p>
    <w:p>
      <w:pPr>
        <w:spacing w:after="120"/>
        <w:jc w:val="left"/>
      </w:pPr>
      <w:r>
        <w:rPr>
          <w:rFonts w:ascii="Arial" w:cs="Arial" w:eastAsia="Arial" w:hAnsi="Arial"/>
          <w:sz w:val="22"/>
          <w:szCs w:val="22"/>
        </w:rPr>
        <w:t xml:space="preserve">Timeline: 4-5 weeks (after Phase 1)</w:t>
      </w:r>
    </w:p>
    <w:p>
      <w:pPr>
        <w:spacing w:after="120"/>
        <w:jc w:val="left"/>
      </w:pPr>
      <w:r>
        <w:rPr>
          <w:rFonts w:ascii="Arial" w:cs="Arial" w:eastAsia="Arial" w:hAnsi="Arial"/>
          <w:sz w:val="22"/>
          <w:szCs w:val="22"/>
        </w:rPr>
        <w:t xml:space="preserve">Implement masking for the remaining audit logs to ensure regulatory compliance and secure our centralized platform.</w:t>
      </w:r>
    </w:p>
    <w:p>
      <w:pPr>
        <w:pStyle w:val="ListParagraph"/>
        <w:numPr>
          <w:ilvl w:val="0"/>
          <w:numId w:val="2"/>
        </w:numPr>
        <w:spacing w:after="80"/>
      </w:pPr>
      <w:r>
        <w:rPr>
          <w:rFonts w:ascii="Arial" w:cs="Arial" w:eastAsia="Arial" w:hAnsi="Arial"/>
          <w:sz w:val="22"/>
          <w:szCs w:val="22"/>
        </w:rPr>
        <w:t xml:space="preserve">Implement PII field registry and masking logic</w:t>
      </w:r>
    </w:p>
    <w:p>
      <w:pPr>
        <w:pStyle w:val="ListParagraph"/>
        <w:numPr>
          <w:ilvl w:val="0"/>
          <w:numId w:val="2"/>
        </w:numPr>
        <w:spacing w:after="80"/>
      </w:pPr>
      <w:r>
        <w:rPr>
          <w:rFonts w:ascii="Arial" w:cs="Arial" w:eastAsia="Arial" w:hAnsi="Arial"/>
          <w:sz w:val="22"/>
          <w:szCs w:val="22"/>
        </w:rPr>
        <w:t xml:space="preserve">Apply masking to audit logs destined for Graylog</w:t>
      </w:r>
    </w:p>
    <w:p>
      <w:pPr>
        <w:pStyle w:val="ListParagraph"/>
        <w:numPr>
          <w:ilvl w:val="0"/>
          <w:numId w:val="2"/>
        </w:numPr>
        <w:spacing w:after="120"/>
      </w:pPr>
      <w:r>
        <w:rPr>
          <w:rFonts w:ascii="Arial" w:cs="Arial" w:eastAsia="Arial" w:hAnsi="Arial"/>
          <w:sz w:val="22"/>
          <w:szCs w:val="22"/>
        </w:rPr>
        <w:t xml:space="preserve">Full PII protection in centralized logging</w:t>
      </w:r>
    </w:p>
    <w:p>
      <w:pPr>
        <w:pStyle w:val="Heading2"/>
        <w:spacing w:after="150" w:before="300"/>
      </w:pPr>
      <w:r>
        <w:rPr>
          <w:rFonts w:ascii="Arial" w:cs="Arial" w:eastAsia="Arial" w:hAnsi="Arial"/>
          <w:b/>
          <w:bCs/>
          <w:sz w:val="26"/>
          <w:szCs w:val="26"/>
        </w:rPr>
        <w:t xml:space="preserve">8.2 Next Steps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5760"/>
        <w:gridCol w:w="1500"/>
        <w:gridCol w:w="1500"/>
      </w:tblGrid>
      <w:tr>
        <w:tc>
          <w:tcPr>
            <w:tcW w:type="dxa" w:w="600"/>
            <w:tcBorders>
              <w:top w:val="single" w:color="CCCCCC" w:sz="1"/>
              <w:left w:val="single" w:color="CCCCCC" w:sz="1"/>
              <w:bottom w:val="single" w:color="CCCCCC" w:sz="1"/>
              <w:right w:val="single" w:color="CCCCCC" w:sz="1"/>
            </w:tcBorders>
            <w:shd w:fill="2E5A88"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5760"/>
            <w:tcBorders>
              <w:top w:val="single" w:color="CCCCCC" w:sz="1"/>
              <w:left w:val="single" w:color="CCCCCC" w:sz="1"/>
              <w:bottom w:val="single" w:color="CCCCCC" w:sz="1"/>
              <w:right w:val="single" w:color="CCCCCC" w:sz="1"/>
            </w:tcBorders>
            <w:shd w:fill="2E5A88" w:val="clear"/>
            <w:tcMar>
              <w:top w:type="dxa" w:w="80"/>
              <w:left w:type="dxa" w:w="120"/>
              <w:bottom w:type="dxa" w:w="80"/>
              <w:right w:type="dxa" w:w="120"/>
            </w:tcMar>
          </w:tcPr>
          <w:p>
            <w:r>
              <w:rPr>
                <w:rFonts w:ascii="Arial" w:cs="Arial" w:eastAsia="Arial" w:hAnsi="Arial"/>
                <w:b/>
                <w:bCs/>
                <w:color w:val="FFFFFF"/>
                <w:sz w:val="20"/>
                <w:szCs w:val="20"/>
              </w:rPr>
              <w:t xml:space="preserve">Action Item</w:t>
            </w:r>
          </w:p>
        </w:tc>
        <w:tc>
          <w:tcPr>
            <w:tcW w:type="dxa" w:w="1500"/>
            <w:tcBorders>
              <w:top w:val="single" w:color="CCCCCC" w:sz="1"/>
              <w:left w:val="single" w:color="CCCCCC" w:sz="1"/>
              <w:bottom w:val="single" w:color="CCCCCC" w:sz="1"/>
              <w:right w:val="single" w:color="CCCCCC" w:sz="1"/>
            </w:tcBorders>
            <w:shd w:fill="2E5A88" w:val="clear"/>
            <w:tcMar>
              <w:top w:type="dxa" w:w="80"/>
              <w:left w:type="dxa" w:w="120"/>
              <w:bottom w:type="dxa" w:w="80"/>
              <w:right w:type="dxa" w:w="120"/>
            </w:tcMar>
          </w:tcPr>
          <w:p>
            <w:r>
              <w:rPr>
                <w:rFonts w:ascii="Arial" w:cs="Arial" w:eastAsia="Arial" w:hAnsi="Arial"/>
                <w:b/>
                <w:bCs/>
                <w:color w:val="FFFFFF"/>
                <w:sz w:val="20"/>
                <w:szCs w:val="20"/>
              </w:rPr>
              <w:t xml:space="preserve">Owner</w:t>
            </w:r>
          </w:p>
        </w:tc>
        <w:tc>
          <w:tcPr>
            <w:tcW w:type="dxa" w:w="1500"/>
            <w:tcBorders>
              <w:top w:val="single" w:color="CCCCCC" w:sz="1"/>
              <w:left w:val="single" w:color="CCCCCC" w:sz="1"/>
              <w:bottom w:val="single" w:color="CCCCCC" w:sz="1"/>
              <w:right w:val="single" w:color="CCCCCC" w:sz="1"/>
            </w:tcBorders>
            <w:shd w:fill="2E5A88" w:val="clear"/>
            <w:tcMar>
              <w:top w:type="dxa" w:w="80"/>
              <w:left w:type="dxa" w:w="120"/>
              <w:bottom w:type="dxa" w:w="80"/>
              <w:right w:type="dxa" w:w="120"/>
            </w:tcMar>
          </w:tcPr>
          <w:p>
            <w:r>
              <w:rPr>
                <w:rFonts w:ascii="Arial" w:cs="Arial" w:eastAsia="Arial" w:hAnsi="Arial"/>
                <w:b/>
                <w:bCs/>
                <w:color w:val="FFFFFF"/>
                <w:sz w:val="20"/>
                <w:szCs w:val="20"/>
              </w:rPr>
              <w:t xml:space="preserve">Target</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1</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Present this options paper to technical and security teams for final approach selection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[Author]</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Week 1</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2</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Draft architecture diagrams to visualize the Option 5 data flow</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[Architect]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Week 1</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3</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Obtain security team approval for recommended approach</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[Security]</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Week 2</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4</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Begin scoping development for Phase 1 (Custom Connector Upgrade)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[Dev Team]</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Week 2</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5</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Develop logging guidelines documentation for developers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[Author]</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Week 3</w:t>
            </w:r>
          </w:p>
        </w:tc>
      </w:tr>
    </w:tbl>
    <w:p>
      <w:r>
        <w:br w:type="page"/>
      </w:r>
    </w:p>
    <w:p>
      <w:pPr>
        <w:pStyle w:val="Heading1"/>
        <w:spacing w:after="200" w:before="400"/>
      </w:pPr>
      <w:r>
        <w:rPr>
          <w:rFonts w:ascii="Arial" w:cs="Arial" w:eastAsia="Arial" w:hAnsi="Arial"/>
          <w:b/>
          <w:bCs/>
          <w:sz w:val="32"/>
          <w:szCs w:val="32"/>
        </w:rPr>
        <w:t xml:space="preserve">9. Appendices</w:t>
      </w:r>
    </w:p>
    <w:p>
      <w:pPr>
        <w:pStyle w:val="Heading2"/>
        <w:spacing w:after="150" w:before="300"/>
      </w:pPr>
      <w:r>
        <w:rPr>
          <w:rFonts w:ascii="Arial" w:cs="Arial" w:eastAsia="Arial" w:hAnsi="Arial"/>
          <w:b/>
          <w:bCs/>
          <w:sz w:val="26"/>
          <w:szCs w:val="26"/>
        </w:rPr>
        <w:t xml:space="preserve">9.1 Glossary</w:t>
      </w:r>
    </w:p>
    <w:p>
      <w:pPr>
        <w:pStyle w:val="ListParagraph"/>
        <w:numPr>
          <w:ilvl w:val="0"/>
          <w:numId w:val="2"/>
        </w:numPr>
        <w:spacing w:after="80"/>
      </w:pPr>
      <w:r>
        <w:rPr>
          <w:rFonts w:ascii="Arial" w:cs="Arial" w:eastAsia="Arial" w:hAnsi="Arial"/>
          <w:sz w:val="22"/>
          <w:szCs w:val="22"/>
        </w:rPr>
        <w:t xml:space="preserve">PII: Personally Identifiable Information</w:t>
      </w:r>
    </w:p>
    <w:p>
      <w:pPr>
        <w:pStyle w:val="ListParagraph"/>
        <w:numPr>
          <w:ilvl w:val="0"/>
          <w:numId w:val="2"/>
        </w:numPr>
        <w:spacing w:after="80"/>
      </w:pPr>
      <w:r>
        <w:rPr>
          <w:rFonts w:ascii="Arial" w:cs="Arial" w:eastAsia="Arial" w:hAnsi="Arial"/>
          <w:sz w:val="22"/>
          <w:szCs w:val="22"/>
        </w:rPr>
        <w:t xml:space="preserve">Audit Log: Records of system events for compliance, security review, and historical analysis</w:t>
      </w:r>
    </w:p>
    <w:p>
      <w:pPr>
        <w:pStyle w:val="ListParagraph"/>
        <w:numPr>
          <w:ilvl w:val="0"/>
          <w:numId w:val="2"/>
        </w:numPr>
        <w:spacing w:after="80"/>
      </w:pPr>
      <w:r>
        <w:rPr>
          <w:rFonts w:ascii="Arial" w:cs="Arial" w:eastAsia="Arial" w:hAnsi="Arial"/>
          <w:sz w:val="22"/>
          <w:szCs w:val="22"/>
        </w:rPr>
        <w:t xml:space="preserve">Operational Log: Logs used for real-time monitoring, troubleshooting, and debugging</w:t>
      </w:r>
    </w:p>
    <w:p>
      <w:pPr>
        <w:pStyle w:val="ListParagraph"/>
        <w:numPr>
          <w:ilvl w:val="0"/>
          <w:numId w:val="2"/>
        </w:numPr>
        <w:spacing w:after="80"/>
      </w:pPr>
      <w:r>
        <w:rPr>
          <w:rFonts w:ascii="Arial" w:cs="Arial" w:eastAsia="Arial" w:hAnsi="Arial"/>
          <w:sz w:val="22"/>
          <w:szCs w:val="22"/>
        </w:rPr>
        <w:t xml:space="preserve">CloudHub 2.0: MuleSoft's cloud-based integration platform runtime</w:t>
      </w:r>
    </w:p>
    <w:p>
      <w:pPr>
        <w:pStyle w:val="ListParagraph"/>
        <w:numPr>
          <w:ilvl w:val="0"/>
          <w:numId w:val="2"/>
        </w:numPr>
        <w:spacing w:after="120"/>
      </w:pPr>
      <w:r>
        <w:rPr>
          <w:rFonts w:ascii="Arial" w:cs="Arial" w:eastAsia="Arial" w:hAnsi="Arial"/>
          <w:sz w:val="22"/>
          <w:szCs w:val="22"/>
        </w:rPr>
        <w:t xml:space="preserve">Graylog: Open-source log management platform (enterprise logging solution)</w:t>
      </w:r>
    </w:p>
    <w:p>
      <w:pPr>
        <w:pStyle w:val="Heading2"/>
        <w:spacing w:after="150" w:before="300"/>
      </w:pPr>
      <w:r>
        <w:rPr>
          <w:rFonts w:ascii="Arial" w:cs="Arial" w:eastAsia="Arial" w:hAnsi="Arial"/>
          <w:b/>
          <w:bCs/>
          <w:sz w:val="26"/>
          <w:szCs w:val="26"/>
        </w:rPr>
        <w:t xml:space="preserve">9.2 References</w:t>
      </w:r>
    </w:p>
    <w:p>
      <w:pPr>
        <w:pStyle w:val="ListParagraph"/>
        <w:numPr>
          <w:ilvl w:val="0"/>
          <w:numId w:val="2"/>
        </w:numPr>
        <w:spacing w:after="80"/>
      </w:pPr>
      <w:r>
        <w:rPr>
          <w:rFonts w:ascii="Arial" w:cs="Arial" w:eastAsia="Arial" w:hAnsi="Arial"/>
          <w:sz w:val="22"/>
          <w:szCs w:val="22"/>
        </w:rPr>
        <w:t xml:space="preserve">MuleSoft CloudHub 2.0 Documentation - Logging</w:t>
      </w:r>
    </w:p>
    <w:p>
      <w:pPr>
        <w:pStyle w:val="ListParagraph"/>
        <w:numPr>
          <w:ilvl w:val="0"/>
          <w:numId w:val="2"/>
        </w:numPr>
        <w:spacing w:after="80"/>
      </w:pPr>
      <w:r>
        <w:rPr>
          <w:rFonts w:ascii="Arial" w:cs="Arial" w:eastAsia="Arial" w:hAnsi="Arial"/>
          <w:sz w:val="22"/>
          <w:szCs w:val="22"/>
        </w:rPr>
        <w:t xml:space="preserve">Log4j2 Configuration Reference</w:t>
      </w:r>
    </w:p>
    <w:p>
      <w:pPr>
        <w:pStyle w:val="ListParagraph"/>
        <w:numPr>
          <w:ilvl w:val="0"/>
          <w:numId w:val="2"/>
        </w:numPr>
        <w:spacing w:after="80"/>
      </w:pPr>
      <w:r>
        <w:rPr>
          <w:rFonts w:ascii="Arial" w:cs="Arial" w:eastAsia="Arial" w:hAnsi="Arial"/>
          <w:sz w:val="22"/>
          <w:szCs w:val="22"/>
        </w:rPr>
        <w:t xml:space="preserve">GDPR Article 5 - Principles relating to processing of personal data</w:t>
      </w:r>
    </w:p>
    <w:p>
      <w:pPr>
        <w:pStyle w:val="ListParagraph"/>
        <w:numPr>
          <w:ilvl w:val="0"/>
          <w:numId w:val="2"/>
        </w:numPr>
        <w:spacing w:after="120"/>
      </w:pPr>
      <w:r>
        <w:rPr>
          <w:rFonts w:ascii="Arial" w:cs="Arial" w:eastAsia="Arial" w:hAnsi="Arial"/>
          <w:sz w:val="22"/>
          <w:szCs w:val="22"/>
        </w:rPr>
        <w:t xml:space="preserve">Internal Data Governance Policy</w:t>
      </w:r>
    </w:p>
    <w:p>
      <w:pPr>
        <w:pStyle w:val="Heading2"/>
        <w:spacing w:after="150" w:before="300"/>
      </w:pPr>
      <w:r>
        <w:rPr>
          <w:rFonts w:ascii="Arial" w:cs="Arial" w:eastAsia="Arial" w:hAnsi="Arial"/>
          <w:b/>
          <w:bCs/>
          <w:sz w:val="26"/>
          <w:szCs w:val="26"/>
        </w:rPr>
        <w:t xml:space="preserve">9.3 Document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2580"/>
        <w:gridCol w:w="3580"/>
      </w:tblGrid>
      <w:tr>
        <w:tc>
          <w:tcPr>
            <w:tcW w:type="dxa" w:w="1200"/>
            <w:tcBorders>
              <w:top w:val="single" w:color="CCCCCC" w:sz="1"/>
              <w:left w:val="single" w:color="CCCCCC" w:sz="1"/>
              <w:bottom w:val="single" w:color="CCCCCC" w:sz="1"/>
              <w:right w:val="single" w:color="CCCCCC" w:sz="1"/>
            </w:tcBorders>
            <w:shd w:fill="2E5A88" w:val="clear"/>
            <w:tcMar>
              <w:top w:type="dxa" w:w="80"/>
              <w:left w:type="dxa" w:w="120"/>
              <w:bottom w:type="dxa" w:w="80"/>
              <w:right w:type="dxa" w:w="120"/>
            </w:tcMar>
          </w:tcPr>
          <w:p>
            <w:r>
              <w:rPr>
                <w:rFonts w:ascii="Arial" w:cs="Arial" w:eastAsia="Arial" w:hAnsi="Arial"/>
                <w:b/>
                <w:bCs/>
                <w:color w:val="FFFFFF"/>
                <w:sz w:val="20"/>
                <w:szCs w:val="20"/>
              </w:rPr>
              <w:t xml:space="preserve">Version</w:t>
            </w:r>
          </w:p>
        </w:tc>
        <w:tc>
          <w:tcPr>
            <w:tcW w:type="dxa" w:w="2000"/>
            <w:tcBorders>
              <w:top w:val="single" w:color="CCCCCC" w:sz="1"/>
              <w:left w:val="single" w:color="CCCCCC" w:sz="1"/>
              <w:bottom w:val="single" w:color="CCCCCC" w:sz="1"/>
              <w:right w:val="single" w:color="CCCCCC" w:sz="1"/>
            </w:tcBorders>
            <w:shd w:fill="2E5A88" w:val="clear"/>
            <w:tcMar>
              <w:top w:type="dxa" w:w="80"/>
              <w:left w:type="dxa" w:w="120"/>
              <w:bottom w:type="dxa" w:w="80"/>
              <w:right w:type="dxa" w:w="120"/>
            </w:tcMar>
          </w:tcPr>
          <w:p>
            <w:r>
              <w:rPr>
                <w:rFonts w:ascii="Arial" w:cs="Arial" w:eastAsia="Arial" w:hAnsi="Arial"/>
                <w:b/>
                <w:bCs/>
                <w:color w:val="FFFFFF"/>
                <w:sz w:val="20"/>
                <w:szCs w:val="20"/>
              </w:rPr>
              <w:t xml:space="preserve">Date</w:t>
            </w:r>
          </w:p>
        </w:tc>
        <w:tc>
          <w:tcPr>
            <w:tcW w:type="dxa" w:w="2580"/>
            <w:tcBorders>
              <w:top w:val="single" w:color="CCCCCC" w:sz="1"/>
              <w:left w:val="single" w:color="CCCCCC" w:sz="1"/>
              <w:bottom w:val="single" w:color="CCCCCC" w:sz="1"/>
              <w:right w:val="single" w:color="CCCCCC" w:sz="1"/>
            </w:tcBorders>
            <w:shd w:fill="2E5A88" w:val="clear"/>
            <w:tcMar>
              <w:top w:type="dxa" w:w="80"/>
              <w:left w:type="dxa" w:w="120"/>
              <w:bottom w:type="dxa" w:w="80"/>
              <w:right w:type="dxa" w:w="120"/>
            </w:tcMar>
          </w:tcPr>
          <w:p>
            <w:r>
              <w:rPr>
                <w:rFonts w:ascii="Arial" w:cs="Arial" w:eastAsia="Arial" w:hAnsi="Arial"/>
                <w:b/>
                <w:bCs/>
                <w:color w:val="FFFFFF"/>
                <w:sz w:val="20"/>
                <w:szCs w:val="20"/>
              </w:rPr>
              <w:t xml:space="preserve">Author</w:t>
            </w:r>
          </w:p>
        </w:tc>
        <w:tc>
          <w:tcPr>
            <w:tcW w:type="dxa" w:w="3580"/>
            <w:tcBorders>
              <w:top w:val="single" w:color="CCCCCC" w:sz="1"/>
              <w:left w:val="single" w:color="CCCCCC" w:sz="1"/>
              <w:bottom w:val="single" w:color="CCCCCC" w:sz="1"/>
              <w:right w:val="single" w:color="CCCCCC" w:sz="1"/>
            </w:tcBorders>
            <w:shd w:fill="2E5A88" w:val="clear"/>
            <w:tcMar>
              <w:top w:type="dxa" w:w="80"/>
              <w:left w:type="dxa" w:w="120"/>
              <w:bottom w:type="dxa" w:w="80"/>
              <w:right w:type="dxa" w:w="120"/>
            </w:tcMar>
          </w:tcPr>
          <w:p>
            <w:r>
              <w:rPr>
                <w:rFonts w:ascii="Arial" w:cs="Arial" w:eastAsia="Arial" w:hAnsi="Arial"/>
                <w:b/>
                <w:bCs/>
                <w:color w:val="FFFFFF"/>
                <w:sz w:val="20"/>
                <w:szCs w:val="20"/>
              </w:rPr>
              <w:t xml:space="preserve">Changes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0.1</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c>
          <w:tcPr>
            <w:tcW w:type="dxa" w:w="2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[Author Name]</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Initial draft</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0.2</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April 12, 2026</w:t>
            </w:r>
          </w:p>
        </w:tc>
        <w:tc>
          <w:tcPr>
            <w:tcW w:type="dxa" w:w="2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[Author Name]</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Updated Option 3 analysis, simplified compliance section, consolidated effort estimates</w:t>
            </w:r>
          </w:p>
        </w:tc>
      </w:tr>
    </w:tbl>
    <w:p>
      <w:pPr>
        <w:spacing w:before="600"/>
      </w:pPr>
    </w:p>
    <w:p>
      <w:pPr>
        <w:jc w:val="center"/>
      </w:pPr>
      <w:r>
        <w:rPr>
          <w:rFonts w:ascii="Arial" w:cs="Arial" w:eastAsia="Arial" w:hAnsi="Arial"/>
          <w:i/>
          <w:iCs/>
          <w:color w:val="999999"/>
          <w:sz w:val="20"/>
          <w:szCs w:val="20"/>
        </w:rPr>
        <w:t xml:space="preserve">--- End of Document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8"/>
        <w:szCs w:val="18"/>
      </w:rPr>
      <w:t xml:space="preserve">CONFIDENTIAL - Internal Use Only</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A88" w:sz="6"/>
      </w:pBdr>
      <w:spacing w:after="200"/>
    </w:pPr>
    <w:r>
      <w:rPr>
        <w:rFonts w:ascii="Arial" w:cs="Arial" w:eastAsia="Arial" w:hAnsi="Arial"/>
        <w:i/>
        <w:iCs/>
        <w:color w:val="666666"/>
        <w:sz w:val="18"/>
        <w:szCs w:val="18"/>
      </w:rPr>
      <w:t xml:space="preserve">UPDATED DRAFT - Options Paper: MuleSoft CloudHub 2.0 Logging Architecture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2E5A88"/>
      <w:sz w:val="32"/>
      <w:szCs w:val="32"/>
    </w:rPr>
  </w:style>
  <w:style w:type="paragraph" w:styleId="Heading2">
    <w:name w:val="Heading 2"/>
    <w:basedOn w:val="Normal"/>
    <w:next w:val="Normal"/>
    <w:qFormat/>
    <w:pPr>
      <w:spacing w:after="150" w:before="300"/>
      <w:outlineLvl w:val="1"/>
    </w:pPr>
    <w:rPr>
      <w:rFonts w:ascii="Arial" w:cs="Arial" w:eastAsia="Arial" w:hAnsi="Arial"/>
      <w:b/>
      <w:bCs/>
      <w:color w:val="2E5A88"/>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2026-04-12T23:30:09.099Z</dcterms:created>
  <dcterms:modified xsi:type="dcterms:W3CDTF">2026-04-12T23:30:09.099Z</dcterms:modified>
</cp:coreProperties>
</file>

<file path=docProps/custom.xml><?xml version="1.0" encoding="utf-8"?>
<Properties xmlns="http://schemas.openxmlformats.org/officeDocument/2006/custom-properties" xmlns:vt="http://schemas.openxmlformats.org/officeDocument/2006/docPropsVTypes"/>
</file>