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6366F1"/>
          <w:sz w:val="44"/>
        </w:rPr>
        <w:t>PULSE: CONSUMER BEHAVIOUR DISCOVERY ENGINE</w:t>
      </w:r>
    </w:p>
    <w:p>
      <w:pPr>
        <w:spacing w:after="280"/>
      </w:pPr>
      <w:r>
        <w:rPr>
          <w:rFonts w:ascii="Calibri" w:hAnsi="Calibri"/>
          <w:i/>
          <w:color w:val="475569"/>
          <w:sz w:val="24"/>
        </w:rPr>
        <w:t>Autonomous Multi-Channel Feedback Ingestion, Causal Signal Extraction, Unsupervised Clustering, and Grounded Prioritization Engine</w:t>
      </w:r>
    </w:p>
    <w:tbl>
      <w:tblPr>
        <w:tblW w:type="auto" w:w="0"/>
        <w:jc w:val="center"/>
        <w:tblLayout w:type="fixed"/>
        <w:tblLook w:firstColumn="1" w:firstRow="1" w:lastColumn="0" w:lastRow="0" w:noHBand="0" w:noVBand="1" w:val="04A0"/>
      </w:tblPr>
      <w:tblGrid>
        <w:gridCol w:w="9360"/>
      </w:tblGrid>
      <w:tr>
        <w:tc>
          <w:tcPr>
            <w:tcW w:type="dxa" w:w="9360"/>
            <w:shd w:fill="EEF2FF"/>
            <w:tcMar>
              <w:top w:w="160" w:type="dxa"/>
              <w:bottom w:w="160" w:type="dxa"/>
              <w:left w:w="200" w:type="dxa"/>
              <w:right w:w="200" w:type="dxa"/>
            </w:tcMar>
            <w:tcBorders>
              <w:left w:val="single" w:sz="36" w:space="0" w:color="4F46E5"/>
              <w:top w:val="none"/>
              <w:right w:val="none"/>
              <w:bottom w:val="none"/>
            </w:tcBorders>
          </w:tcPr>
          <w:p>
            <w:pPr>
              <w:spacing w:before="0" w:after="80"/>
            </w:pPr>
            <w:r>
              <w:rPr>
                <w:rFonts w:ascii="Calibri" w:hAnsi="Calibri"/>
                <w:b/>
                <w:color w:val="1E293B"/>
                <w:sz w:val="21"/>
              </w:rPr>
              <w:t>📌 System Metadata &amp; Evaluator Executive Summary</w:t>
              <w:br/>
            </w:r>
            <w:r>
              <w:rPr>
                <w:rFonts w:ascii="Calibri" w:hAnsi="Calibri"/>
                <w:color w:val="334155"/>
                <w:sz w:val="19"/>
              </w:rPr>
              <w:t>• System Name: Pulse Consumer Behaviour Discovery Engine (v1.0.0)</w:t>
              <w:br/>
              <w:t>• Evaluation Corpus: 1,938 Multi-Channel Documents across 5 Independent Channels (Reddit, Play Store, App Store, YouTube, E-Commerce)</w:t>
              <w:br/>
              <w:t>• Core Output: 1,554 Verified Qualitative Signals → 8 Ranked Opportunity Clusters with Full Cross-Source Triangulation</w:t>
              <w:br/>
              <w:t>• AI Architecture: Zero-Hallucination Verbatim Guardrails + TruncatedSVD Agglomerative Clustering + Gemini 3.5/3.6 RAG Synthesis</w:t>
              <w:br/>
              <w:t>• High Availability: 24*7 Self-Healing Watchdog Supervisor Daemon with Automated Heartbeat Health Probing</w:t>
            </w:r>
          </w:p>
        </w:tc>
      </w:tr>
    </w:tbl>
    <w:p>
      <w:pPr>
        <w:spacing w:after="80"/>
      </w:pPr>
    </w:p>
    <w:p>
      <w:pPr>
        <w:pStyle w:val="Heading1"/>
        <w:keepNext/>
        <w:spacing w:before="280" w:after="80"/>
      </w:pPr>
      <w:r>
        <w:rPr>
          <w:rFonts w:ascii="Calibri" w:hAnsi="Calibri"/>
          <w:color w:val="1E293B"/>
        </w:rPr>
        <w:t>1. Executive Summary &amp; Problem Formulation</w:t>
      </w:r>
    </w:p>
    <w:p>
      <w:r>
        <w:t>In modern fashion e-commerce, over 70% of high-intent consumers add items to their digital wishlists or carts but abandon checkout before completing the purchase. Traditional product and analytics teams rely heavily on quantitative telemetry (funnel drop-off rates, bounce rates, heatmaps) which indicate WHERE consumers leave, but completely fail to explain WHY they hesitate. Unstructured qualitative consumer discussions—spread across app store reviews, Reddit forums, and YouTube try-on comments—contain the exact causal explanations, but are siloed, high-volume, noisy, and unstructured.</w:t>
      </w:r>
    </w:p>
    <w:p>
      <w:r>
        <w:t>The Pulse Consumer Behaviour Discovery Engine solves this fundamental disconnect by acting as an autonomous intelligence pipeline that continuously listens to multi-channel customer conversations, extracts verified causal signals with zero-hallucination guardrails, clusters them into actionable opportunity areas using unsupervised machine learning, and ranks them using a mathematically rigorous multi-criteria scoring algorithm.</w:t>
      </w:r>
    </w:p>
    <w:p>
      <w:pPr>
        <w:pStyle w:val="Heading1"/>
        <w:keepNext/>
        <w:spacing w:before="280" w:after="80"/>
      </w:pPr>
      <w:r>
        <w:rPr>
          <w:rFonts w:ascii="Calibri" w:hAnsi="Calibri"/>
          <w:color w:val="1E293B"/>
        </w:rPr>
        <w:t>2. End-to-End System Architecture</w:t>
      </w:r>
    </w:p>
    <w:p>
      <w:r>
        <w:t>The Pulse engine operates across four sequential processing layers designed to guarantee data integrity, eliminate LLM hallucinations, and provide objective, repeatable product prioritization. Figure 1 illustrates the full data lifecycle from raw multi-channel scraping through to executive dashboard presentation.</w:t>
      </w:r>
    </w:p>
    <w:p>
      <w:pPr>
        <w:spacing w:before="160" w:after="80"/>
        <w:jc w:val="center"/>
      </w:pPr>
    </w:p>
    <w:p>
      <w:r>
        <w:drawing>
          <wp:inline xmlns:a="http://schemas.openxmlformats.org/drawingml/2006/main" xmlns:pic="http://schemas.openxmlformats.org/drawingml/2006/picture">
            <wp:extent cx="5669280" cy="7730836"/>
            <wp:docPr id="1" name="Picture 1"/>
            <wp:cNvGraphicFramePr>
              <a:graphicFrameLocks noChangeAspect="1"/>
            </wp:cNvGraphicFramePr>
            <a:graphic>
              <a:graphicData uri="http://schemas.openxmlformats.org/drawingml/2006/picture">
                <pic:pic>
                  <pic:nvPicPr>
                    <pic:cNvPr id="0" name="flowchart_pipeline_architecture.png"/>
                    <pic:cNvPicPr/>
                  </pic:nvPicPr>
                  <pic:blipFill>
                    <a:blip r:embed="rId11"/>
                    <a:stretch>
                      <a:fillRect/>
                    </a:stretch>
                  </pic:blipFill>
                  <pic:spPr>
                    <a:xfrm>
                      <a:off x="0" y="0"/>
                      <a:ext cx="5669280" cy="7730836"/>
                    </a:xfrm>
                    <a:prstGeom prst="rect"/>
                  </pic:spPr>
                </pic:pic>
              </a:graphicData>
            </a:graphic>
          </wp:inline>
        </w:drawing>
      </w:r>
    </w:p>
    <w:p>
      <w:pPr>
        <w:jc w:val="center"/>
      </w:pPr>
      <w:r>
        <w:rPr>
          <w:i/>
          <w:color w:val="64748B"/>
          <w:sz w:val="17"/>
        </w:rPr>
        <w:t>Figure 1: Pulse 4-Layer Autonomous Discovery Pipeline Architecture</w:t>
      </w:r>
    </w:p>
    <w:p>
      <w:pPr>
        <w:pStyle w:val="Heading1"/>
        <w:keepNext/>
        <w:spacing w:before="280" w:after="80"/>
      </w:pPr>
      <w:r>
        <w:rPr>
          <w:rFonts w:ascii="Calibri" w:hAnsi="Calibri"/>
          <w:color w:val="1E293B"/>
        </w:rPr>
        <w:t>3. Layer-by-Layer Technical Specifications</w:t>
      </w:r>
    </w:p>
    <w:p>
      <w:pPr>
        <w:pStyle w:val="Heading2"/>
        <w:keepNext/>
        <w:spacing w:before="280" w:after="80"/>
      </w:pPr>
      <w:r>
        <w:rPr>
          <w:rFonts w:ascii="Calibri" w:hAnsi="Calibri"/>
          <w:color w:val="06B6D4"/>
        </w:rPr>
        <w:t>Layer 1: Multi-Channel Ingestion &amp; Metadata Normalization</w:t>
      </w:r>
    </w:p>
    <w:p>
      <w:r>
        <w:t>Raw consumer voice is ingested asynchronously across 5 independent channels. Ingestion scrapers handle channel-specific schemas, strip boilerplate markup, compute SHA-256 deduplication hashes, and enrich documents with inferred category, gender context, and brand tier tags.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1E293B"/>
            <w:tcMar>
              <w:top w:w="140" w:type="dxa"/>
              <w:bottom w:w="140" w:type="dxa"/>
              <w:left w:w="140" w:type="dxa"/>
              <w:right w:w="140" w:type="dxa"/>
            </w:tcMar>
          </w:tcPr>
          <w:p>
            <w:pPr>
              <w:jc w:val="center"/>
            </w:pPr>
            <w:r/>
            <w:r>
              <w:rPr>
                <w:rFonts w:ascii="Calibri" w:hAnsi="Calibri"/>
                <w:b/>
                <w:color w:val="FFFFFF"/>
                <w:sz w:val="18"/>
              </w:rPr>
              <w:t>Channel / Source</w:t>
            </w:r>
          </w:p>
        </w:tc>
        <w:tc>
          <w:tcPr>
            <w:tcW w:type="dxa" w:w="1584"/>
            <w:shd w:fill="1E293B"/>
            <w:tcMar>
              <w:top w:w="140" w:type="dxa"/>
              <w:bottom w:w="140" w:type="dxa"/>
              <w:left w:w="140" w:type="dxa"/>
              <w:right w:w="140" w:type="dxa"/>
            </w:tcMar>
          </w:tcPr>
          <w:p>
            <w:pPr>
              <w:jc w:val="center"/>
            </w:pPr>
            <w:r/>
            <w:r>
              <w:rPr>
                <w:rFonts w:ascii="Calibri" w:hAnsi="Calibri"/>
                <w:b/>
                <w:color w:val="FFFFFF"/>
                <w:sz w:val="18"/>
              </w:rPr>
              <w:t>Corpus Volume</w:t>
            </w:r>
          </w:p>
        </w:tc>
        <w:tc>
          <w:tcPr>
            <w:tcW w:type="dxa" w:w="3168"/>
            <w:shd w:fill="1E293B"/>
            <w:tcMar>
              <w:top w:w="140" w:type="dxa"/>
              <w:bottom w:w="140" w:type="dxa"/>
              <w:left w:w="140" w:type="dxa"/>
              <w:right w:w="140" w:type="dxa"/>
            </w:tcMar>
          </w:tcPr>
          <w:p>
            <w:pPr>
              <w:jc w:val="center"/>
            </w:pPr>
            <w:r/>
            <w:r>
              <w:rPr>
                <w:rFonts w:ascii="Calibri" w:hAnsi="Calibri"/>
                <w:b/>
                <w:color w:val="FFFFFF"/>
                <w:sz w:val="18"/>
              </w:rPr>
              <w:t>Channel Characteristics</w:t>
            </w:r>
          </w:p>
        </w:tc>
        <w:tc>
          <w:tcPr>
            <w:tcW w:type="dxa" w:w="2304"/>
            <w:shd w:fill="1E293B"/>
            <w:tcMar>
              <w:top w:w="140" w:type="dxa"/>
              <w:bottom w:w="140" w:type="dxa"/>
              <w:left w:w="140" w:type="dxa"/>
              <w:right w:w="140" w:type="dxa"/>
            </w:tcMar>
          </w:tcPr>
          <w:p>
            <w:pPr>
              <w:jc w:val="center"/>
            </w:pPr>
            <w:r/>
            <w:r>
              <w:rPr>
                <w:rFonts w:ascii="Calibri" w:hAnsi="Calibri"/>
                <w:b/>
                <w:color w:val="FFFFFF"/>
                <w:sz w:val="18"/>
              </w:rPr>
              <w:t>Primary Extraction Focus</w:t>
            </w:r>
          </w:p>
        </w:tc>
      </w:tr>
      <w:tr>
        <w:tc>
          <w:tcPr>
            <w:tcW w:type="dxa" w:w="2304"/>
            <w:shd w:fill="F8FAFC"/>
            <w:tcMar>
              <w:top w:w="120" w:type="dxa"/>
              <w:bottom w:w="120" w:type="dxa"/>
              <w:left w:w="140" w:type="dxa"/>
              <w:right w:w="140" w:type="dxa"/>
            </w:tcMar>
          </w:tcPr>
          <w:p>
            <w:r/>
            <w:r>
              <w:rPr>
                <w:rFonts w:ascii="Calibri" w:hAnsi="Calibri"/>
                <w:color w:val="1E293B"/>
                <w:sz w:val="17"/>
              </w:rPr>
              <w:t>Reddit (r/IndianFashionAddicts)</w:t>
            </w:r>
          </w:p>
        </w:tc>
        <w:tc>
          <w:tcPr>
            <w:tcW w:type="dxa" w:w="1584"/>
            <w:shd w:fill="F8FAFC"/>
            <w:tcMar>
              <w:top w:w="120" w:type="dxa"/>
              <w:bottom w:w="120" w:type="dxa"/>
              <w:left w:w="140" w:type="dxa"/>
              <w:right w:w="140" w:type="dxa"/>
            </w:tcMar>
          </w:tcPr>
          <w:p>
            <w:r/>
            <w:r>
              <w:rPr>
                <w:rFonts w:ascii="Calibri" w:hAnsi="Calibri"/>
                <w:color w:val="1E293B"/>
                <w:sz w:val="17"/>
              </w:rPr>
              <w:t>825 Docs (42.6%)</w:t>
            </w:r>
          </w:p>
        </w:tc>
        <w:tc>
          <w:tcPr>
            <w:tcW w:type="dxa" w:w="3168"/>
            <w:shd w:fill="F8FAFC"/>
            <w:tcMar>
              <w:top w:w="120" w:type="dxa"/>
              <w:bottom w:w="120" w:type="dxa"/>
              <w:left w:w="140" w:type="dxa"/>
              <w:right w:w="140" w:type="dxa"/>
            </w:tcMar>
          </w:tcPr>
          <w:p>
            <w:r/>
            <w:r>
              <w:rPr>
                <w:rFonts w:ascii="Calibri" w:hAnsi="Calibri"/>
                <w:color w:val="1E293B"/>
                <w:sz w:val="17"/>
              </w:rPr>
              <w:t>Long-form peer discussions, fit advice, brand comparisons</w:t>
            </w:r>
          </w:p>
        </w:tc>
        <w:tc>
          <w:tcPr>
            <w:tcW w:type="dxa" w:w="2304"/>
            <w:shd w:fill="F8FAFC"/>
            <w:tcMar>
              <w:top w:w="120" w:type="dxa"/>
              <w:bottom w:w="120" w:type="dxa"/>
              <w:left w:w="140" w:type="dxa"/>
              <w:right w:w="140" w:type="dxa"/>
            </w:tcMar>
          </w:tcPr>
          <w:p>
            <w:r/>
            <w:r>
              <w:rPr>
                <w:rFonts w:ascii="Calibri" w:hAnsi="Calibri"/>
                <w:color w:val="1E293B"/>
                <w:sz w:val="17"/>
              </w:rPr>
              <w:t>High-intent deliberation, style doubts, quality questions</w:t>
            </w:r>
          </w:p>
        </w:tc>
      </w:tr>
      <w:tr>
        <w:tc>
          <w:tcPr>
            <w:tcW w:type="dxa" w:w="2304"/>
            <w:shd w:fill="FFFFFF"/>
            <w:tcMar>
              <w:top w:w="120" w:type="dxa"/>
              <w:bottom w:w="120" w:type="dxa"/>
              <w:left w:w="140" w:type="dxa"/>
              <w:right w:w="140" w:type="dxa"/>
            </w:tcMar>
          </w:tcPr>
          <w:p>
            <w:r/>
            <w:r>
              <w:rPr>
                <w:rFonts w:ascii="Calibri" w:hAnsi="Calibri"/>
                <w:color w:val="1E293B"/>
                <w:sz w:val="17"/>
              </w:rPr>
              <w:t>Google Play Store</w:t>
            </w:r>
          </w:p>
        </w:tc>
        <w:tc>
          <w:tcPr>
            <w:tcW w:type="dxa" w:w="1584"/>
            <w:shd w:fill="FFFFFF"/>
            <w:tcMar>
              <w:top w:w="120" w:type="dxa"/>
              <w:bottom w:w="120" w:type="dxa"/>
              <w:left w:w="140" w:type="dxa"/>
              <w:right w:w="140" w:type="dxa"/>
            </w:tcMar>
          </w:tcPr>
          <w:p>
            <w:r/>
            <w:r>
              <w:rPr>
                <w:rFonts w:ascii="Calibri" w:hAnsi="Calibri"/>
                <w:color w:val="1E293B"/>
                <w:sz w:val="17"/>
              </w:rPr>
              <w:t>641 Docs (33.1%)</w:t>
            </w:r>
          </w:p>
        </w:tc>
        <w:tc>
          <w:tcPr>
            <w:tcW w:type="dxa" w:w="3168"/>
            <w:shd w:fill="FFFFFF"/>
            <w:tcMar>
              <w:top w:w="120" w:type="dxa"/>
              <w:bottom w:w="120" w:type="dxa"/>
              <w:left w:w="140" w:type="dxa"/>
              <w:right w:w="140" w:type="dxa"/>
            </w:tcMar>
          </w:tcPr>
          <w:p>
            <w:r/>
            <w:r>
              <w:rPr>
                <w:rFonts w:ascii="Calibri" w:hAnsi="Calibri"/>
                <w:color w:val="1E293B"/>
                <w:sz w:val="17"/>
              </w:rPr>
              <w:t>App performance, checkout UX, return &amp; refund complaints</w:t>
            </w:r>
          </w:p>
        </w:tc>
        <w:tc>
          <w:tcPr>
            <w:tcW w:type="dxa" w:w="2304"/>
            <w:shd w:fill="FFFFFF"/>
            <w:tcMar>
              <w:top w:w="120" w:type="dxa"/>
              <w:bottom w:w="120" w:type="dxa"/>
              <w:left w:w="140" w:type="dxa"/>
              <w:right w:w="140" w:type="dxa"/>
            </w:tcMar>
          </w:tcPr>
          <w:p>
            <w:r/>
            <w:r>
              <w:rPr>
                <w:rFonts w:ascii="Calibri" w:hAnsi="Calibri"/>
                <w:color w:val="1E293B"/>
                <w:sz w:val="17"/>
              </w:rPr>
              <w:t>Checkout friction, unexpected cancellations, delivery delays</w:t>
            </w:r>
          </w:p>
        </w:tc>
      </w:tr>
      <w:tr>
        <w:tc>
          <w:tcPr>
            <w:tcW w:type="dxa" w:w="2304"/>
            <w:shd w:fill="F8FAFC"/>
            <w:tcMar>
              <w:top w:w="120" w:type="dxa"/>
              <w:bottom w:w="120" w:type="dxa"/>
              <w:left w:w="140" w:type="dxa"/>
              <w:right w:w="140" w:type="dxa"/>
            </w:tcMar>
          </w:tcPr>
          <w:p>
            <w:r/>
            <w:r>
              <w:rPr>
                <w:rFonts w:ascii="Calibri" w:hAnsi="Calibri"/>
                <w:color w:val="1E293B"/>
                <w:sz w:val="17"/>
              </w:rPr>
              <w:t>Apple App Store</w:t>
            </w:r>
          </w:p>
        </w:tc>
        <w:tc>
          <w:tcPr>
            <w:tcW w:type="dxa" w:w="1584"/>
            <w:shd w:fill="F8FAFC"/>
            <w:tcMar>
              <w:top w:w="120" w:type="dxa"/>
              <w:bottom w:w="120" w:type="dxa"/>
              <w:left w:w="140" w:type="dxa"/>
              <w:right w:w="140" w:type="dxa"/>
            </w:tcMar>
          </w:tcPr>
          <w:p>
            <w:r/>
            <w:r>
              <w:rPr>
                <w:rFonts w:ascii="Calibri" w:hAnsi="Calibri"/>
                <w:color w:val="1E293B"/>
                <w:sz w:val="17"/>
              </w:rPr>
              <w:t>295 Docs (15.2%)</w:t>
            </w:r>
          </w:p>
        </w:tc>
        <w:tc>
          <w:tcPr>
            <w:tcW w:type="dxa" w:w="3168"/>
            <w:shd w:fill="F8FAFC"/>
            <w:tcMar>
              <w:top w:w="120" w:type="dxa"/>
              <w:bottom w:w="120" w:type="dxa"/>
              <w:left w:w="140" w:type="dxa"/>
              <w:right w:w="140" w:type="dxa"/>
            </w:tcMar>
          </w:tcPr>
          <w:p>
            <w:r/>
            <w:r>
              <w:rPr>
                <w:rFonts w:ascii="Calibri" w:hAnsi="Calibri"/>
                <w:color w:val="1E293B"/>
                <w:sz w:val="17"/>
              </w:rPr>
              <w:t>Catalog browsing, UI responsiveness, image color accuracy</w:t>
            </w:r>
          </w:p>
        </w:tc>
        <w:tc>
          <w:tcPr>
            <w:tcW w:type="dxa" w:w="2304"/>
            <w:shd w:fill="F8FAFC"/>
            <w:tcMar>
              <w:top w:w="120" w:type="dxa"/>
              <w:bottom w:w="120" w:type="dxa"/>
              <w:left w:w="140" w:type="dxa"/>
              <w:right w:w="140" w:type="dxa"/>
            </w:tcMar>
          </w:tcPr>
          <w:p>
            <w:r/>
            <w:r>
              <w:rPr>
                <w:rFonts w:ascii="Calibri" w:hAnsi="Calibri"/>
                <w:color w:val="1E293B"/>
                <w:sz w:val="17"/>
              </w:rPr>
              <w:t>Studio lighting discrepancy, visual inspection frictions</w:t>
            </w:r>
          </w:p>
        </w:tc>
      </w:tr>
      <w:tr>
        <w:tc>
          <w:tcPr>
            <w:tcW w:type="dxa" w:w="2304"/>
            <w:shd w:fill="FFFFFF"/>
            <w:tcMar>
              <w:top w:w="120" w:type="dxa"/>
              <w:bottom w:w="120" w:type="dxa"/>
              <w:left w:w="140" w:type="dxa"/>
              <w:right w:w="140" w:type="dxa"/>
            </w:tcMar>
          </w:tcPr>
          <w:p>
            <w:r/>
            <w:r>
              <w:rPr>
                <w:rFonts w:ascii="Calibri" w:hAnsi="Calibri"/>
                <w:color w:val="1E293B"/>
                <w:sz w:val="17"/>
              </w:rPr>
              <w:t>YouTube Try-Ons &amp; Hauls</w:t>
            </w:r>
          </w:p>
        </w:tc>
        <w:tc>
          <w:tcPr>
            <w:tcW w:type="dxa" w:w="1584"/>
            <w:shd w:fill="FFFFFF"/>
            <w:tcMar>
              <w:top w:w="120" w:type="dxa"/>
              <w:bottom w:w="120" w:type="dxa"/>
              <w:left w:w="140" w:type="dxa"/>
              <w:right w:w="140" w:type="dxa"/>
            </w:tcMar>
          </w:tcPr>
          <w:p>
            <w:r/>
            <w:r>
              <w:rPr>
                <w:rFonts w:ascii="Calibri" w:hAnsi="Calibri"/>
                <w:color w:val="1E293B"/>
                <w:sz w:val="17"/>
              </w:rPr>
              <w:t>141 Docs (7.3%)</w:t>
            </w:r>
          </w:p>
        </w:tc>
        <w:tc>
          <w:tcPr>
            <w:tcW w:type="dxa" w:w="3168"/>
            <w:shd w:fill="FFFFFF"/>
            <w:tcMar>
              <w:top w:w="120" w:type="dxa"/>
              <w:bottom w:w="120" w:type="dxa"/>
              <w:left w:w="140" w:type="dxa"/>
              <w:right w:w="140" w:type="dxa"/>
            </w:tcMar>
          </w:tcPr>
          <w:p>
            <w:r/>
            <w:r>
              <w:rPr>
                <w:rFonts w:ascii="Calibri" w:hAnsi="Calibri"/>
                <w:color w:val="1E293B"/>
                <w:sz w:val="17"/>
              </w:rPr>
              <w:t>Comment discussions under influencer haul &amp; try-on videos</w:t>
            </w:r>
          </w:p>
        </w:tc>
        <w:tc>
          <w:tcPr>
            <w:tcW w:type="dxa" w:w="2304"/>
            <w:shd w:fill="FFFFFF"/>
            <w:tcMar>
              <w:top w:w="120" w:type="dxa"/>
              <w:bottom w:w="120" w:type="dxa"/>
              <w:left w:w="140" w:type="dxa"/>
              <w:right w:w="140" w:type="dxa"/>
            </w:tcMar>
          </w:tcPr>
          <w:p>
            <w:r/>
            <w:r>
              <w:rPr>
                <w:rFonts w:ascii="Calibri" w:hAnsi="Calibri"/>
                <w:color w:val="1E293B"/>
                <w:sz w:val="17"/>
              </w:rPr>
              <w:t>Fabric transparency, size chart mismatch, wash durability</w:t>
            </w:r>
          </w:p>
        </w:tc>
      </w:tr>
      <w:tr>
        <w:tc>
          <w:tcPr>
            <w:tcW w:type="dxa" w:w="2304"/>
            <w:shd w:fill="F8FAFC"/>
            <w:tcMar>
              <w:top w:w="120" w:type="dxa"/>
              <w:bottom w:w="120" w:type="dxa"/>
              <w:left w:w="140" w:type="dxa"/>
              <w:right w:w="140" w:type="dxa"/>
            </w:tcMar>
          </w:tcPr>
          <w:p>
            <w:r/>
            <w:r>
              <w:rPr>
                <w:rFonts w:ascii="Calibri" w:hAnsi="Calibri"/>
                <w:color w:val="1E293B"/>
                <w:sz w:val="17"/>
              </w:rPr>
              <w:t>E-Commerce Product Reviews</w:t>
            </w:r>
          </w:p>
        </w:tc>
        <w:tc>
          <w:tcPr>
            <w:tcW w:type="dxa" w:w="1584"/>
            <w:shd w:fill="F8FAFC"/>
            <w:tcMar>
              <w:top w:w="120" w:type="dxa"/>
              <w:bottom w:w="120" w:type="dxa"/>
              <w:left w:w="140" w:type="dxa"/>
              <w:right w:w="140" w:type="dxa"/>
            </w:tcMar>
          </w:tcPr>
          <w:p>
            <w:r/>
            <w:r>
              <w:rPr>
                <w:rFonts w:ascii="Calibri" w:hAnsi="Calibri"/>
                <w:color w:val="1E293B"/>
                <w:sz w:val="17"/>
              </w:rPr>
              <w:t>36 Docs (1.8%)</w:t>
            </w:r>
          </w:p>
        </w:tc>
        <w:tc>
          <w:tcPr>
            <w:tcW w:type="dxa" w:w="3168"/>
            <w:shd w:fill="F8FAFC"/>
            <w:tcMar>
              <w:top w:w="120" w:type="dxa"/>
              <w:bottom w:w="120" w:type="dxa"/>
              <w:left w:w="140" w:type="dxa"/>
              <w:right w:w="140" w:type="dxa"/>
            </w:tcMar>
          </w:tcPr>
          <w:p>
            <w:r/>
            <w:r>
              <w:rPr>
                <w:rFonts w:ascii="Calibri" w:hAnsi="Calibri"/>
                <w:color w:val="1E293B"/>
                <w:sz w:val="17"/>
              </w:rPr>
              <w:t>Direct product verified purchase feedback</w:t>
            </w:r>
          </w:p>
        </w:tc>
        <w:tc>
          <w:tcPr>
            <w:tcW w:type="dxa" w:w="2304"/>
            <w:shd w:fill="F8FAFC"/>
            <w:tcMar>
              <w:top w:w="120" w:type="dxa"/>
              <w:bottom w:w="120" w:type="dxa"/>
              <w:left w:w="140" w:type="dxa"/>
              <w:right w:w="140" w:type="dxa"/>
            </w:tcMar>
          </w:tcPr>
          <w:p>
            <w:r/>
            <w:r>
              <w:rPr>
                <w:rFonts w:ascii="Calibri" w:hAnsi="Calibri"/>
                <w:color w:val="1E293B"/>
                <w:sz w:val="17"/>
              </w:rPr>
              <w:t>Stitching quality, stretchability, return pickup delays</w:t>
            </w:r>
          </w:p>
        </w:tc>
      </w:tr>
    </w:tbl>
    <w:p>
      <w:pPr>
        <w:spacing w:after="120"/>
      </w:pPr>
    </w:p>
    <w:p>
      <w:pPr>
        <w:pStyle w:val="Heading2"/>
        <w:keepNext/>
        <w:spacing w:before="280" w:after="80"/>
      </w:pPr>
      <w:r>
        <w:rPr>
          <w:rFonts w:ascii="Calibri" w:hAnsi="Calibri"/>
          <w:color w:val="8B5CF6"/>
        </w:rPr>
        <w:t>Layer 2: LLM Causal Extraction &amp; Zero-Hallucination Guardrails</w:t>
      </w:r>
    </w:p>
    <w:p>
      <w:r>
        <w:t>Ingested documents are batched in chunks of 20 and dispatched to Gemini 3.5/3.6 Flash using strict few-shot structured JSON schemas. The extractor identifies four distinct causal signal types: Friction, Motivation, Uncertainty, and Behavior.</w:t>
      </w:r>
    </w:p>
    <w:tbl>
      <w:tblPr>
        <w:tblW w:type="auto" w:w="0"/>
        <w:jc w:val="center"/>
        <w:tblLayout w:type="fixed"/>
        <w:tblLook w:firstColumn="1" w:firstRow="1" w:lastColumn="0" w:lastRow="0" w:noHBand="0" w:noVBand="1" w:val="04A0"/>
      </w:tblPr>
      <w:tblGrid>
        <w:gridCol w:w="9360"/>
      </w:tblGrid>
      <w:tr>
        <w:tc>
          <w:tcPr>
            <w:tcW w:type="dxa" w:w="9360"/>
            <w:shd w:fill="FFF1F2"/>
            <w:tcMar>
              <w:top w:w="160" w:type="dxa"/>
              <w:bottom w:w="160" w:type="dxa"/>
              <w:left w:w="200" w:type="dxa"/>
              <w:right w:w="200" w:type="dxa"/>
            </w:tcMar>
            <w:tcBorders>
              <w:left w:val="single" w:sz="36" w:space="0" w:color="EF4444"/>
              <w:top w:val="none"/>
              <w:right w:val="none"/>
              <w:bottom w:val="none"/>
            </w:tcBorders>
          </w:tcPr>
          <w:p>
            <w:pPr>
              <w:spacing w:before="0" w:after="80"/>
            </w:pPr>
            <w:r>
              <w:rPr>
                <w:rFonts w:ascii="Calibri" w:hAnsi="Calibri"/>
                <w:b/>
                <w:color w:val="1E293B"/>
                <w:sz w:val="21"/>
              </w:rPr>
              <w:t>📌 The Verbatim Substring Hallucination Guardrail</w:t>
              <w:br/>
            </w:r>
            <w:r>
              <w:rPr>
                <w:rFonts w:ascii="Calibri" w:hAnsi="Calibri"/>
                <w:color w:val="334155"/>
                <w:sz w:val="19"/>
              </w:rPr>
              <w:t>A major failure mode of naive LLM systems is the fabrication of plausible-sounding customer quotes. Pulse implements a deterministic verification guardrail in Python: before any extracted signal is committed to the database, its 'verbatim_quote' field is checked as an exact, normalized substring of the raw document text. If an LLM modifies, paraphrases, or hallucinates words in the quote, the extraction is instantly rejected.</w:t>
            </w:r>
          </w:p>
        </w:tc>
      </w:tr>
    </w:tbl>
    <w:p>
      <w:pPr>
        <w:spacing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fill="1E293B"/>
            <w:tcMar>
              <w:top w:w="140" w:type="dxa"/>
              <w:bottom w:w="140" w:type="dxa"/>
              <w:left w:w="140" w:type="dxa"/>
              <w:right w:w="140" w:type="dxa"/>
            </w:tcMar>
          </w:tcPr>
          <w:p>
            <w:pPr>
              <w:jc w:val="center"/>
            </w:pPr>
            <w:r/>
            <w:r>
              <w:rPr>
                <w:rFonts w:ascii="Calibri" w:hAnsi="Calibri"/>
                <w:b/>
                <w:color w:val="FFFFFF"/>
                <w:sz w:val="18"/>
              </w:rPr>
              <w:t>Signal Type</w:t>
            </w:r>
          </w:p>
        </w:tc>
        <w:tc>
          <w:tcPr>
            <w:tcW w:type="dxa" w:w="2448"/>
            <w:shd w:fill="1E293B"/>
            <w:tcMar>
              <w:top w:w="140" w:type="dxa"/>
              <w:bottom w:w="140" w:type="dxa"/>
              <w:left w:w="140" w:type="dxa"/>
              <w:right w:w="140" w:type="dxa"/>
            </w:tcMar>
          </w:tcPr>
          <w:p>
            <w:pPr>
              <w:jc w:val="center"/>
            </w:pPr>
            <w:r/>
            <w:r>
              <w:rPr>
                <w:rFonts w:ascii="Calibri" w:hAnsi="Calibri"/>
                <w:b/>
                <w:color w:val="FFFFFF"/>
                <w:sz w:val="18"/>
              </w:rPr>
              <w:t>Definition</w:t>
            </w:r>
          </w:p>
        </w:tc>
        <w:tc>
          <w:tcPr>
            <w:tcW w:type="dxa" w:w="3168"/>
            <w:shd w:fill="1E293B"/>
            <w:tcMar>
              <w:top w:w="140" w:type="dxa"/>
              <w:bottom w:w="140" w:type="dxa"/>
              <w:left w:w="140" w:type="dxa"/>
              <w:right w:w="140" w:type="dxa"/>
            </w:tcMar>
          </w:tcPr>
          <w:p>
            <w:pPr>
              <w:jc w:val="center"/>
            </w:pPr>
            <w:r/>
            <w:r>
              <w:rPr>
                <w:rFonts w:ascii="Calibri" w:hAnsi="Calibri"/>
                <w:b/>
                <w:color w:val="FFFFFF"/>
                <w:sz w:val="18"/>
              </w:rPr>
              <w:t>Example Verbatim Quote</w:t>
            </w:r>
          </w:p>
        </w:tc>
        <w:tc>
          <w:tcPr>
            <w:tcW w:type="dxa" w:w="2160"/>
            <w:shd w:fill="1E293B"/>
            <w:tcMar>
              <w:top w:w="140" w:type="dxa"/>
              <w:bottom w:w="140" w:type="dxa"/>
              <w:left w:w="140" w:type="dxa"/>
              <w:right w:w="140" w:type="dxa"/>
            </w:tcMar>
          </w:tcPr>
          <w:p>
            <w:pPr>
              <w:jc w:val="center"/>
            </w:pPr>
            <w:r/>
            <w:r>
              <w:rPr>
                <w:rFonts w:ascii="Calibri" w:hAnsi="Calibri"/>
                <w:b/>
                <w:color w:val="FFFFFF"/>
                <w:sz w:val="18"/>
              </w:rPr>
              <w:t>Extracted Friction / Intent</w:t>
            </w:r>
          </w:p>
        </w:tc>
      </w:tr>
      <w:tr>
        <w:tc>
          <w:tcPr>
            <w:tcW w:type="dxa" w:w="1584"/>
            <w:shd w:fill="F8FAFC"/>
            <w:tcMar>
              <w:top w:w="120" w:type="dxa"/>
              <w:bottom w:w="120" w:type="dxa"/>
              <w:left w:w="140" w:type="dxa"/>
              <w:right w:w="140" w:type="dxa"/>
            </w:tcMar>
          </w:tcPr>
          <w:p>
            <w:r/>
            <w:r>
              <w:rPr>
                <w:rFonts w:ascii="Calibri" w:hAnsi="Calibri"/>
                <w:color w:val="1E293B"/>
                <w:sz w:val="17"/>
              </w:rPr>
              <w:t>Friction</w:t>
            </w:r>
          </w:p>
        </w:tc>
        <w:tc>
          <w:tcPr>
            <w:tcW w:type="dxa" w:w="2448"/>
            <w:shd w:fill="F8FAFC"/>
            <w:tcMar>
              <w:top w:w="120" w:type="dxa"/>
              <w:bottom w:w="120" w:type="dxa"/>
              <w:left w:w="140" w:type="dxa"/>
              <w:right w:w="140" w:type="dxa"/>
            </w:tcMar>
          </w:tcPr>
          <w:p>
            <w:r/>
            <w:r>
              <w:rPr>
                <w:rFonts w:ascii="Calibri" w:hAnsi="Calibri"/>
                <w:color w:val="1E293B"/>
                <w:sz w:val="17"/>
              </w:rPr>
              <w:t>A blocker or frustration preventing seamless checkout</w:t>
            </w:r>
          </w:p>
        </w:tc>
        <w:tc>
          <w:tcPr>
            <w:tcW w:type="dxa" w:w="3168"/>
            <w:shd w:fill="F8FAFC"/>
            <w:tcMar>
              <w:top w:w="120" w:type="dxa"/>
              <w:bottom w:w="120" w:type="dxa"/>
              <w:left w:w="140" w:type="dxa"/>
              <w:right w:w="140" w:type="dxa"/>
            </w:tcMar>
          </w:tcPr>
          <w:p>
            <w:r/>
            <w:r>
              <w:rPr>
                <w:rFonts w:ascii="Calibri" w:hAnsi="Calibri"/>
                <w:color w:val="1E293B"/>
                <w:sz w:val="17"/>
              </w:rPr>
              <w:t>"Return pickup guy did not come for 4 days. After that I stopped buying clothes."</w:t>
            </w:r>
          </w:p>
        </w:tc>
        <w:tc>
          <w:tcPr>
            <w:tcW w:type="dxa" w:w="2160"/>
            <w:shd w:fill="F8FAFC"/>
            <w:tcMar>
              <w:top w:w="120" w:type="dxa"/>
              <w:bottom w:w="120" w:type="dxa"/>
              <w:left w:w="140" w:type="dxa"/>
              <w:right w:w="140" w:type="dxa"/>
            </w:tcMar>
          </w:tcPr>
          <w:p>
            <w:r/>
            <w:r>
              <w:rPr>
                <w:rFonts w:ascii="Calibri" w:hAnsi="Calibri"/>
                <w:color w:val="1E293B"/>
                <w:sz w:val="17"/>
              </w:rPr>
              <w:t>Reverse logistics friction causing checkout hesitation</w:t>
            </w:r>
          </w:p>
        </w:tc>
      </w:tr>
      <w:tr>
        <w:tc>
          <w:tcPr>
            <w:tcW w:type="dxa" w:w="1584"/>
            <w:shd w:fill="FFFFFF"/>
            <w:tcMar>
              <w:top w:w="120" w:type="dxa"/>
              <w:bottom w:w="120" w:type="dxa"/>
              <w:left w:w="140" w:type="dxa"/>
              <w:right w:w="140" w:type="dxa"/>
            </w:tcMar>
          </w:tcPr>
          <w:p>
            <w:r/>
            <w:r>
              <w:rPr>
                <w:rFonts w:ascii="Calibri" w:hAnsi="Calibri"/>
                <w:color w:val="1E293B"/>
                <w:sz w:val="17"/>
              </w:rPr>
              <w:t>Uncertainty</w:t>
            </w:r>
          </w:p>
        </w:tc>
        <w:tc>
          <w:tcPr>
            <w:tcW w:type="dxa" w:w="2448"/>
            <w:shd w:fill="FFFFFF"/>
            <w:tcMar>
              <w:top w:w="120" w:type="dxa"/>
              <w:bottom w:w="120" w:type="dxa"/>
              <w:left w:w="140" w:type="dxa"/>
              <w:right w:w="140" w:type="dxa"/>
            </w:tcMar>
          </w:tcPr>
          <w:p>
            <w:r/>
            <w:r>
              <w:rPr>
                <w:rFonts w:ascii="Calibri" w:hAnsi="Calibri"/>
                <w:color w:val="1E293B"/>
                <w:sz w:val="17"/>
              </w:rPr>
              <w:t>Information gap causing doubt before purchasing</w:t>
            </w:r>
          </w:p>
        </w:tc>
        <w:tc>
          <w:tcPr>
            <w:tcW w:type="dxa" w:w="3168"/>
            <w:shd w:fill="FFFFFF"/>
            <w:tcMar>
              <w:top w:w="120" w:type="dxa"/>
              <w:bottom w:w="120" w:type="dxa"/>
              <w:left w:w="140" w:type="dxa"/>
              <w:right w:w="140" w:type="dxa"/>
            </w:tcMar>
          </w:tcPr>
          <w:p>
            <w:r/>
            <w:r>
              <w:rPr>
                <w:rFonts w:ascii="Calibri" w:hAnsi="Calibri"/>
                <w:color w:val="1E293B"/>
                <w:sz w:val="17"/>
              </w:rPr>
              <w:t>"The kurti looked deep navy blue in pictures, but arrived as washed-out teal."</w:t>
            </w:r>
          </w:p>
        </w:tc>
        <w:tc>
          <w:tcPr>
            <w:tcW w:type="dxa" w:w="2160"/>
            <w:shd w:fill="FFFFFF"/>
            <w:tcMar>
              <w:top w:w="120" w:type="dxa"/>
              <w:bottom w:w="120" w:type="dxa"/>
              <w:left w:w="140" w:type="dxa"/>
              <w:right w:w="140" w:type="dxa"/>
            </w:tcMar>
          </w:tcPr>
          <w:p>
            <w:r/>
            <w:r>
              <w:rPr>
                <w:rFonts w:ascii="Calibri" w:hAnsi="Calibri"/>
                <w:color w:val="1E293B"/>
                <w:sz w:val="17"/>
              </w:rPr>
              <w:t>Catalog lighting mismatch with actual daylight appearance</w:t>
            </w:r>
          </w:p>
        </w:tc>
      </w:tr>
      <w:tr>
        <w:tc>
          <w:tcPr>
            <w:tcW w:type="dxa" w:w="1584"/>
            <w:shd w:fill="F8FAFC"/>
            <w:tcMar>
              <w:top w:w="120" w:type="dxa"/>
              <w:bottom w:w="120" w:type="dxa"/>
              <w:left w:w="140" w:type="dxa"/>
              <w:right w:w="140" w:type="dxa"/>
            </w:tcMar>
          </w:tcPr>
          <w:p>
            <w:r/>
            <w:r>
              <w:rPr>
                <w:rFonts w:ascii="Calibri" w:hAnsi="Calibri"/>
                <w:color w:val="1E293B"/>
                <w:sz w:val="17"/>
              </w:rPr>
              <w:t>Behavior</w:t>
            </w:r>
          </w:p>
        </w:tc>
        <w:tc>
          <w:tcPr>
            <w:tcW w:type="dxa" w:w="2448"/>
            <w:shd w:fill="F8FAFC"/>
            <w:tcMar>
              <w:top w:w="120" w:type="dxa"/>
              <w:bottom w:w="120" w:type="dxa"/>
              <w:left w:w="140" w:type="dxa"/>
              <w:right w:w="140" w:type="dxa"/>
            </w:tcMar>
          </w:tcPr>
          <w:p>
            <w:r/>
            <w:r>
              <w:rPr>
                <w:rFonts w:ascii="Calibri" w:hAnsi="Calibri"/>
                <w:color w:val="1E293B"/>
                <w:sz w:val="17"/>
              </w:rPr>
              <w:t>Specific workflow or shopping pattern adopted by user</w:t>
            </w:r>
          </w:p>
        </w:tc>
        <w:tc>
          <w:tcPr>
            <w:tcW w:type="dxa" w:w="3168"/>
            <w:shd w:fill="F8FAFC"/>
            <w:tcMar>
              <w:top w:w="120" w:type="dxa"/>
              <w:bottom w:w="120" w:type="dxa"/>
              <w:left w:w="140" w:type="dxa"/>
              <w:right w:w="140" w:type="dxa"/>
            </w:tcMar>
          </w:tcPr>
          <w:p>
            <w:r/>
            <w:r>
              <w:rPr>
                <w:rFonts w:ascii="Calibri" w:hAnsi="Calibri"/>
                <w:color w:val="1E293B"/>
                <w:sz w:val="17"/>
              </w:rPr>
              <w:t>"I keep like 30 items in my wishlist just to wait for the sale to see discounts."</w:t>
            </w:r>
          </w:p>
        </w:tc>
        <w:tc>
          <w:tcPr>
            <w:tcW w:type="dxa" w:w="2160"/>
            <w:shd w:fill="F8FAFC"/>
            <w:tcMar>
              <w:top w:w="120" w:type="dxa"/>
              <w:bottom w:w="120" w:type="dxa"/>
              <w:left w:w="140" w:type="dxa"/>
              <w:right w:w="140" w:type="dxa"/>
            </w:tcMar>
          </w:tcPr>
          <w:p>
            <w:r/>
            <w:r>
              <w:rPr>
                <w:rFonts w:ascii="Calibri" w:hAnsi="Calibri"/>
                <w:color w:val="1E293B"/>
                <w:sz w:val="17"/>
              </w:rPr>
              <w:t>Wishlist utilized as a price-tracking &amp; sale alert mechanism</w:t>
            </w:r>
          </w:p>
        </w:tc>
      </w:tr>
      <w:tr>
        <w:tc>
          <w:tcPr>
            <w:tcW w:type="dxa" w:w="1584"/>
            <w:shd w:fill="FFFFFF"/>
            <w:tcMar>
              <w:top w:w="120" w:type="dxa"/>
              <w:bottom w:w="120" w:type="dxa"/>
              <w:left w:w="140" w:type="dxa"/>
              <w:right w:w="140" w:type="dxa"/>
            </w:tcMar>
          </w:tcPr>
          <w:p>
            <w:r/>
            <w:r>
              <w:rPr>
                <w:rFonts w:ascii="Calibri" w:hAnsi="Calibri"/>
                <w:color w:val="1E293B"/>
                <w:sz w:val="17"/>
              </w:rPr>
              <w:t>Motivation</w:t>
            </w:r>
          </w:p>
        </w:tc>
        <w:tc>
          <w:tcPr>
            <w:tcW w:type="dxa" w:w="2448"/>
            <w:shd w:fill="FFFFFF"/>
            <w:tcMar>
              <w:top w:w="120" w:type="dxa"/>
              <w:bottom w:w="120" w:type="dxa"/>
              <w:left w:w="140" w:type="dxa"/>
              <w:right w:w="140" w:type="dxa"/>
            </w:tcMar>
          </w:tcPr>
          <w:p>
            <w:r/>
            <w:r>
              <w:rPr>
                <w:rFonts w:ascii="Calibri" w:hAnsi="Calibri"/>
                <w:color w:val="1E293B"/>
                <w:sz w:val="17"/>
              </w:rPr>
              <w:t>Underlying goal driving product search and desire</w:t>
            </w:r>
          </w:p>
        </w:tc>
        <w:tc>
          <w:tcPr>
            <w:tcW w:type="dxa" w:w="3168"/>
            <w:shd w:fill="FFFFFF"/>
            <w:tcMar>
              <w:top w:w="120" w:type="dxa"/>
              <w:bottom w:w="120" w:type="dxa"/>
              <w:left w:w="140" w:type="dxa"/>
              <w:right w:w="140" w:type="dxa"/>
            </w:tcMar>
          </w:tcPr>
          <w:p>
            <w:r/>
            <w:r>
              <w:rPr>
                <w:rFonts w:ascii="Calibri" w:hAnsi="Calibri"/>
                <w:color w:val="1E293B"/>
                <w:sz w:val="17"/>
              </w:rPr>
              <w:t>"Saved 5 different dresses to send to my sister to help choose which neckline looks better."</w:t>
            </w:r>
          </w:p>
        </w:tc>
        <w:tc>
          <w:tcPr>
            <w:tcW w:type="dxa" w:w="2160"/>
            <w:shd w:fill="FFFFFF"/>
            <w:tcMar>
              <w:top w:w="120" w:type="dxa"/>
              <w:bottom w:w="120" w:type="dxa"/>
              <w:left w:w="140" w:type="dxa"/>
              <w:right w:w="140" w:type="dxa"/>
            </w:tcMar>
          </w:tcPr>
          <w:p>
            <w:r/>
            <w:r>
              <w:rPr>
                <w:rFonts w:ascii="Calibri" w:hAnsi="Calibri"/>
                <w:color w:val="1E293B"/>
                <w:sz w:val="17"/>
              </w:rPr>
              <w:t>Peer validation and social reassurance prior to purchase</w:t>
            </w:r>
          </w:p>
        </w:tc>
      </w:tr>
    </w:tbl>
    <w:p>
      <w:pPr>
        <w:spacing w:after="120"/>
      </w:pPr>
    </w:p>
    <w:p>
      <w:pPr>
        <w:pStyle w:val="Heading2"/>
        <w:keepNext/>
        <w:spacing w:before="280" w:after="80"/>
      </w:pPr>
      <w:r>
        <w:rPr>
          <w:rFonts w:ascii="Calibri" w:hAnsi="Calibri"/>
          <w:color w:val="10B981"/>
        </w:rPr>
        <w:t>Layer 3: Unsupervised Semantic Clustering &amp; Dynamic Taxonomy</w:t>
      </w:r>
    </w:p>
    <w:p>
      <w:r>
        <w:t>To group 1,554 extractions into cohesive opportunity themes without manual bias, Pulse applies a two-stage unsupervised ML pipeline: (1) Dense Vector Embedding via sublinear TF-IDF + Truncated Singular Value Decomposition (TruncatedSVD, 100 dimensions), and (2) Hierarchical Agglomerative Clustering using cosine distance.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E293B"/>
            <w:tcMar>
              <w:top w:w="140" w:type="dxa"/>
              <w:bottom w:w="140" w:type="dxa"/>
              <w:left w:w="140" w:type="dxa"/>
              <w:right w:w="140" w:type="dxa"/>
            </w:tcMar>
          </w:tcPr>
          <w:p>
            <w:pPr>
              <w:jc w:val="center"/>
            </w:pPr>
            <w:r/>
            <w:r>
              <w:rPr>
                <w:rFonts w:ascii="Calibri" w:hAnsi="Calibri"/>
                <w:b/>
                <w:color w:val="FFFFFF"/>
                <w:sz w:val="18"/>
              </w:rPr>
              <w:t>ML Pipeline Parameter</w:t>
            </w:r>
          </w:p>
        </w:tc>
        <w:tc>
          <w:tcPr>
            <w:tcW w:type="dxa" w:w="2592"/>
            <w:shd w:fill="1E293B"/>
            <w:tcMar>
              <w:top w:w="140" w:type="dxa"/>
              <w:bottom w:w="140" w:type="dxa"/>
              <w:left w:w="140" w:type="dxa"/>
              <w:right w:w="140" w:type="dxa"/>
            </w:tcMar>
          </w:tcPr>
          <w:p>
            <w:pPr>
              <w:jc w:val="center"/>
            </w:pPr>
            <w:r/>
            <w:r>
              <w:rPr>
                <w:rFonts w:ascii="Calibri" w:hAnsi="Calibri"/>
                <w:b/>
                <w:color w:val="FFFFFF"/>
                <w:sz w:val="18"/>
              </w:rPr>
              <w:t>Value / Configuration</w:t>
            </w:r>
          </w:p>
        </w:tc>
        <w:tc>
          <w:tcPr>
            <w:tcW w:type="dxa" w:w="4608"/>
            <w:shd w:fill="1E293B"/>
            <w:tcMar>
              <w:top w:w="140" w:type="dxa"/>
              <w:bottom w:w="140" w:type="dxa"/>
              <w:left w:w="140" w:type="dxa"/>
              <w:right w:w="140" w:type="dxa"/>
            </w:tcMar>
          </w:tcPr>
          <w:p>
            <w:pPr>
              <w:jc w:val="center"/>
            </w:pPr>
            <w:r/>
            <w:r>
              <w:rPr>
                <w:rFonts w:ascii="Calibri" w:hAnsi="Calibri"/>
                <w:b/>
                <w:color w:val="FFFFFF"/>
                <w:sz w:val="18"/>
              </w:rPr>
              <w:t>Evaluator Rationale &amp; Mathematical Justification</w:t>
            </w:r>
          </w:p>
        </w:tc>
      </w:tr>
      <w:tr>
        <w:tc>
          <w:tcPr>
            <w:tcW w:type="dxa" w:w="2160"/>
            <w:shd w:fill="F8FAFC"/>
            <w:tcMar>
              <w:top w:w="120" w:type="dxa"/>
              <w:bottom w:w="120" w:type="dxa"/>
              <w:left w:w="140" w:type="dxa"/>
              <w:right w:w="140" w:type="dxa"/>
            </w:tcMar>
          </w:tcPr>
          <w:p>
            <w:r/>
            <w:r>
              <w:rPr>
                <w:rFonts w:ascii="Calibri" w:hAnsi="Calibri"/>
                <w:color w:val="1E293B"/>
                <w:sz w:val="17"/>
              </w:rPr>
              <w:t>Embedding Strategy</w:t>
            </w:r>
          </w:p>
        </w:tc>
        <w:tc>
          <w:tcPr>
            <w:tcW w:type="dxa" w:w="2592"/>
            <w:shd w:fill="F8FAFC"/>
            <w:tcMar>
              <w:top w:w="120" w:type="dxa"/>
              <w:bottom w:w="120" w:type="dxa"/>
              <w:left w:w="140" w:type="dxa"/>
              <w:right w:w="140" w:type="dxa"/>
            </w:tcMar>
          </w:tcPr>
          <w:p>
            <w:r/>
            <w:r>
              <w:rPr>
                <w:rFonts w:ascii="Calibri" w:hAnsi="Calibri"/>
                <w:color w:val="1E293B"/>
                <w:sz w:val="17"/>
              </w:rPr>
              <w:t>TF-IDF (1-3 ngrams) + TruncatedSVD</w:t>
            </w:r>
          </w:p>
        </w:tc>
        <w:tc>
          <w:tcPr>
            <w:tcW w:type="dxa" w:w="4608"/>
            <w:shd w:fill="F8FAFC"/>
            <w:tcMar>
              <w:top w:w="120" w:type="dxa"/>
              <w:bottom w:w="120" w:type="dxa"/>
              <w:left w:w="140" w:type="dxa"/>
              <w:right w:w="140" w:type="dxa"/>
            </w:tcMar>
          </w:tcPr>
          <w:p>
            <w:r/>
            <w:r>
              <w:rPr>
                <w:rFonts w:ascii="Calibri" w:hAnsi="Calibri"/>
                <w:color w:val="1E293B"/>
                <w:sz w:val="17"/>
              </w:rPr>
              <w:t>Captures domain-specific fashion vocabulary while projecting to 100 dense dimensions</w:t>
            </w:r>
          </w:p>
        </w:tc>
      </w:tr>
      <w:tr>
        <w:tc>
          <w:tcPr>
            <w:tcW w:type="dxa" w:w="2160"/>
            <w:shd w:fill="FFFFFF"/>
            <w:tcMar>
              <w:top w:w="120" w:type="dxa"/>
              <w:bottom w:w="120" w:type="dxa"/>
              <w:left w:w="140" w:type="dxa"/>
              <w:right w:w="140" w:type="dxa"/>
            </w:tcMar>
          </w:tcPr>
          <w:p>
            <w:r/>
            <w:r>
              <w:rPr>
                <w:rFonts w:ascii="Calibri" w:hAnsi="Calibri"/>
                <w:color w:val="1E293B"/>
                <w:sz w:val="17"/>
              </w:rPr>
              <w:t>Distance Metric</w:t>
            </w:r>
          </w:p>
        </w:tc>
        <w:tc>
          <w:tcPr>
            <w:tcW w:type="dxa" w:w="2592"/>
            <w:shd w:fill="FFFFFF"/>
            <w:tcMar>
              <w:top w:w="120" w:type="dxa"/>
              <w:bottom w:w="120" w:type="dxa"/>
              <w:left w:w="140" w:type="dxa"/>
              <w:right w:w="140" w:type="dxa"/>
            </w:tcMar>
          </w:tcPr>
          <w:p>
            <w:r/>
            <w:r>
              <w:rPr>
                <w:rFonts w:ascii="Calibri" w:hAnsi="Calibri"/>
                <w:color w:val="1E293B"/>
                <w:sz w:val="17"/>
              </w:rPr>
              <w:t>Cosine Distance</w:t>
            </w:r>
          </w:p>
        </w:tc>
        <w:tc>
          <w:tcPr>
            <w:tcW w:type="dxa" w:w="4608"/>
            <w:shd w:fill="FFFFFF"/>
            <w:tcMar>
              <w:top w:w="120" w:type="dxa"/>
              <w:bottom w:w="120" w:type="dxa"/>
              <w:left w:w="140" w:type="dxa"/>
              <w:right w:w="140" w:type="dxa"/>
            </w:tcMar>
          </w:tcPr>
          <w:p>
            <w:r/>
            <w:r>
              <w:rPr>
                <w:rFonts w:ascii="Calibri" w:hAnsi="Calibri"/>
                <w:color w:val="1E293B"/>
                <w:sz w:val="17"/>
              </w:rPr>
              <w:t>Measures directional semantic similarity independent of text length variations</w:t>
            </w:r>
          </w:p>
        </w:tc>
      </w:tr>
      <w:tr>
        <w:tc>
          <w:tcPr>
            <w:tcW w:type="dxa" w:w="2160"/>
            <w:shd w:fill="F8FAFC"/>
            <w:tcMar>
              <w:top w:w="120" w:type="dxa"/>
              <w:bottom w:w="120" w:type="dxa"/>
              <w:left w:w="140" w:type="dxa"/>
              <w:right w:w="140" w:type="dxa"/>
            </w:tcMar>
          </w:tcPr>
          <w:p>
            <w:r/>
            <w:r>
              <w:rPr>
                <w:rFonts w:ascii="Calibri" w:hAnsi="Calibri"/>
                <w:color w:val="1E293B"/>
                <w:sz w:val="17"/>
              </w:rPr>
              <w:t>Linkage Criterion</w:t>
            </w:r>
          </w:p>
        </w:tc>
        <w:tc>
          <w:tcPr>
            <w:tcW w:type="dxa" w:w="2592"/>
            <w:shd w:fill="F8FAFC"/>
            <w:tcMar>
              <w:top w:w="120" w:type="dxa"/>
              <w:bottom w:w="120" w:type="dxa"/>
              <w:left w:w="140" w:type="dxa"/>
              <w:right w:w="140" w:type="dxa"/>
            </w:tcMar>
          </w:tcPr>
          <w:p>
            <w:r/>
            <w:r>
              <w:rPr>
                <w:rFonts w:ascii="Calibri" w:hAnsi="Calibri"/>
                <w:color w:val="1E293B"/>
                <w:sz w:val="17"/>
              </w:rPr>
              <w:t>Average Linkage</w:t>
            </w:r>
          </w:p>
        </w:tc>
        <w:tc>
          <w:tcPr>
            <w:tcW w:type="dxa" w:w="4608"/>
            <w:shd w:fill="F8FAFC"/>
            <w:tcMar>
              <w:top w:w="120" w:type="dxa"/>
              <w:bottom w:w="120" w:type="dxa"/>
              <w:left w:w="140" w:type="dxa"/>
              <w:right w:w="140" w:type="dxa"/>
            </w:tcMar>
          </w:tcPr>
          <w:p>
            <w:r/>
            <w:r>
              <w:rPr>
                <w:rFonts w:ascii="Calibri" w:hAnsi="Calibri"/>
                <w:color w:val="1E293B"/>
                <w:sz w:val="17"/>
              </w:rPr>
              <w:t>Produces balanced, non-chaining semantic clusters with high cohesion</w:t>
            </w:r>
          </w:p>
        </w:tc>
      </w:tr>
      <w:tr>
        <w:tc>
          <w:tcPr>
            <w:tcW w:type="dxa" w:w="2160"/>
            <w:shd w:fill="FFFFFF"/>
            <w:tcMar>
              <w:top w:w="120" w:type="dxa"/>
              <w:bottom w:w="120" w:type="dxa"/>
              <w:left w:w="140" w:type="dxa"/>
              <w:right w:w="140" w:type="dxa"/>
            </w:tcMar>
          </w:tcPr>
          <w:p>
            <w:r/>
            <w:r>
              <w:rPr>
                <w:rFonts w:ascii="Calibri" w:hAnsi="Calibri"/>
                <w:color w:val="1E293B"/>
                <w:sz w:val="17"/>
              </w:rPr>
              <w:t>Cluster Count (k)</w:t>
            </w:r>
          </w:p>
        </w:tc>
        <w:tc>
          <w:tcPr>
            <w:tcW w:type="dxa" w:w="2592"/>
            <w:shd w:fill="FFFFFF"/>
            <w:tcMar>
              <w:top w:w="120" w:type="dxa"/>
              <w:bottom w:w="120" w:type="dxa"/>
              <w:left w:w="140" w:type="dxa"/>
              <w:right w:w="140" w:type="dxa"/>
            </w:tcMar>
          </w:tcPr>
          <w:p>
            <w:r/>
            <w:r>
              <w:rPr>
                <w:rFonts w:ascii="Calibri" w:hAnsi="Calibri"/>
                <w:color w:val="1E293B"/>
                <w:sz w:val="17"/>
              </w:rPr>
              <w:t>k = 8 (Optimized via Silhouette)</w:t>
            </w:r>
          </w:p>
        </w:tc>
        <w:tc>
          <w:tcPr>
            <w:tcW w:type="dxa" w:w="4608"/>
            <w:shd w:fill="FFFFFF"/>
            <w:tcMar>
              <w:top w:w="120" w:type="dxa"/>
              <w:bottom w:w="120" w:type="dxa"/>
              <w:left w:w="140" w:type="dxa"/>
              <w:right w:w="140" w:type="dxa"/>
            </w:tcMar>
          </w:tcPr>
          <w:p>
            <w:r/>
            <w:r>
              <w:rPr>
                <w:rFonts w:ascii="Calibri" w:hAnsi="Calibri"/>
                <w:color w:val="1E293B"/>
                <w:sz w:val="17"/>
              </w:rPr>
              <w:t>Maximizes separation between distinct frictions while avoiding hyper-fragmentation</w:t>
            </w:r>
          </w:p>
        </w:tc>
      </w:tr>
      <w:tr>
        <w:tc>
          <w:tcPr>
            <w:tcW w:type="dxa" w:w="2160"/>
            <w:shd w:fill="F8FAFC"/>
            <w:tcMar>
              <w:top w:w="120" w:type="dxa"/>
              <w:bottom w:w="120" w:type="dxa"/>
              <w:left w:w="140" w:type="dxa"/>
              <w:right w:w="140" w:type="dxa"/>
            </w:tcMar>
          </w:tcPr>
          <w:p>
            <w:r/>
            <w:r>
              <w:rPr>
                <w:rFonts w:ascii="Calibri" w:hAnsi="Calibri"/>
                <w:color w:val="1E293B"/>
                <w:sz w:val="17"/>
              </w:rPr>
              <w:t>Dynamic Labeling</w:t>
            </w:r>
          </w:p>
        </w:tc>
        <w:tc>
          <w:tcPr>
            <w:tcW w:type="dxa" w:w="2592"/>
            <w:shd w:fill="F8FAFC"/>
            <w:tcMar>
              <w:top w:w="120" w:type="dxa"/>
              <w:bottom w:w="120" w:type="dxa"/>
              <w:left w:w="140" w:type="dxa"/>
              <w:right w:w="140" w:type="dxa"/>
            </w:tcMar>
          </w:tcPr>
          <w:p>
            <w:r/>
            <w:r>
              <w:rPr>
                <w:rFonts w:ascii="Calibri" w:hAnsi="Calibri"/>
                <w:color w:val="1E293B"/>
                <w:sz w:val="17"/>
              </w:rPr>
              <w:t>Centroid Term Extraction + LLM Labeling</w:t>
            </w:r>
          </w:p>
        </w:tc>
        <w:tc>
          <w:tcPr>
            <w:tcW w:type="dxa" w:w="4608"/>
            <w:shd w:fill="F8FAFC"/>
            <w:tcMar>
              <w:top w:w="120" w:type="dxa"/>
              <w:bottom w:w="120" w:type="dxa"/>
              <w:left w:w="140" w:type="dxa"/>
              <w:right w:w="140" w:type="dxa"/>
            </w:tcMar>
          </w:tcPr>
          <w:p>
            <w:r/>
            <w:r>
              <w:rPr>
                <w:rFonts w:ascii="Calibri" w:hAnsi="Calibri"/>
                <w:color w:val="1E293B"/>
                <w:sz w:val="17"/>
              </w:rPr>
              <w:t>Extracts top TF-IDF keywords and synthesizes human-readable product opportunity labels</w:t>
            </w:r>
          </w:p>
        </w:tc>
      </w:tr>
    </w:tbl>
    <w:p>
      <w:pPr>
        <w:spacing w:after="120"/>
      </w:pPr>
    </w:p>
    <w:p>
      <w:pPr>
        <w:pStyle w:val="Heading2"/>
        <w:keepNext/>
        <w:spacing w:before="280" w:after="80"/>
      </w:pPr>
      <w:r>
        <w:rPr>
          <w:rFonts w:ascii="Calibri" w:hAnsi="Calibri"/>
          <w:color w:val="F59E0B"/>
        </w:rPr>
        <w:t>Layer 4: Multi-Criteria Mathematical Scoring Model</w:t>
      </w:r>
    </w:p>
    <w:p>
      <w:r>
        <w:t>Every clustered opportunity node is ranked using an objective multi-criteria mathematical formula. The Composite Score S_composite ranges strictly from 0.00 to 1.00 and balances signal frequency, cross-channel corroboration, conversion relevance, demographic breadth, and engineering actionability:</w:t>
      </w:r>
    </w:p>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00" w:type="dxa"/>
              <w:right w:w="200" w:type="dxa"/>
            </w:tcMar>
            <w:tcBorders>
              <w:left w:val="single" w:sz="36" w:space="0" w:color="F59E0B"/>
              <w:top w:val="none"/>
              <w:right w:val="none"/>
              <w:bottom w:val="none"/>
            </w:tcBorders>
          </w:tcPr>
          <w:p>
            <w:pPr>
              <w:spacing w:before="0" w:after="80"/>
            </w:pPr>
            <w:r>
              <w:rPr>
                <w:rFonts w:ascii="Calibri" w:hAnsi="Calibri"/>
                <w:b/>
                <w:color w:val="1E293B"/>
                <w:sz w:val="21"/>
              </w:rPr>
              <w:t>📌 The Mathematical Composite Scoring Formula</w:t>
              <w:br/>
            </w:r>
            <w:r>
              <w:rPr>
                <w:rFonts w:ascii="Calibri" w:hAnsi="Calibri"/>
                <w:color w:val="334155"/>
                <w:sz w:val="19"/>
              </w:rPr>
              <w:t>S_composite = (w_freq * S_freq) + (w_tri * S_tri) + (w_conv * S_conv) + (w_seg * S_seg) + (w_act * S_act)</w:t>
              <w:br/>
              <w:br/>
              <w:t>Where the weights sum to 1.00:</w:t>
              <w:br/>
              <w:t>• w_freq = 0.25 (Logarithmic Signal Volume: ln(1 + N) / ln(1 + N_max))</w:t>
              <w:br/>
              <w:t>• w_tri  = 0.25 (Cross-Platform Triangulation: min(1.0, |Platforms| / 4.0))</w:t>
              <w:br/>
              <w:t>• w_conv = 0.25 (Direct Cart Drop-off &amp; Conversion Relevance)</w:t>
              <w:br/>
              <w:t>• w_seg  = 0.15 (Segment Breadth across Ethnic, Western, Footwear &amp; Tiers)</w:t>
              <w:br/>
              <w:t>• w_act  = 0.10 (Engineering &amp; Non-Monetary Product Actionability)</w:t>
            </w:r>
          </w:p>
        </w:tc>
      </w:tr>
    </w:tbl>
    <w:p>
      <w:pPr>
        <w:spacing w:after="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1E293B"/>
            <w:tcMar>
              <w:top w:w="140" w:type="dxa"/>
              <w:bottom w:w="140" w:type="dxa"/>
              <w:left w:w="140" w:type="dxa"/>
              <w:right w:w="140" w:type="dxa"/>
            </w:tcMar>
          </w:tcPr>
          <w:p>
            <w:pPr>
              <w:jc w:val="center"/>
            </w:pPr>
            <w:r/>
            <w:r>
              <w:rPr>
                <w:rFonts w:ascii="Calibri" w:hAnsi="Calibri"/>
                <w:b/>
                <w:color w:val="FFFFFF"/>
                <w:sz w:val="18"/>
              </w:rPr>
              <w:t>Dimension</w:t>
            </w:r>
          </w:p>
        </w:tc>
        <w:tc>
          <w:tcPr>
            <w:tcW w:type="dxa" w:w="1008"/>
            <w:shd w:fill="1E293B"/>
            <w:tcMar>
              <w:top w:w="140" w:type="dxa"/>
              <w:bottom w:w="140" w:type="dxa"/>
              <w:left w:w="140" w:type="dxa"/>
              <w:right w:w="140" w:type="dxa"/>
            </w:tcMar>
          </w:tcPr>
          <w:p>
            <w:pPr>
              <w:jc w:val="center"/>
            </w:pPr>
            <w:r/>
            <w:r>
              <w:rPr>
                <w:rFonts w:ascii="Calibri" w:hAnsi="Calibri"/>
                <w:b/>
                <w:color w:val="FFFFFF"/>
                <w:sz w:val="18"/>
              </w:rPr>
              <w:t>Weight</w:t>
            </w:r>
          </w:p>
        </w:tc>
        <w:tc>
          <w:tcPr>
            <w:tcW w:type="dxa" w:w="2592"/>
            <w:shd w:fill="1E293B"/>
            <w:tcMar>
              <w:top w:w="140" w:type="dxa"/>
              <w:bottom w:w="140" w:type="dxa"/>
              <w:left w:w="140" w:type="dxa"/>
              <w:right w:w="140" w:type="dxa"/>
            </w:tcMar>
          </w:tcPr>
          <w:p>
            <w:pPr>
              <w:jc w:val="center"/>
            </w:pPr>
            <w:r/>
            <w:r>
              <w:rPr>
                <w:rFonts w:ascii="Calibri" w:hAnsi="Calibri"/>
                <w:b/>
                <w:color w:val="FFFFFF"/>
                <w:sz w:val="18"/>
              </w:rPr>
              <w:t>Formula / Range</w:t>
            </w:r>
          </w:p>
        </w:tc>
        <w:tc>
          <w:tcPr>
            <w:tcW w:type="dxa" w:w="3744"/>
            <w:shd w:fill="1E293B"/>
            <w:tcMar>
              <w:top w:w="140" w:type="dxa"/>
              <w:bottom w:w="140" w:type="dxa"/>
              <w:left w:w="140" w:type="dxa"/>
              <w:right w:w="140" w:type="dxa"/>
            </w:tcMar>
          </w:tcPr>
          <w:p>
            <w:pPr>
              <w:jc w:val="center"/>
            </w:pPr>
            <w:r/>
            <w:r>
              <w:rPr>
                <w:rFonts w:ascii="Calibri" w:hAnsi="Calibri"/>
                <w:b/>
                <w:color w:val="FFFFFF"/>
                <w:sz w:val="18"/>
              </w:rPr>
              <w:t>Evaluator Business Rationale</w:t>
            </w:r>
          </w:p>
        </w:tc>
      </w:tr>
      <w:tr>
        <w:tc>
          <w:tcPr>
            <w:tcW w:type="dxa" w:w="2016"/>
            <w:shd w:fill="F8FAFC"/>
            <w:tcMar>
              <w:top w:w="120" w:type="dxa"/>
              <w:bottom w:w="120" w:type="dxa"/>
              <w:left w:w="140" w:type="dxa"/>
              <w:right w:w="140" w:type="dxa"/>
            </w:tcMar>
          </w:tcPr>
          <w:p>
            <w:r/>
            <w:r>
              <w:rPr>
                <w:rFonts w:ascii="Calibri" w:hAnsi="Calibri"/>
                <w:color w:val="1E293B"/>
                <w:sz w:val="17"/>
              </w:rPr>
              <w:t>Frequency Score (S_freq)</w:t>
            </w:r>
          </w:p>
        </w:tc>
        <w:tc>
          <w:tcPr>
            <w:tcW w:type="dxa" w:w="1008"/>
            <w:shd w:fill="F8FAFC"/>
            <w:tcMar>
              <w:top w:w="120" w:type="dxa"/>
              <w:bottom w:w="120" w:type="dxa"/>
              <w:left w:w="140" w:type="dxa"/>
              <w:right w:w="140" w:type="dxa"/>
            </w:tcMar>
          </w:tcPr>
          <w:p>
            <w:r/>
            <w:r>
              <w:rPr>
                <w:rFonts w:ascii="Calibri" w:hAnsi="Calibri"/>
                <w:color w:val="1E293B"/>
                <w:sz w:val="17"/>
              </w:rPr>
              <w:t>25%</w:t>
            </w:r>
          </w:p>
        </w:tc>
        <w:tc>
          <w:tcPr>
            <w:tcW w:type="dxa" w:w="2592"/>
            <w:shd w:fill="F8FAFC"/>
            <w:tcMar>
              <w:top w:w="120" w:type="dxa"/>
              <w:bottom w:w="120" w:type="dxa"/>
              <w:left w:w="140" w:type="dxa"/>
              <w:right w:w="140" w:type="dxa"/>
            </w:tcMar>
          </w:tcPr>
          <w:p>
            <w:r/>
            <w:r>
              <w:rPr>
                <w:rFonts w:ascii="Calibri" w:hAnsi="Calibri"/>
                <w:color w:val="1E293B"/>
                <w:sz w:val="17"/>
              </w:rPr>
              <w:t>ln(1 + N) / ln(1 + N_max)</w:t>
            </w:r>
          </w:p>
        </w:tc>
        <w:tc>
          <w:tcPr>
            <w:tcW w:type="dxa" w:w="3744"/>
            <w:shd w:fill="F8FAFC"/>
            <w:tcMar>
              <w:top w:w="120" w:type="dxa"/>
              <w:bottom w:w="120" w:type="dxa"/>
              <w:left w:w="140" w:type="dxa"/>
              <w:right w:w="140" w:type="dxa"/>
            </w:tcMar>
          </w:tcPr>
          <w:p>
            <w:r/>
            <w:r>
              <w:rPr>
                <w:rFonts w:ascii="Calibri" w:hAnsi="Calibri"/>
                <w:color w:val="1E293B"/>
                <w:sz w:val="17"/>
              </w:rPr>
              <w:t>Logarithmic dampening prevents single high-volume viral topics from dominating</w:t>
            </w:r>
          </w:p>
        </w:tc>
      </w:tr>
      <w:tr>
        <w:tc>
          <w:tcPr>
            <w:tcW w:type="dxa" w:w="2016"/>
            <w:shd w:fill="FFFFFF"/>
            <w:tcMar>
              <w:top w:w="120" w:type="dxa"/>
              <w:bottom w:w="120" w:type="dxa"/>
              <w:left w:w="140" w:type="dxa"/>
              <w:right w:w="140" w:type="dxa"/>
            </w:tcMar>
          </w:tcPr>
          <w:p>
            <w:r/>
            <w:r>
              <w:rPr>
                <w:rFonts w:ascii="Calibri" w:hAnsi="Calibri"/>
                <w:color w:val="1E293B"/>
                <w:sz w:val="17"/>
              </w:rPr>
              <w:t>Triangulation Score (S_tri)</w:t>
            </w:r>
          </w:p>
        </w:tc>
        <w:tc>
          <w:tcPr>
            <w:tcW w:type="dxa" w:w="1008"/>
            <w:shd w:fill="FFFFFF"/>
            <w:tcMar>
              <w:top w:w="120" w:type="dxa"/>
              <w:bottom w:w="120" w:type="dxa"/>
              <w:left w:w="140" w:type="dxa"/>
              <w:right w:w="140" w:type="dxa"/>
            </w:tcMar>
          </w:tcPr>
          <w:p>
            <w:r/>
            <w:r>
              <w:rPr>
                <w:rFonts w:ascii="Calibri" w:hAnsi="Calibri"/>
                <w:color w:val="1E293B"/>
                <w:sz w:val="17"/>
              </w:rPr>
              <w:t>25%</w:t>
            </w:r>
          </w:p>
        </w:tc>
        <w:tc>
          <w:tcPr>
            <w:tcW w:type="dxa" w:w="2592"/>
            <w:shd w:fill="FFFFFF"/>
            <w:tcMar>
              <w:top w:w="120" w:type="dxa"/>
              <w:bottom w:w="120" w:type="dxa"/>
              <w:left w:w="140" w:type="dxa"/>
              <w:right w:w="140" w:type="dxa"/>
            </w:tcMar>
          </w:tcPr>
          <w:p>
            <w:r/>
            <w:r>
              <w:rPr>
                <w:rFonts w:ascii="Calibri" w:hAnsi="Calibri"/>
                <w:color w:val="1E293B"/>
                <w:sz w:val="17"/>
              </w:rPr>
              <w:t>min(1.0, |P| / 4.0)</w:t>
            </w:r>
          </w:p>
        </w:tc>
        <w:tc>
          <w:tcPr>
            <w:tcW w:type="dxa" w:w="3744"/>
            <w:shd w:fill="FFFFFF"/>
            <w:tcMar>
              <w:top w:w="120" w:type="dxa"/>
              <w:bottom w:w="120" w:type="dxa"/>
              <w:left w:w="140" w:type="dxa"/>
              <w:right w:w="140" w:type="dxa"/>
            </w:tcMar>
          </w:tcPr>
          <w:p>
            <w:r/>
            <w:r>
              <w:rPr>
                <w:rFonts w:ascii="Calibri" w:hAnsi="Calibri"/>
                <w:color w:val="1E293B"/>
                <w:sz w:val="17"/>
              </w:rPr>
              <w:t>Rewards issues corroborated across &gt;=2 distinct channels (Success Criterion #3)</w:t>
            </w:r>
          </w:p>
        </w:tc>
      </w:tr>
      <w:tr>
        <w:tc>
          <w:tcPr>
            <w:tcW w:type="dxa" w:w="2016"/>
            <w:shd w:fill="F8FAFC"/>
            <w:tcMar>
              <w:top w:w="120" w:type="dxa"/>
              <w:bottom w:w="120" w:type="dxa"/>
              <w:left w:w="140" w:type="dxa"/>
              <w:right w:w="140" w:type="dxa"/>
            </w:tcMar>
          </w:tcPr>
          <w:p>
            <w:r/>
            <w:r>
              <w:rPr>
                <w:rFonts w:ascii="Calibri" w:hAnsi="Calibri"/>
                <w:color w:val="1E293B"/>
                <w:sz w:val="17"/>
              </w:rPr>
              <w:t>Conversion Score (S_conv)</w:t>
            </w:r>
          </w:p>
        </w:tc>
        <w:tc>
          <w:tcPr>
            <w:tcW w:type="dxa" w:w="1008"/>
            <w:shd w:fill="F8FAFC"/>
            <w:tcMar>
              <w:top w:w="120" w:type="dxa"/>
              <w:bottom w:w="120" w:type="dxa"/>
              <w:left w:w="140" w:type="dxa"/>
              <w:right w:w="140" w:type="dxa"/>
            </w:tcMar>
          </w:tcPr>
          <w:p>
            <w:r/>
            <w:r>
              <w:rPr>
                <w:rFonts w:ascii="Calibri" w:hAnsi="Calibri"/>
                <w:color w:val="1E293B"/>
                <w:sz w:val="17"/>
              </w:rPr>
              <w:t>25%</w:t>
            </w:r>
          </w:p>
        </w:tc>
        <w:tc>
          <w:tcPr>
            <w:tcW w:type="dxa" w:w="2592"/>
            <w:shd w:fill="F8FAFC"/>
            <w:tcMar>
              <w:top w:w="120" w:type="dxa"/>
              <w:bottom w:w="120" w:type="dxa"/>
              <w:left w:w="140" w:type="dxa"/>
              <w:right w:w="140" w:type="dxa"/>
            </w:tcMar>
          </w:tcPr>
          <w:p>
            <w:r/>
            <w:r>
              <w:rPr>
                <w:rFonts w:ascii="Calibri" w:hAnsi="Calibri"/>
                <w:color w:val="1E293B"/>
                <w:sz w:val="17"/>
              </w:rPr>
              <w:t>Weighted severity (0.0 - 1.0)</w:t>
            </w:r>
          </w:p>
        </w:tc>
        <w:tc>
          <w:tcPr>
            <w:tcW w:type="dxa" w:w="3744"/>
            <w:shd w:fill="F8FAFC"/>
            <w:tcMar>
              <w:top w:w="120" w:type="dxa"/>
              <w:bottom w:w="120" w:type="dxa"/>
              <w:left w:w="140" w:type="dxa"/>
              <w:right w:w="140" w:type="dxa"/>
            </w:tcMar>
          </w:tcPr>
          <w:p>
            <w:r/>
            <w:r>
              <w:rPr>
                <w:rFonts w:ascii="Calibri" w:hAnsi="Calibri"/>
                <w:color w:val="1E293B"/>
                <w:sz w:val="17"/>
              </w:rPr>
              <w:t>Prioritizes direct blockers of money transfer (returns, sizing) over general app opinions</w:t>
            </w:r>
          </w:p>
        </w:tc>
      </w:tr>
      <w:tr>
        <w:tc>
          <w:tcPr>
            <w:tcW w:type="dxa" w:w="2016"/>
            <w:shd w:fill="FFFFFF"/>
            <w:tcMar>
              <w:top w:w="120" w:type="dxa"/>
              <w:bottom w:w="120" w:type="dxa"/>
              <w:left w:w="140" w:type="dxa"/>
              <w:right w:w="140" w:type="dxa"/>
            </w:tcMar>
          </w:tcPr>
          <w:p>
            <w:r/>
            <w:r>
              <w:rPr>
                <w:rFonts w:ascii="Calibri" w:hAnsi="Calibri"/>
                <w:color w:val="1E293B"/>
                <w:sz w:val="17"/>
              </w:rPr>
              <w:t>Segment Score (S_seg)</w:t>
            </w:r>
          </w:p>
        </w:tc>
        <w:tc>
          <w:tcPr>
            <w:tcW w:type="dxa" w:w="1008"/>
            <w:shd w:fill="FFFFFF"/>
            <w:tcMar>
              <w:top w:w="120" w:type="dxa"/>
              <w:bottom w:w="120" w:type="dxa"/>
              <w:left w:w="140" w:type="dxa"/>
              <w:right w:w="140" w:type="dxa"/>
            </w:tcMar>
          </w:tcPr>
          <w:p>
            <w:r/>
            <w:r>
              <w:rPr>
                <w:rFonts w:ascii="Calibri" w:hAnsi="Calibri"/>
                <w:color w:val="1E293B"/>
                <w:sz w:val="17"/>
              </w:rPr>
              <w:t>15%</w:t>
            </w:r>
          </w:p>
        </w:tc>
        <w:tc>
          <w:tcPr>
            <w:tcW w:type="dxa" w:w="2592"/>
            <w:shd w:fill="FFFFFF"/>
            <w:tcMar>
              <w:top w:w="120" w:type="dxa"/>
              <w:bottom w:w="120" w:type="dxa"/>
              <w:left w:w="140" w:type="dxa"/>
              <w:right w:w="140" w:type="dxa"/>
            </w:tcMar>
          </w:tcPr>
          <w:p>
            <w:r/>
            <w:r>
              <w:rPr>
                <w:rFonts w:ascii="Calibri" w:hAnsi="Calibri"/>
                <w:color w:val="1E293B"/>
                <w:sz w:val="17"/>
              </w:rPr>
              <w:t>Cross-segment variance (0.0 - 1.0)</w:t>
            </w:r>
          </w:p>
        </w:tc>
        <w:tc>
          <w:tcPr>
            <w:tcW w:type="dxa" w:w="3744"/>
            <w:shd w:fill="FFFFFF"/>
            <w:tcMar>
              <w:top w:w="120" w:type="dxa"/>
              <w:bottom w:w="120" w:type="dxa"/>
              <w:left w:w="140" w:type="dxa"/>
              <w:right w:w="140" w:type="dxa"/>
            </w:tcMar>
          </w:tcPr>
          <w:p>
            <w:r/>
            <w:r>
              <w:rPr>
                <w:rFonts w:ascii="Calibri" w:hAnsi="Calibri"/>
                <w:color w:val="1E293B"/>
                <w:sz w:val="17"/>
              </w:rPr>
              <w:t>Identifies enterprise-wide opportunities versus niche category complaints</w:t>
            </w:r>
          </w:p>
        </w:tc>
      </w:tr>
      <w:tr>
        <w:tc>
          <w:tcPr>
            <w:tcW w:type="dxa" w:w="2016"/>
            <w:shd w:fill="F8FAFC"/>
            <w:tcMar>
              <w:top w:w="120" w:type="dxa"/>
              <w:bottom w:w="120" w:type="dxa"/>
              <w:left w:w="140" w:type="dxa"/>
              <w:right w:w="140" w:type="dxa"/>
            </w:tcMar>
          </w:tcPr>
          <w:p>
            <w:r/>
            <w:r>
              <w:rPr>
                <w:rFonts w:ascii="Calibri" w:hAnsi="Calibri"/>
                <w:color w:val="1E293B"/>
                <w:sz w:val="17"/>
              </w:rPr>
              <w:t>Actionability Score (S_act)</w:t>
            </w:r>
          </w:p>
        </w:tc>
        <w:tc>
          <w:tcPr>
            <w:tcW w:type="dxa" w:w="1008"/>
            <w:shd w:fill="F8FAFC"/>
            <w:tcMar>
              <w:top w:w="120" w:type="dxa"/>
              <w:bottom w:w="120" w:type="dxa"/>
              <w:left w:w="140" w:type="dxa"/>
              <w:right w:w="140" w:type="dxa"/>
            </w:tcMar>
          </w:tcPr>
          <w:p>
            <w:r/>
            <w:r>
              <w:rPr>
                <w:rFonts w:ascii="Calibri" w:hAnsi="Calibri"/>
                <w:color w:val="1E293B"/>
                <w:sz w:val="17"/>
              </w:rPr>
              <w:t>10%</w:t>
            </w:r>
          </w:p>
        </w:tc>
        <w:tc>
          <w:tcPr>
            <w:tcW w:type="dxa" w:w="2592"/>
            <w:shd w:fill="F8FAFC"/>
            <w:tcMar>
              <w:top w:w="120" w:type="dxa"/>
              <w:bottom w:w="120" w:type="dxa"/>
              <w:left w:w="140" w:type="dxa"/>
              <w:right w:w="140" w:type="dxa"/>
            </w:tcMar>
          </w:tcPr>
          <w:p>
            <w:r/>
            <w:r>
              <w:rPr>
                <w:rFonts w:ascii="Calibri" w:hAnsi="Calibri"/>
                <w:color w:val="1E293B"/>
                <w:sz w:val="17"/>
              </w:rPr>
              <w:t>Product addressability (0.0 - 1.0)</w:t>
            </w:r>
          </w:p>
        </w:tc>
        <w:tc>
          <w:tcPr>
            <w:tcW w:type="dxa" w:w="3744"/>
            <w:shd w:fill="F8FAFC"/>
            <w:tcMar>
              <w:top w:w="120" w:type="dxa"/>
              <w:bottom w:w="120" w:type="dxa"/>
              <w:left w:w="140" w:type="dxa"/>
              <w:right w:w="140" w:type="dxa"/>
            </w:tcMar>
          </w:tcPr>
          <w:p>
            <w:r/>
            <w:r>
              <w:rPr>
                <w:rFonts w:ascii="Calibri" w:hAnsi="Calibri"/>
                <w:color w:val="1E293B"/>
                <w:sz w:val="17"/>
              </w:rPr>
              <w:t>Rewards features that product/design teams can solve without heavy merchant price cuts</w:t>
            </w:r>
          </w:p>
        </w:tc>
      </w:tr>
    </w:tbl>
    <w:p>
      <w:pPr>
        <w:spacing w:after="120"/>
      </w:pPr>
    </w:p>
    <w:p>
      <w:pPr>
        <w:pStyle w:val="Heading1"/>
        <w:keepNext/>
        <w:spacing w:before="280" w:after="80"/>
      </w:pPr>
      <w:r>
        <w:rPr>
          <w:rFonts w:ascii="Calibri" w:hAnsi="Calibri"/>
          <w:color w:val="1E293B"/>
        </w:rPr>
        <w:t>4. Ground Truth Benchmark: The 8 Ranked Opportunities</w:t>
      </w:r>
    </w:p>
    <w:p>
      <w:r>
        <w:t>Table 5 presents the complete empirical benchmark produced by the engine from the live 1,938-document corpus. These 8 clusters form the actionable roadmap for product management intervention.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E293B"/>
            <w:tcMar>
              <w:top w:w="140" w:type="dxa"/>
              <w:bottom w:w="140" w:type="dxa"/>
              <w:left w:w="140" w:type="dxa"/>
              <w:right w:w="140" w:type="dxa"/>
            </w:tcMar>
          </w:tcPr>
          <w:p>
            <w:pPr>
              <w:jc w:val="center"/>
            </w:pPr>
            <w:r/>
            <w:r>
              <w:rPr>
                <w:rFonts w:ascii="Calibri" w:hAnsi="Calibri"/>
                <w:b/>
                <w:color w:val="FFFFFF"/>
                <w:sz w:val="18"/>
              </w:rPr>
              <w:t>Rank</w:t>
            </w:r>
          </w:p>
        </w:tc>
        <w:tc>
          <w:tcPr>
            <w:tcW w:type="dxa" w:w="2592"/>
            <w:shd w:fill="1E293B"/>
            <w:tcMar>
              <w:top w:w="140" w:type="dxa"/>
              <w:bottom w:w="140" w:type="dxa"/>
              <w:left w:w="140" w:type="dxa"/>
              <w:right w:w="140" w:type="dxa"/>
            </w:tcMar>
          </w:tcPr>
          <w:p>
            <w:pPr>
              <w:jc w:val="center"/>
            </w:pPr>
            <w:r/>
            <w:r>
              <w:rPr>
                <w:rFonts w:ascii="Calibri" w:hAnsi="Calibri"/>
                <w:b/>
                <w:color w:val="FFFFFF"/>
                <w:sz w:val="18"/>
              </w:rPr>
              <w:t>Opportunity Area</w:t>
            </w:r>
          </w:p>
        </w:tc>
        <w:tc>
          <w:tcPr>
            <w:tcW w:type="dxa" w:w="1296"/>
            <w:shd w:fill="1E293B"/>
            <w:tcMar>
              <w:top w:w="140" w:type="dxa"/>
              <w:bottom w:w="140" w:type="dxa"/>
              <w:left w:w="140" w:type="dxa"/>
              <w:right w:w="140" w:type="dxa"/>
            </w:tcMar>
          </w:tcPr>
          <w:p>
            <w:pPr>
              <w:jc w:val="center"/>
            </w:pPr>
            <w:r/>
            <w:r>
              <w:rPr>
                <w:rFonts w:ascii="Calibri" w:hAnsi="Calibri"/>
                <w:b/>
                <w:color w:val="FFFFFF"/>
                <w:sz w:val="18"/>
              </w:rPr>
              <w:t>Composite Score</w:t>
            </w:r>
          </w:p>
        </w:tc>
        <w:tc>
          <w:tcPr>
            <w:tcW w:type="dxa" w:w="1152"/>
            <w:shd w:fill="1E293B"/>
            <w:tcMar>
              <w:top w:w="140" w:type="dxa"/>
              <w:bottom w:w="140" w:type="dxa"/>
              <w:left w:w="140" w:type="dxa"/>
              <w:right w:w="140" w:type="dxa"/>
            </w:tcMar>
          </w:tcPr>
          <w:p>
            <w:pPr>
              <w:jc w:val="center"/>
            </w:pPr>
            <w:r/>
            <w:r>
              <w:rPr>
                <w:rFonts w:ascii="Calibri" w:hAnsi="Calibri"/>
                <w:b/>
                <w:color w:val="FFFFFF"/>
                <w:sz w:val="18"/>
              </w:rPr>
              <w:t>Confidence</w:t>
            </w:r>
          </w:p>
        </w:tc>
        <w:tc>
          <w:tcPr>
            <w:tcW w:type="dxa" w:w="1728"/>
            <w:shd w:fill="1E293B"/>
            <w:tcMar>
              <w:top w:w="140" w:type="dxa"/>
              <w:bottom w:w="140" w:type="dxa"/>
              <w:left w:w="140" w:type="dxa"/>
              <w:right w:w="140" w:type="dxa"/>
            </w:tcMar>
          </w:tcPr>
          <w:p>
            <w:pPr>
              <w:jc w:val="center"/>
            </w:pPr>
            <w:r/>
            <w:r>
              <w:rPr>
                <w:rFonts w:ascii="Calibri" w:hAnsi="Calibri"/>
                <w:b/>
                <w:color w:val="FFFFFF"/>
                <w:sz w:val="18"/>
              </w:rPr>
              <w:t>Top Corroborating Channels</w:t>
            </w:r>
          </w:p>
        </w:tc>
        <w:tc>
          <w:tcPr>
            <w:tcW w:type="dxa" w:w="2592"/>
            <w:shd w:fill="1E293B"/>
            <w:tcMar>
              <w:top w:w="140" w:type="dxa"/>
              <w:bottom w:w="140" w:type="dxa"/>
              <w:left w:w="140" w:type="dxa"/>
              <w:right w:w="140" w:type="dxa"/>
            </w:tcMar>
          </w:tcPr>
          <w:p>
            <w:pPr>
              <w:jc w:val="center"/>
            </w:pPr>
            <w:r/>
            <w:r>
              <w:rPr>
                <w:rFonts w:ascii="Calibri" w:hAnsi="Calibri"/>
                <w:b/>
                <w:color w:val="FFFFFF"/>
                <w:sz w:val="18"/>
              </w:rPr>
              <w:t>Strategic Business Recommendation</w:t>
            </w:r>
          </w:p>
        </w:tc>
      </w:tr>
      <w:tr>
        <w:tc>
          <w:tcPr>
            <w:tcW w:type="dxa" w:w="720"/>
            <w:shd w:fill="F8FAFC"/>
            <w:tcMar>
              <w:top w:w="120" w:type="dxa"/>
              <w:bottom w:w="120" w:type="dxa"/>
              <w:left w:w="140" w:type="dxa"/>
              <w:right w:w="140" w:type="dxa"/>
            </w:tcMar>
          </w:tcPr>
          <w:p>
            <w:r/>
            <w:r>
              <w:rPr>
                <w:rFonts w:ascii="Calibri" w:hAnsi="Calibri"/>
                <w:color w:val="1E293B"/>
                <w:sz w:val="17"/>
              </w:rPr>
              <w:t>#1</w:t>
            </w:r>
          </w:p>
        </w:tc>
        <w:tc>
          <w:tcPr>
            <w:tcW w:type="dxa" w:w="2592"/>
            <w:shd w:fill="F8FAFC"/>
            <w:tcMar>
              <w:top w:w="120" w:type="dxa"/>
              <w:bottom w:w="120" w:type="dxa"/>
              <w:left w:w="140" w:type="dxa"/>
              <w:right w:w="140" w:type="dxa"/>
            </w:tcMar>
          </w:tcPr>
          <w:p>
            <w:r/>
            <w:r>
              <w:rPr>
                <w:rFonts w:ascii="Calibri" w:hAnsi="Calibri"/>
                <w:color w:val="1E293B"/>
                <w:sz w:val="17"/>
              </w:rPr>
              <w:t>Styling &amp; Outfit Context Deficit</w:t>
            </w:r>
          </w:p>
        </w:tc>
        <w:tc>
          <w:tcPr>
            <w:tcW w:type="dxa" w:w="1296"/>
            <w:shd w:fill="F8FAFC"/>
            <w:tcMar>
              <w:top w:w="120" w:type="dxa"/>
              <w:bottom w:w="120" w:type="dxa"/>
              <w:left w:w="140" w:type="dxa"/>
              <w:right w:w="140" w:type="dxa"/>
            </w:tcMar>
          </w:tcPr>
          <w:p>
            <w:r/>
            <w:r>
              <w:rPr>
                <w:rFonts w:ascii="Calibri" w:hAnsi="Calibri"/>
                <w:color w:val="1E293B"/>
                <w:sz w:val="17"/>
              </w:rPr>
              <w:t>0.87</w:t>
            </w:r>
          </w:p>
        </w:tc>
        <w:tc>
          <w:tcPr>
            <w:tcW w:type="dxa" w:w="1152"/>
            <w:shd w:fill="F8FAFC"/>
            <w:tcMar>
              <w:top w:w="120" w:type="dxa"/>
              <w:bottom w:w="120" w:type="dxa"/>
              <w:left w:w="140" w:type="dxa"/>
              <w:right w:w="140" w:type="dxa"/>
            </w:tcMar>
          </w:tcPr>
          <w:p>
            <w:r/>
            <w:r>
              <w:rPr>
                <w:rFonts w:ascii="Calibri" w:hAnsi="Calibri"/>
                <w:color w:val="1E293B"/>
                <w:sz w:val="17"/>
              </w:rPr>
              <w:t>HIGH</w:t>
            </w:r>
          </w:p>
        </w:tc>
        <w:tc>
          <w:tcPr>
            <w:tcW w:type="dxa" w:w="1728"/>
            <w:shd w:fill="F8FAFC"/>
            <w:tcMar>
              <w:top w:w="120" w:type="dxa"/>
              <w:bottom w:w="120" w:type="dxa"/>
              <w:left w:w="140" w:type="dxa"/>
              <w:right w:w="140" w:type="dxa"/>
            </w:tcMar>
          </w:tcPr>
          <w:p>
            <w:r/>
            <w:r>
              <w:rPr>
                <w:rFonts w:ascii="Calibri" w:hAnsi="Calibri"/>
                <w:color w:val="1E293B"/>
                <w:sz w:val="17"/>
              </w:rPr>
              <w:t>Reddit, YouTube, Play Store</w:t>
            </w:r>
          </w:p>
        </w:tc>
        <w:tc>
          <w:tcPr>
            <w:tcW w:type="dxa" w:w="2592"/>
            <w:shd w:fill="F8FAFC"/>
            <w:tcMar>
              <w:top w:w="120" w:type="dxa"/>
              <w:bottom w:w="120" w:type="dxa"/>
              <w:left w:w="140" w:type="dxa"/>
              <w:right w:w="140" w:type="dxa"/>
            </w:tcMar>
          </w:tcPr>
          <w:p>
            <w:r/>
            <w:r>
              <w:rPr>
                <w:rFonts w:ascii="Calibri" w:hAnsi="Calibri"/>
                <w:color w:val="1E293B"/>
                <w:sz w:val="17"/>
              </w:rPr>
              <w:t>Implement 'Complete the Look' styling reels and UGC outfit pairings to bridge the visualization gap</w:t>
            </w:r>
          </w:p>
        </w:tc>
      </w:tr>
      <w:tr>
        <w:tc>
          <w:tcPr>
            <w:tcW w:type="dxa" w:w="720"/>
            <w:shd w:fill="FFFFFF"/>
            <w:tcMar>
              <w:top w:w="120" w:type="dxa"/>
              <w:bottom w:w="120" w:type="dxa"/>
              <w:left w:w="140" w:type="dxa"/>
              <w:right w:w="140" w:type="dxa"/>
            </w:tcMar>
          </w:tcPr>
          <w:p>
            <w:r/>
            <w:r>
              <w:rPr>
                <w:rFonts w:ascii="Calibri" w:hAnsi="Calibri"/>
                <w:color w:val="1E293B"/>
                <w:sz w:val="17"/>
              </w:rPr>
              <w:t>#2</w:t>
            </w:r>
          </w:p>
        </w:tc>
        <w:tc>
          <w:tcPr>
            <w:tcW w:type="dxa" w:w="2592"/>
            <w:shd w:fill="FFFFFF"/>
            <w:tcMar>
              <w:top w:w="120" w:type="dxa"/>
              <w:bottom w:w="120" w:type="dxa"/>
              <w:left w:w="140" w:type="dxa"/>
              <w:right w:w="140" w:type="dxa"/>
            </w:tcMar>
          </w:tcPr>
          <w:p>
            <w:r/>
            <w:r>
              <w:rPr>
                <w:rFonts w:ascii="Calibri" w:hAnsi="Calibri"/>
                <w:color w:val="1E293B"/>
                <w:sz w:val="17"/>
              </w:rPr>
              <w:t>Post-Order &amp; Return Policy Friction</w:t>
            </w:r>
          </w:p>
        </w:tc>
        <w:tc>
          <w:tcPr>
            <w:tcW w:type="dxa" w:w="1296"/>
            <w:shd w:fill="FFFFFF"/>
            <w:tcMar>
              <w:top w:w="120" w:type="dxa"/>
              <w:bottom w:w="120" w:type="dxa"/>
              <w:left w:w="140" w:type="dxa"/>
              <w:right w:w="140" w:type="dxa"/>
            </w:tcMar>
          </w:tcPr>
          <w:p>
            <w:r/>
            <w:r>
              <w:rPr>
                <w:rFonts w:ascii="Calibri" w:hAnsi="Calibri"/>
                <w:color w:val="1E293B"/>
                <w:sz w:val="17"/>
              </w:rPr>
              <w:t>0.64</w:t>
            </w:r>
          </w:p>
        </w:tc>
        <w:tc>
          <w:tcPr>
            <w:tcW w:type="dxa" w:w="1152"/>
            <w:shd w:fill="FFFFFF"/>
            <w:tcMar>
              <w:top w:w="120" w:type="dxa"/>
              <w:bottom w:w="120" w:type="dxa"/>
              <w:left w:w="140" w:type="dxa"/>
              <w:right w:w="140" w:type="dxa"/>
            </w:tcMar>
          </w:tcPr>
          <w:p>
            <w:r/>
            <w:r>
              <w:rPr>
                <w:rFonts w:ascii="Calibri" w:hAnsi="Calibri"/>
                <w:color w:val="1E293B"/>
                <w:sz w:val="17"/>
              </w:rPr>
              <w:t>HIGH</w:t>
            </w:r>
          </w:p>
        </w:tc>
        <w:tc>
          <w:tcPr>
            <w:tcW w:type="dxa" w:w="1728"/>
            <w:shd w:fill="FFFFFF"/>
            <w:tcMar>
              <w:top w:w="120" w:type="dxa"/>
              <w:bottom w:w="120" w:type="dxa"/>
              <w:left w:w="140" w:type="dxa"/>
              <w:right w:w="140" w:type="dxa"/>
            </w:tcMar>
          </w:tcPr>
          <w:p>
            <w:r/>
            <w:r>
              <w:rPr>
                <w:rFonts w:ascii="Calibri" w:hAnsi="Calibri"/>
                <w:color w:val="1E293B"/>
                <w:sz w:val="17"/>
              </w:rPr>
              <w:t>Play Store, Reddit, App Store</w:t>
            </w:r>
          </w:p>
        </w:tc>
        <w:tc>
          <w:tcPr>
            <w:tcW w:type="dxa" w:w="2592"/>
            <w:shd w:fill="FFFFFF"/>
            <w:tcMar>
              <w:top w:w="120" w:type="dxa"/>
              <w:bottom w:w="120" w:type="dxa"/>
              <w:left w:w="140" w:type="dxa"/>
              <w:right w:w="140" w:type="dxa"/>
            </w:tcMar>
          </w:tcPr>
          <w:p>
            <w:r/>
            <w:r>
              <w:rPr>
                <w:rFonts w:ascii="Calibri" w:hAnsi="Calibri"/>
                <w:color w:val="1E293B"/>
                <w:sz w:val="17"/>
              </w:rPr>
              <w:t>Introduce instant UPI refund on pickup scan and live return courier tracking to restore checkout trust</w:t>
            </w:r>
          </w:p>
        </w:tc>
      </w:tr>
      <w:tr>
        <w:tc>
          <w:tcPr>
            <w:tcW w:type="dxa" w:w="720"/>
            <w:shd w:fill="F8FAFC"/>
            <w:tcMar>
              <w:top w:w="120" w:type="dxa"/>
              <w:bottom w:w="120" w:type="dxa"/>
              <w:left w:w="140" w:type="dxa"/>
              <w:right w:w="140" w:type="dxa"/>
            </w:tcMar>
          </w:tcPr>
          <w:p>
            <w:r/>
            <w:r>
              <w:rPr>
                <w:rFonts w:ascii="Calibri" w:hAnsi="Calibri"/>
                <w:color w:val="1E293B"/>
                <w:sz w:val="17"/>
              </w:rPr>
              <w:t>#3</w:t>
            </w:r>
          </w:p>
        </w:tc>
        <w:tc>
          <w:tcPr>
            <w:tcW w:type="dxa" w:w="2592"/>
            <w:shd w:fill="F8FAFC"/>
            <w:tcMar>
              <w:top w:w="120" w:type="dxa"/>
              <w:bottom w:w="120" w:type="dxa"/>
              <w:left w:w="140" w:type="dxa"/>
              <w:right w:w="140" w:type="dxa"/>
            </w:tcMar>
          </w:tcPr>
          <w:p>
            <w:r/>
            <w:r>
              <w:rPr>
                <w:rFonts w:ascii="Calibri" w:hAnsi="Calibri"/>
                <w:color w:val="1E293B"/>
                <w:sz w:val="17"/>
              </w:rPr>
              <w:t>Fit &amp; Sizing Confidence Gap</w:t>
            </w:r>
          </w:p>
        </w:tc>
        <w:tc>
          <w:tcPr>
            <w:tcW w:type="dxa" w:w="1296"/>
            <w:shd w:fill="F8FAFC"/>
            <w:tcMar>
              <w:top w:w="120" w:type="dxa"/>
              <w:bottom w:w="120" w:type="dxa"/>
              <w:left w:w="140" w:type="dxa"/>
              <w:right w:w="140" w:type="dxa"/>
            </w:tcMar>
          </w:tcPr>
          <w:p>
            <w:r/>
            <w:r>
              <w:rPr>
                <w:rFonts w:ascii="Calibri" w:hAnsi="Calibri"/>
                <w:color w:val="1E293B"/>
                <w:sz w:val="17"/>
              </w:rPr>
              <w:t>0.62</w:t>
            </w:r>
          </w:p>
        </w:tc>
        <w:tc>
          <w:tcPr>
            <w:tcW w:type="dxa" w:w="1152"/>
            <w:shd w:fill="F8FAFC"/>
            <w:tcMar>
              <w:top w:w="120" w:type="dxa"/>
              <w:bottom w:w="120" w:type="dxa"/>
              <w:left w:w="140" w:type="dxa"/>
              <w:right w:w="140" w:type="dxa"/>
            </w:tcMar>
          </w:tcPr>
          <w:p>
            <w:r/>
            <w:r>
              <w:rPr>
                <w:rFonts w:ascii="Calibri" w:hAnsi="Calibri"/>
                <w:color w:val="1E293B"/>
                <w:sz w:val="17"/>
              </w:rPr>
              <w:t>HIGH</w:t>
            </w:r>
          </w:p>
        </w:tc>
        <w:tc>
          <w:tcPr>
            <w:tcW w:type="dxa" w:w="1728"/>
            <w:shd w:fill="F8FAFC"/>
            <w:tcMar>
              <w:top w:w="120" w:type="dxa"/>
              <w:bottom w:w="120" w:type="dxa"/>
              <w:left w:w="140" w:type="dxa"/>
              <w:right w:w="140" w:type="dxa"/>
            </w:tcMar>
          </w:tcPr>
          <w:p>
            <w:r/>
            <w:r>
              <w:rPr>
                <w:rFonts w:ascii="Calibri" w:hAnsi="Calibri"/>
                <w:color w:val="1E293B"/>
                <w:sz w:val="17"/>
              </w:rPr>
              <w:t>Reddit, YouTube, Play Store</w:t>
            </w:r>
          </w:p>
        </w:tc>
        <w:tc>
          <w:tcPr>
            <w:tcW w:type="dxa" w:w="2592"/>
            <w:shd w:fill="F8FAFC"/>
            <w:tcMar>
              <w:top w:w="120" w:type="dxa"/>
              <w:bottom w:w="120" w:type="dxa"/>
              <w:left w:w="140" w:type="dxa"/>
              <w:right w:w="140" w:type="dxa"/>
            </w:tcMar>
          </w:tcPr>
          <w:p>
            <w:r/>
            <w:r>
              <w:rPr>
                <w:rFonts w:ascii="Calibri" w:hAnsi="Calibri"/>
                <w:color w:val="1E293B"/>
                <w:sz w:val="17"/>
              </w:rPr>
              <w:t>Deploy 3D interactive size recommendation with customer height/weight photo reviews and fabric stretch tags</w:t>
            </w:r>
          </w:p>
        </w:tc>
      </w:tr>
      <w:tr>
        <w:tc>
          <w:tcPr>
            <w:tcW w:type="dxa" w:w="720"/>
            <w:shd w:fill="FFFFFF"/>
            <w:tcMar>
              <w:top w:w="120" w:type="dxa"/>
              <w:bottom w:w="120" w:type="dxa"/>
              <w:left w:w="140" w:type="dxa"/>
              <w:right w:w="140" w:type="dxa"/>
            </w:tcMar>
          </w:tcPr>
          <w:p>
            <w:r/>
            <w:r>
              <w:rPr>
                <w:rFonts w:ascii="Calibri" w:hAnsi="Calibri"/>
                <w:color w:val="1E293B"/>
                <w:sz w:val="17"/>
              </w:rPr>
              <w:t>#4</w:t>
            </w:r>
          </w:p>
        </w:tc>
        <w:tc>
          <w:tcPr>
            <w:tcW w:type="dxa" w:w="2592"/>
            <w:shd w:fill="FFFFFF"/>
            <w:tcMar>
              <w:top w:w="120" w:type="dxa"/>
              <w:bottom w:w="120" w:type="dxa"/>
              <w:left w:w="140" w:type="dxa"/>
              <w:right w:w="140" w:type="dxa"/>
            </w:tcMar>
          </w:tcPr>
          <w:p>
            <w:r/>
            <w:r>
              <w:rPr>
                <w:rFonts w:ascii="Calibri" w:hAnsi="Calibri"/>
                <w:color w:val="1E293B"/>
                <w:sz w:val="17"/>
              </w:rPr>
              <w:t>Wishlist Decision Deferral &amp; Latency</w:t>
            </w:r>
          </w:p>
        </w:tc>
        <w:tc>
          <w:tcPr>
            <w:tcW w:type="dxa" w:w="1296"/>
            <w:shd w:fill="FFFFFF"/>
            <w:tcMar>
              <w:top w:w="120" w:type="dxa"/>
              <w:bottom w:w="120" w:type="dxa"/>
              <w:left w:w="140" w:type="dxa"/>
              <w:right w:w="140" w:type="dxa"/>
            </w:tcMar>
          </w:tcPr>
          <w:p>
            <w:r/>
            <w:r>
              <w:rPr>
                <w:rFonts w:ascii="Calibri" w:hAnsi="Calibri"/>
                <w:color w:val="1E293B"/>
                <w:sz w:val="17"/>
              </w:rPr>
              <w:t>0.51</w:t>
            </w:r>
          </w:p>
        </w:tc>
        <w:tc>
          <w:tcPr>
            <w:tcW w:type="dxa" w:w="1152"/>
            <w:shd w:fill="FFFFFF"/>
            <w:tcMar>
              <w:top w:w="120" w:type="dxa"/>
              <w:bottom w:w="120" w:type="dxa"/>
              <w:left w:w="140" w:type="dxa"/>
              <w:right w:w="140" w:type="dxa"/>
            </w:tcMar>
          </w:tcPr>
          <w:p>
            <w:r/>
            <w:r>
              <w:rPr>
                <w:rFonts w:ascii="Calibri" w:hAnsi="Calibri"/>
                <w:color w:val="1E293B"/>
                <w:sz w:val="17"/>
              </w:rPr>
              <w:t>MEDIUM</w:t>
            </w:r>
          </w:p>
        </w:tc>
        <w:tc>
          <w:tcPr>
            <w:tcW w:type="dxa" w:w="1728"/>
            <w:shd w:fill="FFFFFF"/>
            <w:tcMar>
              <w:top w:w="120" w:type="dxa"/>
              <w:bottom w:w="120" w:type="dxa"/>
              <w:left w:w="140" w:type="dxa"/>
              <w:right w:w="140" w:type="dxa"/>
            </w:tcMar>
          </w:tcPr>
          <w:p>
            <w:r/>
            <w:r>
              <w:rPr>
                <w:rFonts w:ascii="Calibri" w:hAnsi="Calibri"/>
                <w:color w:val="1E293B"/>
                <w:sz w:val="17"/>
              </w:rPr>
              <w:t>Reddit, YouTube, App Store</w:t>
            </w:r>
          </w:p>
        </w:tc>
        <w:tc>
          <w:tcPr>
            <w:tcW w:type="dxa" w:w="2592"/>
            <w:shd w:fill="FFFFFF"/>
            <w:tcMar>
              <w:top w:w="120" w:type="dxa"/>
              <w:bottom w:w="120" w:type="dxa"/>
              <w:left w:w="140" w:type="dxa"/>
              <w:right w:w="140" w:type="dxa"/>
            </w:tcMar>
          </w:tcPr>
          <w:p>
            <w:r/>
            <w:r>
              <w:rPr>
                <w:rFonts w:ascii="Calibri" w:hAnsi="Calibri"/>
                <w:color w:val="1E293B"/>
                <w:sz w:val="17"/>
              </w:rPr>
              <w:t>Build side-by-side multi-item comparison trays and proactive price drop milestone notifications</w:t>
            </w:r>
          </w:p>
        </w:tc>
      </w:tr>
      <w:tr>
        <w:tc>
          <w:tcPr>
            <w:tcW w:type="dxa" w:w="720"/>
            <w:shd w:fill="F8FAFC"/>
            <w:tcMar>
              <w:top w:w="120" w:type="dxa"/>
              <w:bottom w:w="120" w:type="dxa"/>
              <w:left w:w="140" w:type="dxa"/>
              <w:right w:w="140" w:type="dxa"/>
            </w:tcMar>
          </w:tcPr>
          <w:p>
            <w:r/>
            <w:r>
              <w:rPr>
                <w:rFonts w:ascii="Calibri" w:hAnsi="Calibri"/>
                <w:color w:val="1E293B"/>
                <w:sz w:val="17"/>
              </w:rPr>
              <w:t>#5</w:t>
            </w:r>
          </w:p>
        </w:tc>
        <w:tc>
          <w:tcPr>
            <w:tcW w:type="dxa" w:w="2592"/>
            <w:shd w:fill="F8FAFC"/>
            <w:tcMar>
              <w:top w:w="120" w:type="dxa"/>
              <w:bottom w:w="120" w:type="dxa"/>
              <w:left w:w="140" w:type="dxa"/>
              <w:right w:w="140" w:type="dxa"/>
            </w:tcMar>
          </w:tcPr>
          <w:p>
            <w:r/>
            <w:r>
              <w:rPr>
                <w:rFonts w:ascii="Calibri" w:hAnsi="Calibri"/>
                <w:color w:val="1E293B"/>
                <w:sz w:val="17"/>
              </w:rPr>
              <w:t>Post-Confirmation Inventory Cancellations</w:t>
            </w:r>
          </w:p>
        </w:tc>
        <w:tc>
          <w:tcPr>
            <w:tcW w:type="dxa" w:w="1296"/>
            <w:shd w:fill="F8FAFC"/>
            <w:tcMar>
              <w:top w:w="120" w:type="dxa"/>
              <w:bottom w:w="120" w:type="dxa"/>
              <w:left w:w="140" w:type="dxa"/>
              <w:right w:w="140" w:type="dxa"/>
            </w:tcMar>
          </w:tcPr>
          <w:p>
            <w:r/>
            <w:r>
              <w:rPr>
                <w:rFonts w:ascii="Calibri" w:hAnsi="Calibri"/>
                <w:color w:val="1E293B"/>
                <w:sz w:val="17"/>
              </w:rPr>
              <w:t>0.50</w:t>
            </w:r>
          </w:p>
        </w:tc>
        <w:tc>
          <w:tcPr>
            <w:tcW w:type="dxa" w:w="1152"/>
            <w:shd w:fill="F8FAFC"/>
            <w:tcMar>
              <w:top w:w="120" w:type="dxa"/>
              <w:bottom w:w="120" w:type="dxa"/>
              <w:left w:w="140" w:type="dxa"/>
              <w:right w:w="140" w:type="dxa"/>
            </w:tcMar>
          </w:tcPr>
          <w:p>
            <w:r/>
            <w:r>
              <w:rPr>
                <w:rFonts w:ascii="Calibri" w:hAnsi="Calibri"/>
                <w:color w:val="1E293B"/>
                <w:sz w:val="17"/>
              </w:rPr>
              <w:t>MEDIUM</w:t>
            </w:r>
          </w:p>
        </w:tc>
        <w:tc>
          <w:tcPr>
            <w:tcW w:type="dxa" w:w="1728"/>
            <w:shd w:fill="F8FAFC"/>
            <w:tcMar>
              <w:top w:w="120" w:type="dxa"/>
              <w:bottom w:w="120" w:type="dxa"/>
              <w:left w:w="140" w:type="dxa"/>
              <w:right w:w="140" w:type="dxa"/>
            </w:tcMar>
          </w:tcPr>
          <w:p>
            <w:r/>
            <w:r>
              <w:rPr>
                <w:rFonts w:ascii="Calibri" w:hAnsi="Calibri"/>
                <w:color w:val="1E293B"/>
                <w:sz w:val="17"/>
              </w:rPr>
              <w:t>Play Store, Reddit, App Store</w:t>
            </w:r>
          </w:p>
        </w:tc>
        <w:tc>
          <w:tcPr>
            <w:tcW w:type="dxa" w:w="2592"/>
            <w:shd w:fill="F8FAFC"/>
            <w:tcMar>
              <w:top w:w="120" w:type="dxa"/>
              <w:bottom w:w="120" w:type="dxa"/>
              <w:left w:w="140" w:type="dxa"/>
              <w:right w:w="140" w:type="dxa"/>
            </w:tcMar>
          </w:tcPr>
          <w:p>
            <w:r/>
            <w:r>
              <w:rPr>
                <w:rFonts w:ascii="Calibri" w:hAnsi="Calibri"/>
                <w:color w:val="1E293B"/>
                <w:sz w:val="17"/>
              </w:rPr>
              <w:t>Integrate real-time warehouse inventory reservation locks during flash sale checkout surges</w:t>
            </w:r>
          </w:p>
        </w:tc>
      </w:tr>
      <w:tr>
        <w:tc>
          <w:tcPr>
            <w:tcW w:type="dxa" w:w="720"/>
            <w:shd w:fill="FFFFFF"/>
            <w:tcMar>
              <w:top w:w="120" w:type="dxa"/>
              <w:bottom w:w="120" w:type="dxa"/>
              <w:left w:w="140" w:type="dxa"/>
              <w:right w:w="140" w:type="dxa"/>
            </w:tcMar>
          </w:tcPr>
          <w:p>
            <w:r/>
            <w:r>
              <w:rPr>
                <w:rFonts w:ascii="Calibri" w:hAnsi="Calibri"/>
                <w:color w:val="1E293B"/>
                <w:sz w:val="17"/>
              </w:rPr>
              <w:t>#6</w:t>
            </w:r>
          </w:p>
        </w:tc>
        <w:tc>
          <w:tcPr>
            <w:tcW w:type="dxa" w:w="2592"/>
            <w:shd w:fill="FFFFFF"/>
            <w:tcMar>
              <w:top w:w="120" w:type="dxa"/>
              <w:bottom w:w="120" w:type="dxa"/>
              <w:left w:w="140" w:type="dxa"/>
              <w:right w:w="140" w:type="dxa"/>
            </w:tcMar>
          </w:tcPr>
          <w:p>
            <w:r/>
            <w:r>
              <w:rPr>
                <w:rFonts w:ascii="Calibri" w:hAnsi="Calibri"/>
                <w:color w:val="1E293B"/>
                <w:sz w:val="17"/>
              </w:rPr>
              <w:t>Review Authenticity &amp; Trust Deficit</w:t>
            </w:r>
          </w:p>
        </w:tc>
        <w:tc>
          <w:tcPr>
            <w:tcW w:type="dxa" w:w="1296"/>
            <w:shd w:fill="FFFFFF"/>
            <w:tcMar>
              <w:top w:w="120" w:type="dxa"/>
              <w:bottom w:w="120" w:type="dxa"/>
              <w:left w:w="140" w:type="dxa"/>
              <w:right w:w="140" w:type="dxa"/>
            </w:tcMar>
          </w:tcPr>
          <w:p>
            <w:r/>
            <w:r>
              <w:rPr>
                <w:rFonts w:ascii="Calibri" w:hAnsi="Calibri"/>
                <w:color w:val="1E293B"/>
                <w:sz w:val="17"/>
              </w:rPr>
              <w:t>0.45</w:t>
            </w:r>
          </w:p>
        </w:tc>
        <w:tc>
          <w:tcPr>
            <w:tcW w:type="dxa" w:w="1152"/>
            <w:shd w:fill="FFFFFF"/>
            <w:tcMar>
              <w:top w:w="120" w:type="dxa"/>
              <w:bottom w:w="120" w:type="dxa"/>
              <w:left w:w="140" w:type="dxa"/>
              <w:right w:w="140" w:type="dxa"/>
            </w:tcMar>
          </w:tcPr>
          <w:p>
            <w:r/>
            <w:r>
              <w:rPr>
                <w:rFonts w:ascii="Calibri" w:hAnsi="Calibri"/>
                <w:color w:val="1E293B"/>
                <w:sz w:val="17"/>
              </w:rPr>
              <w:t>MEDIUM</w:t>
            </w:r>
          </w:p>
        </w:tc>
        <w:tc>
          <w:tcPr>
            <w:tcW w:type="dxa" w:w="1728"/>
            <w:shd w:fill="FFFFFF"/>
            <w:tcMar>
              <w:top w:w="120" w:type="dxa"/>
              <w:bottom w:w="120" w:type="dxa"/>
              <w:left w:w="140" w:type="dxa"/>
              <w:right w:w="140" w:type="dxa"/>
            </w:tcMar>
          </w:tcPr>
          <w:p>
            <w:r/>
            <w:r>
              <w:rPr>
                <w:rFonts w:ascii="Calibri" w:hAnsi="Calibri"/>
                <w:color w:val="1E293B"/>
                <w:sz w:val="17"/>
              </w:rPr>
              <w:t>Play Store, Reddit, App Store</w:t>
            </w:r>
          </w:p>
        </w:tc>
        <w:tc>
          <w:tcPr>
            <w:tcW w:type="dxa" w:w="2592"/>
            <w:shd w:fill="FFFFFF"/>
            <w:tcMar>
              <w:top w:w="120" w:type="dxa"/>
              <w:bottom w:w="120" w:type="dxa"/>
              <w:left w:w="140" w:type="dxa"/>
              <w:right w:w="140" w:type="dxa"/>
            </w:tcMar>
          </w:tcPr>
          <w:p>
            <w:r/>
            <w:r>
              <w:rPr>
                <w:rFonts w:ascii="Calibri" w:hAnsi="Calibri"/>
                <w:color w:val="1E293B"/>
                <w:sz w:val="17"/>
              </w:rPr>
              <w:t>Prioritize verified buyer photos and flag incentivized or generic rating reviews</w:t>
            </w:r>
          </w:p>
        </w:tc>
      </w:tr>
      <w:tr>
        <w:tc>
          <w:tcPr>
            <w:tcW w:type="dxa" w:w="720"/>
            <w:shd w:fill="F8FAFC"/>
            <w:tcMar>
              <w:top w:w="120" w:type="dxa"/>
              <w:bottom w:w="120" w:type="dxa"/>
              <w:left w:w="140" w:type="dxa"/>
              <w:right w:w="140" w:type="dxa"/>
            </w:tcMar>
          </w:tcPr>
          <w:p>
            <w:r/>
            <w:r>
              <w:rPr>
                <w:rFonts w:ascii="Calibri" w:hAnsi="Calibri"/>
                <w:color w:val="1E293B"/>
                <w:sz w:val="17"/>
              </w:rPr>
              <w:t>#7</w:t>
            </w:r>
          </w:p>
        </w:tc>
        <w:tc>
          <w:tcPr>
            <w:tcW w:type="dxa" w:w="2592"/>
            <w:shd w:fill="F8FAFC"/>
            <w:tcMar>
              <w:top w:w="120" w:type="dxa"/>
              <w:bottom w:w="120" w:type="dxa"/>
              <w:left w:w="140" w:type="dxa"/>
              <w:right w:w="140" w:type="dxa"/>
            </w:tcMar>
          </w:tcPr>
          <w:p>
            <w:r/>
            <w:r>
              <w:rPr>
                <w:rFonts w:ascii="Calibri" w:hAnsi="Calibri"/>
                <w:color w:val="1E293B"/>
                <w:sz w:val="17"/>
              </w:rPr>
              <w:t>Bookmarking vs. High-Intent Ambiguity</w:t>
            </w:r>
          </w:p>
        </w:tc>
        <w:tc>
          <w:tcPr>
            <w:tcW w:type="dxa" w:w="1296"/>
            <w:shd w:fill="F8FAFC"/>
            <w:tcMar>
              <w:top w:w="120" w:type="dxa"/>
              <w:bottom w:w="120" w:type="dxa"/>
              <w:left w:w="140" w:type="dxa"/>
              <w:right w:w="140" w:type="dxa"/>
            </w:tcMar>
          </w:tcPr>
          <w:p>
            <w:r/>
            <w:r>
              <w:rPr>
                <w:rFonts w:ascii="Calibri" w:hAnsi="Calibri"/>
                <w:color w:val="1E293B"/>
                <w:sz w:val="17"/>
              </w:rPr>
              <w:t>0.39</w:t>
            </w:r>
          </w:p>
        </w:tc>
        <w:tc>
          <w:tcPr>
            <w:tcW w:type="dxa" w:w="1152"/>
            <w:shd w:fill="F8FAFC"/>
            <w:tcMar>
              <w:top w:w="120" w:type="dxa"/>
              <w:bottom w:w="120" w:type="dxa"/>
              <w:left w:w="140" w:type="dxa"/>
              <w:right w:w="140" w:type="dxa"/>
            </w:tcMar>
          </w:tcPr>
          <w:p>
            <w:r/>
            <w:r>
              <w:rPr>
                <w:rFonts w:ascii="Calibri" w:hAnsi="Calibri"/>
                <w:color w:val="1E293B"/>
                <w:sz w:val="17"/>
              </w:rPr>
              <w:t>MEDIUM</w:t>
            </w:r>
          </w:p>
        </w:tc>
        <w:tc>
          <w:tcPr>
            <w:tcW w:type="dxa" w:w="1728"/>
            <w:shd w:fill="F8FAFC"/>
            <w:tcMar>
              <w:top w:w="120" w:type="dxa"/>
              <w:bottom w:w="120" w:type="dxa"/>
              <w:left w:w="140" w:type="dxa"/>
              <w:right w:w="140" w:type="dxa"/>
            </w:tcMar>
          </w:tcPr>
          <w:p>
            <w:r/>
            <w:r>
              <w:rPr>
                <w:rFonts w:ascii="Calibri" w:hAnsi="Calibri"/>
                <w:color w:val="1E293B"/>
                <w:sz w:val="17"/>
              </w:rPr>
              <w:t>Reddit, Play Store, App Store</w:t>
            </w:r>
          </w:p>
        </w:tc>
        <w:tc>
          <w:tcPr>
            <w:tcW w:type="dxa" w:w="2592"/>
            <w:shd w:fill="F8FAFC"/>
            <w:tcMar>
              <w:top w:w="120" w:type="dxa"/>
              <w:bottom w:w="120" w:type="dxa"/>
              <w:left w:w="140" w:type="dxa"/>
              <w:right w:w="140" w:type="dxa"/>
            </w:tcMar>
          </w:tcPr>
          <w:p>
            <w:r/>
            <w:r>
              <w:rPr>
                <w:rFonts w:ascii="Calibri" w:hAnsi="Calibri"/>
                <w:color w:val="1E293B"/>
                <w:sz w:val="17"/>
              </w:rPr>
              <w:t>Segment wishlists into 'Moodboards / Saved for Later' vs. 'Active Buying Shortlist'</w:t>
            </w:r>
          </w:p>
        </w:tc>
      </w:tr>
      <w:tr>
        <w:tc>
          <w:tcPr>
            <w:tcW w:type="dxa" w:w="720"/>
            <w:shd w:fill="FFFFFF"/>
            <w:tcMar>
              <w:top w:w="120" w:type="dxa"/>
              <w:bottom w:w="120" w:type="dxa"/>
              <w:left w:w="140" w:type="dxa"/>
              <w:right w:w="140" w:type="dxa"/>
            </w:tcMar>
          </w:tcPr>
          <w:p>
            <w:r/>
            <w:r>
              <w:rPr>
                <w:rFonts w:ascii="Calibri" w:hAnsi="Calibri"/>
                <w:color w:val="1E293B"/>
                <w:sz w:val="17"/>
              </w:rPr>
              <w:t>#8</w:t>
            </w:r>
          </w:p>
        </w:tc>
        <w:tc>
          <w:tcPr>
            <w:tcW w:type="dxa" w:w="2592"/>
            <w:shd w:fill="FFFFFF"/>
            <w:tcMar>
              <w:top w:w="120" w:type="dxa"/>
              <w:bottom w:w="120" w:type="dxa"/>
              <w:left w:w="140" w:type="dxa"/>
              <w:right w:w="140" w:type="dxa"/>
            </w:tcMar>
          </w:tcPr>
          <w:p>
            <w:r/>
            <w:r>
              <w:rPr>
                <w:rFonts w:ascii="Calibri" w:hAnsi="Calibri"/>
                <w:color w:val="1E293B"/>
                <w:sz w:val="17"/>
              </w:rPr>
              <w:t>Fulfillment &amp; Delivery Tracking Friction</w:t>
            </w:r>
          </w:p>
        </w:tc>
        <w:tc>
          <w:tcPr>
            <w:tcW w:type="dxa" w:w="1296"/>
            <w:shd w:fill="FFFFFF"/>
            <w:tcMar>
              <w:top w:w="120" w:type="dxa"/>
              <w:bottom w:w="120" w:type="dxa"/>
              <w:left w:w="140" w:type="dxa"/>
              <w:right w:w="140" w:type="dxa"/>
            </w:tcMar>
          </w:tcPr>
          <w:p>
            <w:r/>
            <w:r>
              <w:rPr>
                <w:rFonts w:ascii="Calibri" w:hAnsi="Calibri"/>
                <w:color w:val="1E293B"/>
                <w:sz w:val="17"/>
              </w:rPr>
              <w:t>0.36</w:t>
            </w:r>
          </w:p>
        </w:tc>
        <w:tc>
          <w:tcPr>
            <w:tcW w:type="dxa" w:w="1152"/>
            <w:shd w:fill="FFFFFF"/>
            <w:tcMar>
              <w:top w:w="120" w:type="dxa"/>
              <w:bottom w:w="120" w:type="dxa"/>
              <w:left w:w="140" w:type="dxa"/>
              <w:right w:w="140" w:type="dxa"/>
            </w:tcMar>
          </w:tcPr>
          <w:p>
            <w:r/>
            <w:r>
              <w:rPr>
                <w:rFonts w:ascii="Calibri" w:hAnsi="Calibri"/>
                <w:color w:val="1E293B"/>
                <w:sz w:val="17"/>
              </w:rPr>
              <w:t>MEDIUM</w:t>
            </w:r>
          </w:p>
        </w:tc>
        <w:tc>
          <w:tcPr>
            <w:tcW w:type="dxa" w:w="1728"/>
            <w:shd w:fill="FFFFFF"/>
            <w:tcMar>
              <w:top w:w="120" w:type="dxa"/>
              <w:bottom w:w="120" w:type="dxa"/>
              <w:left w:w="140" w:type="dxa"/>
              <w:right w:w="140" w:type="dxa"/>
            </w:tcMar>
          </w:tcPr>
          <w:p>
            <w:r/>
            <w:r>
              <w:rPr>
                <w:rFonts w:ascii="Calibri" w:hAnsi="Calibri"/>
                <w:color w:val="1E293B"/>
                <w:sz w:val="17"/>
              </w:rPr>
              <w:t>Play Store, App Store, Reddit</w:t>
            </w:r>
          </w:p>
        </w:tc>
        <w:tc>
          <w:tcPr>
            <w:tcW w:type="dxa" w:w="2592"/>
            <w:shd w:fill="FFFFFF"/>
            <w:tcMar>
              <w:top w:w="120" w:type="dxa"/>
              <w:bottom w:w="120" w:type="dxa"/>
              <w:left w:w="140" w:type="dxa"/>
              <w:right w:w="140" w:type="dxa"/>
            </w:tcMar>
          </w:tcPr>
          <w:p>
            <w:r/>
            <w:r>
              <w:rPr>
                <w:rFonts w:ascii="Calibri" w:hAnsi="Calibri"/>
                <w:color w:val="1E293B"/>
                <w:sz w:val="17"/>
              </w:rPr>
              <w:t>Streamline courier milestone updates and accurate estimated delivery dates on product detail pages</w:t>
            </w:r>
          </w:p>
        </w:tc>
      </w:tr>
    </w:tbl>
    <w:p>
      <w:pPr>
        <w:spacing w:after="120"/>
      </w:pPr>
    </w:p>
    <w:p>
      <w:pPr>
        <w:pStyle w:val="Heading1"/>
        <w:keepNext/>
        <w:spacing w:before="280" w:after="80"/>
      </w:pPr>
      <w:r>
        <w:rPr>
          <w:rFonts w:ascii="Calibri" w:hAnsi="Calibri"/>
          <w:color w:val="1E293B"/>
        </w:rPr>
        <w:t>5. AI Grounded Question-Answering (RAG Architecture)</w:t>
      </w:r>
    </w:p>
    <w:p>
      <w:r>
        <w:t>The Pulse engine includes an interactive AI Question-Answering Assistant (Ask AI Discovery Engine). Unlike generic LLM chatbots that hallucinate speculative marketing advice, Pulse employs an evidence-grounded Retrieval-Augmented Generation (RAG) pipeline illustrated in Figure 2.</w:t>
      </w:r>
    </w:p>
    <w:p>
      <w:pPr>
        <w:spacing w:before="160" w:after="80"/>
        <w:jc w:val="center"/>
      </w:pPr>
    </w:p>
    <w:p>
      <w:r>
        <w:drawing>
          <wp:inline xmlns:a="http://schemas.openxmlformats.org/drawingml/2006/main" xmlns:pic="http://schemas.openxmlformats.org/drawingml/2006/picture">
            <wp:extent cx="5669280" cy="4123113"/>
            <wp:docPr id="2" name="Picture 2"/>
            <wp:cNvGraphicFramePr>
              <a:graphicFrameLocks noChangeAspect="1"/>
            </wp:cNvGraphicFramePr>
            <a:graphic>
              <a:graphicData uri="http://schemas.openxmlformats.org/drawingml/2006/picture">
                <pic:pic>
                  <pic:nvPicPr>
                    <pic:cNvPr id="0" name="flowchart_rag_synthesis.png"/>
                    <pic:cNvPicPr/>
                  </pic:nvPicPr>
                  <pic:blipFill>
                    <a:blip r:embed="rId12"/>
                    <a:stretch>
                      <a:fillRect/>
                    </a:stretch>
                  </pic:blipFill>
                  <pic:spPr>
                    <a:xfrm>
                      <a:off x="0" y="0"/>
                      <a:ext cx="5669280" cy="4123113"/>
                    </a:xfrm>
                    <a:prstGeom prst="rect"/>
                  </pic:spPr>
                </pic:pic>
              </a:graphicData>
            </a:graphic>
          </wp:inline>
        </w:drawing>
      </w:r>
    </w:p>
    <w:p>
      <w:pPr>
        <w:jc w:val="center"/>
      </w:pPr>
      <w:r>
        <w:rPr>
          <w:i/>
          <w:color w:val="64748B"/>
          <w:sz w:val="17"/>
        </w:rPr>
        <w:t>Figure 2: Grounded RAG Synthesis Pipeline with Offline Reliability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293B"/>
            <w:tcMar>
              <w:top w:w="140" w:type="dxa"/>
              <w:bottom w:w="140" w:type="dxa"/>
              <w:left w:w="140" w:type="dxa"/>
              <w:right w:w="140" w:type="dxa"/>
            </w:tcMar>
          </w:tcPr>
          <w:p>
            <w:pPr>
              <w:jc w:val="center"/>
            </w:pPr>
            <w:r/>
            <w:r>
              <w:rPr>
                <w:rFonts w:ascii="Calibri" w:hAnsi="Calibri"/>
                <w:b/>
                <w:color w:val="FFFFFF"/>
                <w:sz w:val="18"/>
              </w:rPr>
              <w:t>Evaluator Discovery Question</w:t>
            </w:r>
          </w:p>
        </w:tc>
        <w:tc>
          <w:tcPr>
            <w:tcW w:type="dxa" w:w="3456"/>
            <w:shd w:fill="1E293B"/>
            <w:tcMar>
              <w:top w:w="140" w:type="dxa"/>
              <w:bottom w:w="140" w:type="dxa"/>
              <w:left w:w="140" w:type="dxa"/>
              <w:right w:w="140" w:type="dxa"/>
            </w:tcMar>
          </w:tcPr>
          <w:p>
            <w:pPr>
              <w:jc w:val="center"/>
            </w:pPr>
            <w:r/>
            <w:r>
              <w:rPr>
                <w:rFonts w:ascii="Calibri" w:hAnsi="Calibri"/>
                <w:b/>
                <w:color w:val="FFFFFF"/>
                <w:sz w:val="18"/>
              </w:rPr>
              <w:t>Executive Takeaway Synthesized by Engine</w:t>
            </w:r>
          </w:p>
        </w:tc>
        <w:tc>
          <w:tcPr>
            <w:tcW w:type="dxa" w:w="3312"/>
            <w:shd w:fill="1E293B"/>
            <w:tcMar>
              <w:top w:w="140" w:type="dxa"/>
              <w:bottom w:w="140" w:type="dxa"/>
              <w:left w:w="140" w:type="dxa"/>
              <w:right w:w="140" w:type="dxa"/>
            </w:tcMar>
          </w:tcPr>
          <w:p>
            <w:pPr>
              <w:jc w:val="center"/>
            </w:pPr>
            <w:r/>
            <w:r>
              <w:rPr>
                <w:rFonts w:ascii="Calibri" w:hAnsi="Calibri"/>
                <w:b/>
                <w:color w:val="FFFFFF"/>
                <w:sz w:val="18"/>
              </w:rPr>
              <w:t>Primary Key Drivers Identified</w:t>
            </w:r>
          </w:p>
        </w:tc>
      </w:tr>
      <w:tr>
        <w:tc>
          <w:tcPr>
            <w:tcW w:type="dxa" w:w="2592"/>
            <w:shd w:fill="F8FAFC"/>
            <w:tcMar>
              <w:top w:w="120" w:type="dxa"/>
              <w:bottom w:w="120" w:type="dxa"/>
              <w:left w:w="140" w:type="dxa"/>
              <w:right w:w="140" w:type="dxa"/>
            </w:tcMar>
          </w:tcPr>
          <w:p>
            <w:r/>
            <w:r>
              <w:rPr>
                <w:rFonts w:ascii="Calibri" w:hAnsi="Calibri"/>
                <w:color w:val="1E293B"/>
                <w:sz w:val="17"/>
              </w:rPr>
              <w:t>Why do users add fashion products to their wishlist?</w:t>
            </w:r>
          </w:p>
        </w:tc>
        <w:tc>
          <w:tcPr>
            <w:tcW w:type="dxa" w:w="3456"/>
            <w:shd w:fill="F8FAFC"/>
            <w:tcMar>
              <w:top w:w="120" w:type="dxa"/>
              <w:bottom w:w="120" w:type="dxa"/>
              <w:left w:w="140" w:type="dxa"/>
              <w:right w:w="140" w:type="dxa"/>
            </w:tcMar>
          </w:tcPr>
          <w:p>
            <w:r/>
            <w:r>
              <w:rPr>
                <w:rFonts w:ascii="Calibri" w:hAnsi="Calibri"/>
                <w:color w:val="1E293B"/>
                <w:sz w:val="17"/>
              </w:rPr>
              <w:t>Most shoppers use the wishlist as a digital fitting room or bookmark folder to save clothes they like, compare options later, and wait for prices to drop, rather than buying right away.</w:t>
            </w:r>
          </w:p>
        </w:tc>
        <w:tc>
          <w:tcPr>
            <w:tcW w:type="dxa" w:w="3312"/>
            <w:shd w:fill="F8FAFC"/>
            <w:tcMar>
              <w:top w:w="120" w:type="dxa"/>
              <w:bottom w:w="120" w:type="dxa"/>
              <w:left w:w="140" w:type="dxa"/>
              <w:right w:w="140" w:type="dxa"/>
            </w:tcMar>
          </w:tcPr>
          <w:p>
            <w:r/>
            <w:r>
              <w:rPr>
                <w:rFonts w:ascii="Calibri" w:hAnsi="Calibri"/>
                <w:color w:val="1E293B"/>
                <w:sz w:val="17"/>
              </w:rPr>
              <w:t>1. Saving multiple styles for side-by-side comparison</w:t>
              <w:br/>
              <w:t>2. Waiting for seasonal discount sales</w:t>
              <w:br/>
              <w:t>3. Sizing and return policy doubts</w:t>
              <w:br/>
              <w:t>4. Sharing links with friends for peer validation</w:t>
            </w:r>
          </w:p>
        </w:tc>
      </w:tr>
      <w:tr>
        <w:tc>
          <w:tcPr>
            <w:tcW w:type="dxa" w:w="2592"/>
            <w:shd w:fill="FFFFFF"/>
            <w:tcMar>
              <w:top w:w="120" w:type="dxa"/>
              <w:bottom w:w="120" w:type="dxa"/>
              <w:left w:w="140" w:type="dxa"/>
              <w:right w:w="140" w:type="dxa"/>
            </w:tcMar>
          </w:tcPr>
          <w:p>
            <w:r/>
            <w:r>
              <w:rPr>
                <w:rFonts w:ascii="Calibri" w:hAnsi="Calibri"/>
                <w:color w:val="1E293B"/>
                <w:sz w:val="17"/>
              </w:rPr>
              <w:t>What prevents wishlisted products from being purchased?</w:t>
            </w:r>
          </w:p>
        </w:tc>
        <w:tc>
          <w:tcPr>
            <w:tcW w:type="dxa" w:w="3456"/>
            <w:shd w:fill="FFFFFF"/>
            <w:tcMar>
              <w:top w:w="120" w:type="dxa"/>
              <w:bottom w:w="120" w:type="dxa"/>
              <w:left w:w="140" w:type="dxa"/>
              <w:right w:w="140" w:type="dxa"/>
            </w:tcMar>
          </w:tcPr>
          <w:p>
            <w:r/>
            <w:r>
              <w:rPr>
                <w:rFonts w:ascii="Calibri" w:hAnsi="Calibri"/>
                <w:color w:val="1E293B"/>
                <w:sz w:val="17"/>
              </w:rPr>
              <w:t>The main barriers are confusion over inconsistent sizing across brand vendors, fear of difficult return pickups, delayed refunds, and sudden post-confirmation order cancellations.</w:t>
            </w:r>
          </w:p>
        </w:tc>
        <w:tc>
          <w:tcPr>
            <w:tcW w:type="dxa" w:w="3312"/>
            <w:shd w:fill="FFFFFF"/>
            <w:tcMar>
              <w:top w:w="120" w:type="dxa"/>
              <w:bottom w:w="120" w:type="dxa"/>
              <w:left w:w="140" w:type="dxa"/>
              <w:right w:w="140" w:type="dxa"/>
            </w:tcMar>
          </w:tcPr>
          <w:p>
            <w:r/>
            <w:r>
              <w:rPr>
                <w:rFonts w:ascii="Calibri" w:hAnsi="Calibri"/>
                <w:color w:val="1E293B"/>
                <w:sz w:val="17"/>
              </w:rPr>
              <w:t>1. Inconsistent size charts across independent vendors</w:t>
              <w:br/>
              <w:t>2. Reverse logistics friction and refund delays</w:t>
              <w:br/>
              <w:t>3. Doubts about online review authenticity</w:t>
              <w:br/>
              <w:t>4. Sudden stock cancellations during flash sales</w:t>
            </w:r>
          </w:p>
        </w:tc>
      </w:tr>
      <w:tr>
        <w:tc>
          <w:tcPr>
            <w:tcW w:type="dxa" w:w="2592"/>
            <w:shd w:fill="F8FAFC"/>
            <w:tcMar>
              <w:top w:w="120" w:type="dxa"/>
              <w:bottom w:w="120" w:type="dxa"/>
              <w:left w:w="140" w:type="dxa"/>
              <w:right w:w="140" w:type="dxa"/>
            </w:tcMar>
          </w:tcPr>
          <w:p>
            <w:r/>
            <w:r>
              <w:rPr>
                <w:rFonts w:ascii="Calibri" w:hAnsi="Calibri"/>
                <w:color w:val="1E293B"/>
                <w:sz w:val="17"/>
              </w:rPr>
              <w:t>What uncertainties remain after identifying a product?</w:t>
            </w:r>
          </w:p>
        </w:tc>
        <w:tc>
          <w:tcPr>
            <w:tcW w:type="dxa" w:w="3456"/>
            <w:shd w:fill="F8FAFC"/>
            <w:tcMar>
              <w:top w:w="120" w:type="dxa"/>
              <w:bottom w:w="120" w:type="dxa"/>
              <w:left w:w="140" w:type="dxa"/>
              <w:right w:w="140" w:type="dxa"/>
            </w:tcMar>
          </w:tcPr>
          <w:p>
            <w:r/>
            <w:r>
              <w:rPr>
                <w:rFonts w:ascii="Calibri" w:hAnsi="Calibri"/>
                <w:color w:val="1E293B"/>
                <w:sz w:val="17"/>
              </w:rPr>
              <w:t>Even after finding an appealing item, shoppers worry if true colors differ from studio lighting, if fabrics are see-through or scratchy, and whether clothes will shrink after one wash.</w:t>
            </w:r>
          </w:p>
        </w:tc>
        <w:tc>
          <w:tcPr>
            <w:tcW w:type="dxa" w:w="3312"/>
            <w:shd w:fill="F8FAFC"/>
            <w:tcMar>
              <w:top w:w="120" w:type="dxa"/>
              <w:bottom w:w="120" w:type="dxa"/>
              <w:left w:w="140" w:type="dxa"/>
              <w:right w:w="140" w:type="dxa"/>
            </w:tcMar>
          </w:tcPr>
          <w:p>
            <w:r/>
            <w:r>
              <w:rPr>
                <w:rFonts w:ascii="Calibri" w:hAnsi="Calibri"/>
                <w:color w:val="1E293B"/>
                <w:sz w:val="17"/>
              </w:rPr>
              <w:t>1. Studio catalog lighting color discrepancies</w:t>
              <w:br/>
              <w:t>2. Fabric transparency and tactile hand-feel</w:t>
              <w:br/>
              <w:t>3. Wash care and durability fears</w:t>
              <w:br/>
              <w:t>4. Styling versatility and outfit coordination</w:t>
            </w:r>
          </w:p>
        </w:tc>
      </w:tr>
    </w:tbl>
    <w:p>
      <w:pPr>
        <w:spacing w:after="120"/>
      </w:pPr>
    </w:p>
    <w:p>
      <w:pPr>
        <w:pStyle w:val="Heading1"/>
        <w:keepNext/>
        <w:spacing w:before="280" w:after="80"/>
      </w:pPr>
      <w:r>
        <w:rPr>
          <w:rFonts w:ascii="Calibri" w:hAnsi="Calibri"/>
          <w:color w:val="1E293B"/>
        </w:rPr>
        <w:t>6. Database Schema &amp; 24*7 High Availability</w:t>
      </w:r>
    </w:p>
    <w:p>
      <w:r>
        <w:t>Pulse is built on a normalized SQLite/PostgreSQL relational schema managed via SQLAlchemy ORM and Alembic migrations. Table 7 details the primary entity tables and foreign key integrity constraints.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E293B"/>
            <w:tcMar>
              <w:top w:w="140" w:type="dxa"/>
              <w:bottom w:w="140" w:type="dxa"/>
              <w:left w:w="140" w:type="dxa"/>
              <w:right w:w="140" w:type="dxa"/>
            </w:tcMar>
          </w:tcPr>
          <w:p>
            <w:pPr>
              <w:jc w:val="center"/>
            </w:pPr>
            <w:r/>
            <w:r>
              <w:rPr>
                <w:rFonts w:ascii="Calibri" w:hAnsi="Calibri"/>
                <w:b/>
                <w:color w:val="FFFFFF"/>
                <w:sz w:val="18"/>
              </w:rPr>
              <w:t>Table Name</w:t>
            </w:r>
          </w:p>
        </w:tc>
        <w:tc>
          <w:tcPr>
            <w:tcW w:type="dxa" w:w="1584"/>
            <w:shd w:fill="1E293B"/>
            <w:tcMar>
              <w:top w:w="140" w:type="dxa"/>
              <w:bottom w:w="140" w:type="dxa"/>
              <w:left w:w="140" w:type="dxa"/>
              <w:right w:w="140" w:type="dxa"/>
            </w:tcMar>
          </w:tcPr>
          <w:p>
            <w:pPr>
              <w:jc w:val="center"/>
            </w:pPr>
            <w:r/>
            <w:r>
              <w:rPr>
                <w:rFonts w:ascii="Calibri" w:hAnsi="Calibri"/>
                <w:b/>
                <w:color w:val="FFFFFF"/>
                <w:sz w:val="18"/>
              </w:rPr>
              <w:t>Primary Key</w:t>
            </w:r>
          </w:p>
        </w:tc>
        <w:tc>
          <w:tcPr>
            <w:tcW w:type="dxa" w:w="2448"/>
            <w:shd w:fill="1E293B"/>
            <w:tcMar>
              <w:top w:w="140" w:type="dxa"/>
              <w:bottom w:w="140" w:type="dxa"/>
              <w:left w:w="140" w:type="dxa"/>
              <w:right w:w="140" w:type="dxa"/>
            </w:tcMar>
          </w:tcPr>
          <w:p>
            <w:pPr>
              <w:jc w:val="center"/>
            </w:pPr>
            <w:r/>
            <w:r>
              <w:rPr>
                <w:rFonts w:ascii="Calibri" w:hAnsi="Calibri"/>
                <w:b/>
                <w:color w:val="FFFFFF"/>
                <w:sz w:val="18"/>
              </w:rPr>
              <w:t>Foreign Keys</w:t>
            </w:r>
          </w:p>
        </w:tc>
        <w:tc>
          <w:tcPr>
            <w:tcW w:type="dxa" w:w="3456"/>
            <w:shd w:fill="1E293B"/>
            <w:tcMar>
              <w:top w:w="140" w:type="dxa"/>
              <w:bottom w:w="140" w:type="dxa"/>
              <w:left w:w="140" w:type="dxa"/>
              <w:right w:w="140" w:type="dxa"/>
            </w:tcMar>
          </w:tcPr>
          <w:p>
            <w:pPr>
              <w:jc w:val="center"/>
            </w:pPr>
            <w:r/>
            <w:r>
              <w:rPr>
                <w:rFonts w:ascii="Calibri" w:hAnsi="Calibri"/>
                <w:b/>
                <w:color w:val="FFFFFF"/>
                <w:sz w:val="18"/>
              </w:rPr>
              <w:t>Description &amp; Critical Columns</w:t>
            </w:r>
          </w:p>
        </w:tc>
      </w:tr>
      <w:tr>
        <w:tc>
          <w:tcPr>
            <w:tcW w:type="dxa" w:w="1872"/>
            <w:shd w:fill="F8FAFC"/>
            <w:tcMar>
              <w:top w:w="120" w:type="dxa"/>
              <w:bottom w:w="120" w:type="dxa"/>
              <w:left w:w="140" w:type="dxa"/>
              <w:right w:w="140" w:type="dxa"/>
            </w:tcMar>
          </w:tcPr>
          <w:p>
            <w:r/>
            <w:r>
              <w:rPr>
                <w:rFonts w:ascii="Calibri" w:hAnsi="Calibri"/>
                <w:color w:val="1E293B"/>
                <w:sz w:val="17"/>
              </w:rPr>
              <w:t>raw_documents</w:t>
            </w:r>
          </w:p>
        </w:tc>
        <w:tc>
          <w:tcPr>
            <w:tcW w:type="dxa" w:w="1584"/>
            <w:shd w:fill="F8FAFC"/>
            <w:tcMar>
              <w:top w:w="120" w:type="dxa"/>
              <w:bottom w:w="120" w:type="dxa"/>
              <w:left w:w="140" w:type="dxa"/>
              <w:right w:w="140" w:type="dxa"/>
            </w:tcMar>
          </w:tcPr>
          <w:p>
            <w:r/>
            <w:r>
              <w:rPr>
                <w:rFonts w:ascii="Calibri" w:hAnsi="Calibri"/>
                <w:color w:val="1E293B"/>
                <w:sz w:val="17"/>
              </w:rPr>
              <w:t>doc_id (UUID)</w:t>
            </w:r>
          </w:p>
        </w:tc>
        <w:tc>
          <w:tcPr>
            <w:tcW w:type="dxa" w:w="2448"/>
            <w:shd w:fill="F8FAFC"/>
            <w:tcMar>
              <w:top w:w="120" w:type="dxa"/>
              <w:bottom w:w="120" w:type="dxa"/>
              <w:left w:w="140" w:type="dxa"/>
              <w:right w:w="140" w:type="dxa"/>
            </w:tcMar>
          </w:tcPr>
          <w:p>
            <w:r/>
            <w:r>
              <w:rPr>
                <w:rFonts w:ascii="Calibri" w:hAnsi="Calibri"/>
                <w:color w:val="1E293B"/>
                <w:sz w:val="17"/>
              </w:rPr>
              <w:t>None</w:t>
            </w:r>
          </w:p>
        </w:tc>
        <w:tc>
          <w:tcPr>
            <w:tcW w:type="dxa" w:w="3456"/>
            <w:shd w:fill="F8FAFC"/>
            <w:tcMar>
              <w:top w:w="120" w:type="dxa"/>
              <w:bottom w:w="120" w:type="dxa"/>
              <w:left w:w="140" w:type="dxa"/>
              <w:right w:w="140" w:type="dxa"/>
            </w:tcMar>
          </w:tcPr>
          <w:p>
            <w:r/>
            <w:r>
              <w:rPr>
                <w:rFonts w:ascii="Calibri" w:hAnsi="Calibri"/>
                <w:color w:val="1E293B"/>
                <w:sz w:val="17"/>
              </w:rPr>
              <w:t>Ingested feedback records (source_platform, text, clean_text, source_url, engagement_score, inferred_category, inferred_gender, inferred_tier)</w:t>
            </w:r>
          </w:p>
        </w:tc>
      </w:tr>
      <w:tr>
        <w:tc>
          <w:tcPr>
            <w:tcW w:type="dxa" w:w="1872"/>
            <w:shd w:fill="FFFFFF"/>
            <w:tcMar>
              <w:top w:w="120" w:type="dxa"/>
              <w:bottom w:w="120" w:type="dxa"/>
              <w:left w:w="140" w:type="dxa"/>
              <w:right w:w="140" w:type="dxa"/>
            </w:tcMar>
          </w:tcPr>
          <w:p>
            <w:r/>
            <w:r>
              <w:rPr>
                <w:rFonts w:ascii="Calibri" w:hAnsi="Calibri"/>
                <w:color w:val="1E293B"/>
                <w:sz w:val="17"/>
              </w:rPr>
              <w:t>extractions</w:t>
            </w:r>
          </w:p>
        </w:tc>
        <w:tc>
          <w:tcPr>
            <w:tcW w:type="dxa" w:w="1584"/>
            <w:shd w:fill="FFFFFF"/>
            <w:tcMar>
              <w:top w:w="120" w:type="dxa"/>
              <w:bottom w:w="120" w:type="dxa"/>
              <w:left w:w="140" w:type="dxa"/>
              <w:right w:w="140" w:type="dxa"/>
            </w:tcMar>
          </w:tcPr>
          <w:p>
            <w:r/>
            <w:r>
              <w:rPr>
                <w:rFonts w:ascii="Calibri" w:hAnsi="Calibri"/>
                <w:color w:val="1E293B"/>
                <w:sz w:val="17"/>
              </w:rPr>
              <w:t>extraction_id (UUID)</w:t>
            </w:r>
          </w:p>
        </w:tc>
        <w:tc>
          <w:tcPr>
            <w:tcW w:type="dxa" w:w="2448"/>
            <w:shd w:fill="FFFFFF"/>
            <w:tcMar>
              <w:top w:w="120" w:type="dxa"/>
              <w:bottom w:w="120" w:type="dxa"/>
              <w:left w:w="140" w:type="dxa"/>
              <w:right w:w="140" w:type="dxa"/>
            </w:tcMar>
          </w:tcPr>
          <w:p>
            <w:r/>
            <w:r>
              <w:rPr>
                <w:rFonts w:ascii="Calibri" w:hAnsi="Calibri"/>
                <w:color w:val="1E293B"/>
                <w:sz w:val="17"/>
              </w:rPr>
              <w:t>doc_id → raw_documents.doc_id</w:t>
              <w:br/>
              <w:t>taxonomy_node_id → taxonomy_nodes.node_id</w:t>
            </w:r>
          </w:p>
        </w:tc>
        <w:tc>
          <w:tcPr>
            <w:tcW w:type="dxa" w:w="3456"/>
            <w:shd w:fill="FFFFFF"/>
            <w:tcMar>
              <w:top w:w="120" w:type="dxa"/>
              <w:bottom w:w="120" w:type="dxa"/>
              <w:left w:w="140" w:type="dxa"/>
              <w:right w:w="140" w:type="dxa"/>
            </w:tcMar>
          </w:tcPr>
          <w:p>
            <w:r/>
            <w:r>
              <w:rPr>
                <w:rFonts w:ascii="Calibri" w:hAnsi="Calibri"/>
                <w:color w:val="1E293B"/>
                <w:sz w:val="17"/>
              </w:rPr>
              <w:t>Verified causal statements (signal_type, verbatim_quote, reason_text, confidence_score, extracted_at)</w:t>
            </w:r>
          </w:p>
        </w:tc>
      </w:tr>
      <w:tr>
        <w:tc>
          <w:tcPr>
            <w:tcW w:type="dxa" w:w="1872"/>
            <w:shd w:fill="F8FAFC"/>
            <w:tcMar>
              <w:top w:w="120" w:type="dxa"/>
              <w:bottom w:w="120" w:type="dxa"/>
              <w:left w:w="140" w:type="dxa"/>
              <w:right w:w="140" w:type="dxa"/>
            </w:tcMar>
          </w:tcPr>
          <w:p>
            <w:r/>
            <w:r>
              <w:rPr>
                <w:rFonts w:ascii="Calibri" w:hAnsi="Calibri"/>
                <w:color w:val="1E293B"/>
                <w:sz w:val="17"/>
              </w:rPr>
              <w:t>taxonomy_nodes</w:t>
            </w:r>
          </w:p>
        </w:tc>
        <w:tc>
          <w:tcPr>
            <w:tcW w:type="dxa" w:w="1584"/>
            <w:shd w:fill="F8FAFC"/>
            <w:tcMar>
              <w:top w:w="120" w:type="dxa"/>
              <w:bottom w:w="120" w:type="dxa"/>
              <w:left w:w="140" w:type="dxa"/>
              <w:right w:w="140" w:type="dxa"/>
            </w:tcMar>
          </w:tcPr>
          <w:p>
            <w:r/>
            <w:r>
              <w:rPr>
                <w:rFonts w:ascii="Calibri" w:hAnsi="Calibri"/>
                <w:color w:val="1E293B"/>
                <w:sz w:val="17"/>
              </w:rPr>
              <w:t>node_id (UUID)</w:t>
            </w:r>
          </w:p>
        </w:tc>
        <w:tc>
          <w:tcPr>
            <w:tcW w:type="dxa" w:w="2448"/>
            <w:shd w:fill="F8FAFC"/>
            <w:tcMar>
              <w:top w:w="120" w:type="dxa"/>
              <w:bottom w:w="120" w:type="dxa"/>
              <w:left w:w="140" w:type="dxa"/>
              <w:right w:w="140" w:type="dxa"/>
            </w:tcMar>
          </w:tcPr>
          <w:p>
            <w:r/>
            <w:r>
              <w:rPr>
                <w:rFonts w:ascii="Calibri" w:hAnsi="Calibri"/>
                <w:color w:val="1E293B"/>
                <w:sz w:val="17"/>
              </w:rPr>
              <w:t>None</w:t>
            </w:r>
          </w:p>
        </w:tc>
        <w:tc>
          <w:tcPr>
            <w:tcW w:type="dxa" w:w="3456"/>
            <w:shd w:fill="F8FAFC"/>
            <w:tcMar>
              <w:top w:w="120" w:type="dxa"/>
              <w:bottom w:w="120" w:type="dxa"/>
              <w:left w:w="140" w:type="dxa"/>
              <w:right w:w="140" w:type="dxa"/>
            </w:tcMar>
          </w:tcPr>
          <w:p>
            <w:r/>
            <w:r>
              <w:rPr>
                <w:rFonts w:ascii="Calibri" w:hAnsi="Calibri"/>
                <w:color w:val="1E293B"/>
                <w:sz w:val="17"/>
              </w:rPr>
              <w:t>Semantic cluster entities (label, description, centroid_terms, extraction_count, representative_quotes)</w:t>
            </w:r>
          </w:p>
        </w:tc>
      </w:tr>
      <w:tr>
        <w:tc>
          <w:tcPr>
            <w:tcW w:type="dxa" w:w="1872"/>
            <w:shd w:fill="FFFFFF"/>
            <w:tcMar>
              <w:top w:w="120" w:type="dxa"/>
              <w:bottom w:w="120" w:type="dxa"/>
              <w:left w:w="140" w:type="dxa"/>
              <w:right w:w="140" w:type="dxa"/>
            </w:tcMar>
          </w:tcPr>
          <w:p>
            <w:r/>
            <w:r>
              <w:rPr>
                <w:rFonts w:ascii="Calibri" w:hAnsi="Calibri"/>
                <w:color w:val="1E293B"/>
                <w:sz w:val="17"/>
              </w:rPr>
              <w:t>opportunity_scores</w:t>
            </w:r>
          </w:p>
        </w:tc>
        <w:tc>
          <w:tcPr>
            <w:tcW w:type="dxa" w:w="1584"/>
            <w:shd w:fill="FFFFFF"/>
            <w:tcMar>
              <w:top w:w="120" w:type="dxa"/>
              <w:bottom w:w="120" w:type="dxa"/>
              <w:left w:w="140" w:type="dxa"/>
              <w:right w:w="140" w:type="dxa"/>
            </w:tcMar>
          </w:tcPr>
          <w:p>
            <w:r/>
            <w:r>
              <w:rPr>
                <w:rFonts w:ascii="Calibri" w:hAnsi="Calibri"/>
                <w:color w:val="1E293B"/>
                <w:sz w:val="17"/>
              </w:rPr>
              <w:t>score_id (UUID)</w:t>
            </w:r>
          </w:p>
        </w:tc>
        <w:tc>
          <w:tcPr>
            <w:tcW w:type="dxa" w:w="2448"/>
            <w:shd w:fill="FFFFFF"/>
            <w:tcMar>
              <w:top w:w="120" w:type="dxa"/>
              <w:bottom w:w="120" w:type="dxa"/>
              <w:left w:w="140" w:type="dxa"/>
              <w:right w:w="140" w:type="dxa"/>
            </w:tcMar>
          </w:tcPr>
          <w:p>
            <w:r/>
            <w:r>
              <w:rPr>
                <w:rFonts w:ascii="Calibri" w:hAnsi="Calibri"/>
                <w:color w:val="1E293B"/>
                <w:sz w:val="17"/>
              </w:rPr>
              <w:t>taxonomy_node_id → taxonomy_nodes.node_id</w:t>
              <w:br/>
              <w:t>scoring_run_id → scoring_runs.run_id</w:t>
            </w:r>
          </w:p>
        </w:tc>
        <w:tc>
          <w:tcPr>
            <w:tcW w:type="dxa" w:w="3456"/>
            <w:shd w:fill="FFFFFF"/>
            <w:tcMar>
              <w:top w:w="120" w:type="dxa"/>
              <w:bottom w:w="120" w:type="dxa"/>
              <w:left w:w="140" w:type="dxa"/>
              <w:right w:w="140" w:type="dxa"/>
            </w:tcMar>
          </w:tcPr>
          <w:p>
            <w:r/>
            <w:r>
              <w:rPr>
                <w:rFonts w:ascii="Calibri" w:hAnsi="Calibri"/>
                <w:color w:val="1E293B"/>
                <w:sz w:val="17"/>
              </w:rPr>
              <w:t>Prioritization scores (composite_score, frequency_score, triangulation_score, conversion_score, segment_score, actionability_score, confidence_level)</w:t>
            </w:r>
          </w:p>
        </w:tc>
      </w:tr>
      <w:tr>
        <w:tc>
          <w:tcPr>
            <w:tcW w:type="dxa" w:w="1872"/>
            <w:shd w:fill="F8FAFC"/>
            <w:tcMar>
              <w:top w:w="120" w:type="dxa"/>
              <w:bottom w:w="120" w:type="dxa"/>
              <w:left w:w="140" w:type="dxa"/>
              <w:right w:w="140" w:type="dxa"/>
            </w:tcMar>
          </w:tcPr>
          <w:p>
            <w:r/>
            <w:r>
              <w:rPr>
                <w:rFonts w:ascii="Calibri" w:hAnsi="Calibri"/>
                <w:color w:val="1E293B"/>
                <w:sz w:val="17"/>
              </w:rPr>
              <w:t>scoring_runs</w:t>
            </w:r>
          </w:p>
        </w:tc>
        <w:tc>
          <w:tcPr>
            <w:tcW w:type="dxa" w:w="1584"/>
            <w:shd w:fill="F8FAFC"/>
            <w:tcMar>
              <w:top w:w="120" w:type="dxa"/>
              <w:bottom w:w="120" w:type="dxa"/>
              <w:left w:w="140" w:type="dxa"/>
              <w:right w:w="140" w:type="dxa"/>
            </w:tcMar>
          </w:tcPr>
          <w:p>
            <w:r/>
            <w:r>
              <w:rPr>
                <w:rFonts w:ascii="Calibri" w:hAnsi="Calibri"/>
                <w:color w:val="1E293B"/>
                <w:sz w:val="17"/>
              </w:rPr>
              <w:t>run_id (UUID)</w:t>
            </w:r>
          </w:p>
        </w:tc>
        <w:tc>
          <w:tcPr>
            <w:tcW w:type="dxa" w:w="2448"/>
            <w:shd w:fill="F8FAFC"/>
            <w:tcMar>
              <w:top w:w="120" w:type="dxa"/>
              <w:bottom w:w="120" w:type="dxa"/>
              <w:left w:w="140" w:type="dxa"/>
              <w:right w:w="140" w:type="dxa"/>
            </w:tcMar>
          </w:tcPr>
          <w:p>
            <w:r/>
            <w:r>
              <w:rPr>
                <w:rFonts w:ascii="Calibri" w:hAnsi="Calibri"/>
                <w:color w:val="1E293B"/>
                <w:sz w:val="17"/>
              </w:rPr>
              <w:t>None</w:t>
            </w:r>
          </w:p>
        </w:tc>
        <w:tc>
          <w:tcPr>
            <w:tcW w:type="dxa" w:w="3456"/>
            <w:shd w:fill="F8FAFC"/>
            <w:tcMar>
              <w:top w:w="120" w:type="dxa"/>
              <w:bottom w:w="120" w:type="dxa"/>
              <w:left w:w="140" w:type="dxa"/>
              <w:right w:w="140" w:type="dxa"/>
            </w:tcMar>
          </w:tcPr>
          <w:p>
            <w:r/>
            <w:r>
              <w:rPr>
                <w:rFonts w:ascii="Calibri" w:hAnsi="Calibri"/>
                <w:color w:val="1E293B"/>
                <w:sz w:val="17"/>
              </w:rPr>
              <w:t>Audit metadata for pipeline batch runs (computed_at, total_nodes, corpus_size)</w:t>
            </w:r>
          </w:p>
        </w:tc>
      </w:tr>
    </w:tbl>
    <w:p>
      <w:pPr>
        <w:spacing w:after="120"/>
      </w:pPr>
    </w:p>
    <w:p>
      <w:pPr>
        <w:pStyle w:val="Heading2"/>
        <w:keepNext/>
        <w:spacing w:before="280" w:after="80"/>
      </w:pPr>
      <w:r>
        <w:rPr>
          <w:rFonts w:ascii="Calibri" w:hAnsi="Calibri"/>
          <w:color w:val="6366F1"/>
        </w:rPr>
        <w:t>24*7 Self-Healing Supervisor Daemon</w:t>
      </w:r>
    </w:p>
    <w:p>
      <w:r>
        <w:t>To ensure 100% continuous uptime for academic evaluators and executive stakeholders, Pulse includes a Python supervisor daemon (run_engine_24x7.py) and Windows launcher (start_engine.bat). The supervisor continuously monitors the HTTP health endpoints of both the FastAPI Backend (Port 8000) and Next.js Frontend (Port 3000), logging heartbeats and automatically respawning crashed or unresponsive processes within 5 seconds.</w:t>
      </w:r>
    </w:p>
    <w:p>
      <w:pPr>
        <w:pStyle w:val="Heading1"/>
        <w:keepNext/>
        <w:spacing w:before="280" w:after="80"/>
      </w:pPr>
      <w:r>
        <w:rPr>
          <w:rFonts w:ascii="Calibri" w:hAnsi="Calibri"/>
          <w:color w:val="1E293B"/>
        </w:rPr>
        <w:t>7. Evaluator Defense &amp; Technical FAQ</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left w:val="single" w:sz="36" w:space="0" w:color="6366F1"/>
              <w:top w:val="none"/>
              <w:right w:val="none"/>
              <w:bottom w:val="none"/>
            </w:tcBorders>
          </w:tcPr>
          <w:p>
            <w:pPr>
              <w:spacing w:before="0" w:after="80"/>
            </w:pPr>
            <w:r>
              <w:rPr>
                <w:rFonts w:ascii="Calibri" w:hAnsi="Calibri"/>
                <w:b/>
                <w:color w:val="1E293B"/>
                <w:sz w:val="21"/>
              </w:rPr>
              <w:t>📌 Q1: How does Pulse guarantee zero hallucination in qualitative findings?</w:t>
              <w:br/>
            </w:r>
            <w:r>
              <w:rPr>
                <w:rFonts w:ascii="Calibri" w:hAnsi="Calibri"/>
                <w:color w:val="334155"/>
                <w:sz w:val="19"/>
              </w:rPr>
              <w:t>Unlike generative summarizers, Pulse enforces an exact substring match guardrail. Every quote cited in an opportunity cluster or Q&amp;A response is validated against the raw text of an ingested review before being accepted. If an LLM hallucinates even a single word, the extraction is rejected at the API layer.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left w:val="single" w:sz="36" w:space="0" w:color="10B981"/>
              <w:top w:val="none"/>
              <w:right w:val="none"/>
              <w:bottom w:val="none"/>
            </w:tcBorders>
          </w:tcPr>
          <w:p>
            <w:pPr>
              <w:spacing w:before="0" w:after="80"/>
            </w:pPr>
            <w:r>
              <w:rPr>
                <w:rFonts w:ascii="Calibri" w:hAnsi="Calibri"/>
                <w:b/>
                <w:color w:val="1E293B"/>
                <w:sz w:val="21"/>
              </w:rPr>
              <w:t>📌 Q2: Why use Agglomerative Clustering instead of K-Means or pure LLM clustering?</w:t>
              <w:br/>
            </w:r>
            <w:r>
              <w:rPr>
                <w:rFonts w:ascii="Calibri" w:hAnsi="Calibri"/>
                <w:color w:val="334155"/>
                <w:sz w:val="19"/>
              </w:rPr>
              <w:t>K-Means forces spherical clusters and requires guessing k upfront without hierarchical context. Agglomerative clustering preserves fine-grained semantic hierarchies and allows deterministic cluster merging using cosine distance. Silhouette scoring objectively determines the optimal cluster count (k=8) without human confirmation bias.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left w:val="single" w:sz="36" w:space="0" w:color="F59E0B"/>
              <w:top w:val="none"/>
              <w:right w:val="none"/>
              <w:bottom w:val="none"/>
            </w:tcBorders>
          </w:tcPr>
          <w:p>
            <w:pPr>
              <w:spacing w:before="0" w:after="80"/>
            </w:pPr>
            <w:r>
              <w:rPr>
                <w:rFonts w:ascii="Calibri" w:hAnsi="Calibri"/>
                <w:b/>
                <w:color w:val="1E293B"/>
                <w:sz w:val="21"/>
              </w:rPr>
              <w:t>📌 Q3: How does the Triangulation Metric eliminate single-channel bias?</w:t>
              <w:br/>
            </w:r>
            <w:r>
              <w:rPr>
                <w:rFonts w:ascii="Calibri" w:hAnsi="Calibri"/>
                <w:color w:val="334155"/>
                <w:sz w:val="19"/>
              </w:rPr>
              <w:t>Consumer discussions on Reddit often skew towards enthusiastic hobbyists, while app store reviews skew towards negative app bugs. The Triangulation Score penalizes single-channel issues and gives high confidence ONLY to opportunity areas corroborated across &gt;=2 distinct channels.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Confidential — Product Intelligence &amp; Academic Evaluation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PULSE: Consumer Behaviour Discovery Engine — Evaluation &amp; Workflow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