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top w:val="single" w:sz="18" w:space="4" w:color="1E4078"/>
        </w:pBdr>
      </w:pPr>
    </w:p>
    <w:p>
      <w:pPr>
        <w:spacing w:before="40" w:after="120"/>
        <w:jc w:val="center"/>
      </w:pPr>
      <w:r>
        <w:rPr>
          <w:rFonts w:ascii="Times New Roman" w:hAnsi="Times New Roman"/>
          <w:b/>
          <w:color w:val="1E4078"/>
          <w:sz w:val="26"/>
          <w:u w:val="single"/>
        </w:rPr>
        <w:t>CERTIFICATE OF RADIOLOGICAL VERIFICATION AND DATASET APPROVAL</w:t>
      </w:r>
    </w:p>
    <w:p>
      <w:pPr>
        <w:spacing w:before="0" w:after="60"/>
        <w:jc w:val="both"/>
      </w:pPr>
      <w:r>
        <w:rPr>
          <w:rFonts w:ascii="Times New Roman" w:hAnsi="Times New Roman"/>
          <w:i w:val="0"/>
          <w:color w:val="141414"/>
          <w:sz w:val="20"/>
        </w:rPr>
        <w:t>This is to certify that the radiological dataset review, pelvimetric data verification, and pelvic floor morphometric assessment for the Ph.D. thesis entitled:</w:t>
      </w:r>
    </w:p>
    <w:p>
      <w:pPr>
        <w:spacing w:before="40" w:after="40"/>
        <w:jc w:val="center"/>
      </w:pPr>
      <w:r>
        <w:rPr>
          <w:rFonts w:ascii="Times New Roman" w:hAnsi="Times New Roman"/>
          <w:i/>
          <w:color w:val="1E4078"/>
          <w:sz w:val="20"/>
        </w:rPr>
        <w:t>"A COMPUTED TOMOGRAPHY EVALUATION OF PELVIC FLOOR THICKNESS AND BONY DIMENSIONS AMONG WOMEN FROM HILLY AND INLAND REGIONS OF SOUTH INDIA: A COMPARATIVE CROSS-SECTIONAL STUDY"</w:t>
      </w:r>
    </w:p>
    <w:p>
      <w:pPr>
        <w:spacing w:before="0" w:after="60"/>
        <w:jc w:val="both"/>
      </w:pPr>
      <w:r>
        <w:rPr>
          <w:rFonts w:ascii="Times New Roman" w:hAnsi="Times New Roman"/>
          <w:b w:val="0"/>
          <w:color w:val="141414"/>
          <w:sz w:val="20"/>
        </w:rPr>
        <w:t xml:space="preserve">submitted by </w:t>
      </w:r>
      <w:r>
        <w:rPr>
          <w:rFonts w:ascii="Times New Roman" w:hAnsi="Times New Roman"/>
          <w:b/>
          <w:color w:val="141414"/>
          <w:sz w:val="20"/>
        </w:rPr>
        <w:t>Mr. MUTHUKUMAR C</w:t>
      </w:r>
      <w:r>
        <w:rPr>
          <w:rFonts w:ascii="Times New Roman" w:hAnsi="Times New Roman"/>
          <w:b w:val="0"/>
          <w:color w:val="141414"/>
          <w:sz w:val="20"/>
        </w:rPr>
        <w:t xml:space="preserve">, Research Scholar in Anatomy, USN No. </w:t>
      </w:r>
      <w:r>
        <w:rPr>
          <w:rFonts w:ascii="Times New Roman" w:hAnsi="Times New Roman"/>
          <w:b/>
          <w:color w:val="141414"/>
          <w:sz w:val="20"/>
        </w:rPr>
        <w:t>24PH14ANA01</w:t>
      </w:r>
      <w:r>
        <w:rPr>
          <w:rFonts w:ascii="Times New Roman" w:hAnsi="Times New Roman"/>
          <w:b w:val="0"/>
          <w:color w:val="141414"/>
          <w:sz w:val="20"/>
        </w:rPr>
        <w:t>, Sri Siddhartha Academy of Higher Education (SSAHE), Tumakuru, has been thoroughly reviewed, verified, and counter-checked in the Department of Radiodiagnosis.</w:t>
      </w:r>
    </w:p>
    <w:p>
      <w:pPr>
        <w:spacing w:before="0" w:after="60"/>
        <w:jc w:val="both"/>
      </w:pPr>
      <w:r>
        <w:rPr>
          <w:rFonts w:ascii="Times New Roman" w:hAnsi="Times New Roman"/>
          <w:i w:val="0"/>
          <w:color w:val="141414"/>
          <w:sz w:val="20"/>
        </w:rPr>
        <w:t>The candidate has compiled a structured CT pelvimetry dataset of 10 female patient studies (5 Hilly-region + 5 Inland/Plain-region) sourced from PACS repositories across institutions in Kerala, Karnataka, and Tamil Nadu. Each entry includes anonymised DICOM volumes, segmented structures, and a CT Pelvimetry &amp; Pelvic Floor Assessment Report (PDF).</w:t>
      </w:r>
    </w:p>
    <w:p>
      <w:pPr>
        <w:spacing w:before="0" w:after="40"/>
        <w:jc w:val="both"/>
      </w:pPr>
      <w:r>
        <w:rPr>
          <w:rFonts w:ascii="Times New Roman" w:hAnsi="Times New Roman"/>
          <w:i w:val="0"/>
          <w:color w:val="141414"/>
          <w:sz w:val="20"/>
        </w:rPr>
        <w:t>I hereby confirm and certify that:</w:t>
      </w:r>
    </w:p>
    <w:p>
      <w:pPr>
        <w:spacing w:before="20" w:after="40"/>
        <w:ind w:left="227"/>
        <w:jc w:val="both"/>
      </w:pPr>
      <w:r>
        <w:rPr>
          <w:rFonts w:ascii="Times New Roman" w:hAnsi="Times New Roman"/>
          <w:b/>
          <w:color w:val="1E4078"/>
          <w:sz w:val="20"/>
        </w:rPr>
        <w:t xml:space="preserve">1. Bony Pelvimetry Validation: </w:t>
      </w:r>
      <w:r>
        <w:rPr>
          <w:rFonts w:ascii="Times New Roman" w:hAnsi="Times New Roman"/>
          <w:color w:val="141414"/>
          <w:sz w:val="20"/>
        </w:rPr>
        <w:t>All linear and angular morphometric parameters (True/Obstetric/Diagonal Conjugate, Transverse Inlet, ISD, ITD, Subpubic Angle, Sacral Length &amp; Curvature, Pelvic Inclination, Oblique Diameter, AP Mid-pelvis) were measured at correct anatomical planes and fall within clinically established reference ranges for the South Indian female population.</w:t>
      </w:r>
    </w:p>
    <w:p>
      <w:pPr>
        <w:spacing w:before="20" w:after="40"/>
        <w:ind w:left="227"/>
        <w:jc w:val="both"/>
      </w:pPr>
      <w:r>
        <w:rPr>
          <w:rFonts w:ascii="Times New Roman" w:hAnsi="Times New Roman"/>
          <w:b/>
          <w:color w:val="1E4078"/>
          <w:sz w:val="20"/>
        </w:rPr>
        <w:t xml:space="preserve">2. Pelvic Floor Soft-Tissue Assessment: </w:t>
      </w:r>
      <w:r>
        <w:rPr>
          <w:rFonts w:ascii="Times New Roman" w:hAnsi="Times New Roman"/>
          <w:color w:val="141414"/>
          <w:sz w:val="20"/>
        </w:rPr>
        <w:t>Bilateral thickness values for puborectalis, pubococcygeus, iliococcygeus, and coccygeus; levator hiatus AP/lateral dimensions; hiatal area; resting, Valsalva, and contraction thickness indices have been reviewed and verified for plausibility against published normative data.</w:t>
      </w:r>
    </w:p>
    <w:p>
      <w:pPr>
        <w:spacing w:before="20" w:after="40"/>
        <w:ind w:left="227"/>
        <w:jc w:val="both"/>
      </w:pPr>
      <w:r>
        <w:rPr>
          <w:rFonts w:ascii="Times New Roman" w:hAnsi="Times New Roman"/>
          <w:b/>
          <w:color w:val="1E4078"/>
          <w:sz w:val="20"/>
        </w:rPr>
        <w:t xml:space="preserve">3. Anatomical Edge Validation: </w:t>
      </w:r>
      <w:r>
        <w:rPr>
          <w:rFonts w:ascii="Times New Roman" w:hAnsi="Times New Roman"/>
          <w:color w:val="141414"/>
          <w:sz w:val="20"/>
        </w:rPr>
        <w:t>The verification of soft-tissue boundary extraction for the pelvic floor musculature (specifically the puborectalis, pubococcygeus, iliococcygeus, and coccygeus muscles) was monitored to ensure the clean exclusion of surrounding adipose tissue components.</w:t>
      </w:r>
    </w:p>
    <w:p>
      <w:pPr>
        <w:spacing w:before="20" w:after="40"/>
        <w:ind w:left="227"/>
        <w:jc w:val="both"/>
      </w:pPr>
      <w:r>
        <w:rPr>
          <w:rFonts w:ascii="Times New Roman" w:hAnsi="Times New Roman"/>
          <w:b/>
          <w:color w:val="1E4078"/>
          <w:sz w:val="20"/>
        </w:rPr>
        <w:t xml:space="preserve">4. Methodological Rigor: </w:t>
      </w:r>
      <w:r>
        <w:rPr>
          <w:rFonts w:ascii="Times New Roman" w:hAnsi="Times New Roman"/>
          <w:color w:val="141414"/>
          <w:sz w:val="20"/>
        </w:rPr>
        <w:t>The linear and angular morphometric parameters—including the Interspinous Diameter (ISD), Intertuberous Diameter (ITD), Subpubic Angle (SPA), Anteroposterior pelvic outlet diameter, and the Area of the Perineum—were measured at the correct predefined cross-sectional anatomical planes.</w:t>
      </w:r>
    </w:p>
    <w:p>
      <w:pPr>
        <w:spacing w:before="20" w:after="40"/>
        <w:ind w:left="227"/>
        <w:jc w:val="both"/>
      </w:pPr>
      <w:r>
        <w:rPr>
          <w:rFonts w:ascii="Times New Roman" w:hAnsi="Times New Roman"/>
          <w:b/>
          <w:color w:val="1E4078"/>
          <w:sz w:val="20"/>
        </w:rPr>
        <w:t xml:space="preserve">5. Software Verification: </w:t>
      </w:r>
      <w:r>
        <w:rPr>
          <w:rFonts w:ascii="Times New Roman" w:hAnsi="Times New Roman"/>
          <w:color w:val="141414"/>
          <w:sz w:val="20"/>
        </w:rPr>
        <w:t>The 3D reconstructions, point-capture calibrations, and contour-trace workflows executed within the MeViSlab medical image-processing platform were counter-checked for technical accuracy and consistency.</w:t>
      </w:r>
    </w:p>
    <w:p>
      <w:pPr>
        <w:spacing w:before="80" w:after="120"/>
        <w:jc w:val="both"/>
      </w:pPr>
      <w:r>
        <w:rPr>
          <w:rFonts w:ascii="Times New Roman" w:hAnsi="Times New Roman"/>
          <w:i w:val="0"/>
          <w:color w:val="141414"/>
          <w:sz w:val="20"/>
        </w:rPr>
        <w:t>The dataset, pelvimetric values, and morphometric reports compiled from both cohorts are validated as anatomically accurate and radiologically reliable for advanced statistical comparative analysis in fulfilment of the above-mentioned Ph.D. thesis.</w:t>
      </w:r>
    </w:p>
    <w:p>
      <w:pPr>
        <w:spacing w:before="0" w:after="80"/>
        <w:jc w:val="left"/>
      </w:pPr>
      <w:r>
        <w:rPr>
          <w:rFonts w:ascii="Times New Roman" w:hAnsi="Times New Roman"/>
          <w:b/>
          <w:color w:val="141414"/>
          <w:sz w:val="20"/>
        </w:rPr>
        <w:t xml:space="preserve">Date: </w:t>
      </w:r>
      <w:r>
        <w:rPr>
          <w:rFonts w:ascii="Times New Roman" w:hAnsi="Times New Roman"/>
          <w:color w:val="646464"/>
          <w:sz w:val="20"/>
        </w:rPr>
        <w:t>____________________</w:t>
      </w:r>
      <w:r>
        <w:rPr>
          <w:rFonts w:ascii="Times New Roman" w:hAnsi="Times New Roman"/>
          <w:b/>
          <w:color w:val="141414"/>
          <w:sz w:val="20"/>
        </w:rPr>
        <w:t xml:space="preserve">          Place: </w:t>
      </w:r>
      <w:r>
        <w:rPr>
          <w:rFonts w:ascii="Times New Roman" w:hAnsi="Times New Roman"/>
          <w:color w:val="646464"/>
          <w:sz w:val="20"/>
        </w:rPr>
        <w:t>____________________</w:t>
      </w:r>
    </w:p>
    <w:tbl>
      <w:tblPr>
        <w:tblStyle w:val="TableGrid"/>
        <w:tblW w:type="auto" w:w="0"/>
        <w:tblLayout w:type="fixed"/>
        <w:tblLook w:firstColumn="1" w:firstRow="1" w:lastColumn="0" w:lastRow="0" w:noHBand="0" w:noVBand="1" w:val="04A0"/>
      </w:tblPr>
      <w:tblGrid>
        <w:gridCol w:w="6520"/>
        <w:gridCol w:w="3118"/>
      </w:tblGrid>
      <w:tr>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tcPr>
          <w:p>
            <w:pPr>
              <w:keepNext/>
              <w:spacing w:before="180" w:after="0"/>
            </w:pPr>
            <w:r>
              <w:rPr>
                <w:b/>
                <w:color w:val="141414"/>
                <w:sz w:val="19"/>
              </w:rPr>
              <w:t>Name:</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Designation:</w:t>
            </w:r>
            <w:r>
              <w:rPr>
                <w:color w:val="646464"/>
                <w:sz w:val="19"/>
              </w:rPr>
              <w:t xml:space="preserve">  ________________________________</w:t>
            </w:r>
          </w:p>
          <w:p>
            <w:pPr>
              <w:keepNext/>
              <w:spacing w:before="180" w:after="0"/>
            </w:pPr>
            <w:r>
              <w:rPr>
                <w:b/>
                <w:color w:val="141414"/>
                <w:sz w:val="19"/>
              </w:rPr>
              <w:t>Department:</w:t>
            </w:r>
            <w:r>
              <w:rPr>
                <w:color w:val="646464"/>
                <w:sz w:val="19"/>
              </w:rPr>
              <w:t xml:space="preserve">  ________________________________</w:t>
            </w:r>
          </w:p>
          <w:p>
            <w:pPr>
              <w:keepNext/>
              <w:spacing w:before="180" w:after="0"/>
            </w:pPr>
            <w:r>
              <w:rPr>
                <w:b/>
                <w:color w:val="141414"/>
                <w:sz w:val="19"/>
              </w:rPr>
              <w:t>Institution:</w:t>
            </w:r>
            <w:r>
              <w:rPr>
                <w:color w:val="646464"/>
                <w:sz w:val="19"/>
              </w:rPr>
              <w:t xml:space="preserve">  ________________________________</w:t>
            </w:r>
          </w:p>
          <w:p>
            <w:pPr>
              <w:keepNext/>
              <w:spacing w:before="180" w:after="0"/>
            </w:pPr>
            <w:r>
              <w:rPr>
                <w:b/>
                <w:color w:val="141414"/>
                <w:sz w:val="19"/>
              </w:rPr>
              <w:t>Reg. No.:</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Signature &amp; Date:  _________________________</w:t>
            </w:r>
          </w:p>
        </w:tc>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vAlign w:val="center"/>
            <w:tcBdr>
              <w:top w:val="single" w:sz="6" w:space="0" w:color="909090"/>
              <w:left w:val="single" w:sz="6" w:space="0" w:color="909090"/>
              <w:bottom w:val="single" w:sz="6" w:space="0" w:color="909090"/>
              <w:right w:val="single" w:sz="6" w:space="0" w:color="909090"/>
            </w:tcBdr>
          </w:tcPr>
          <w:p>
            <w:pPr>
              <w:spacing w:before="600" w:after="600"/>
              <w:jc w:val="center"/>
            </w:pPr>
            <w:r>
              <w:rPr>
                <w:i/>
                <w:color w:val="A0A0A0"/>
                <w:sz w:val="17"/>
              </w:rPr>
              <w:t>Official Seal / Stamp</w:t>
            </w:r>
          </w:p>
        </w:tc>
      </w:tr>
    </w:tbl>
    <w:p>
      <w:pPr>
        <w:spacing w:before="16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