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6E12" w14:textId="77777777" w:rsidR="004F74E8" w:rsidRDefault="00A85977">
      <w:pPr>
        <w:pStyle w:val="Title"/>
        <w:spacing w:before="35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Phase-</w:t>
      </w:r>
      <w:r>
        <w:rPr>
          <w:spacing w:val="-5"/>
        </w:rPr>
        <w:t>II</w:t>
      </w:r>
    </w:p>
    <w:p w14:paraId="5FEF8F6A" w14:textId="77777777" w:rsidR="004F74E8" w:rsidRDefault="00A85977">
      <w:pPr>
        <w:pStyle w:val="Title"/>
      </w:pPr>
      <w:r>
        <w:t>Solution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(Functional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045DBE7C" w14:textId="77777777" w:rsidR="004F74E8" w:rsidRDefault="004F74E8">
      <w:pPr>
        <w:pStyle w:val="BodyText"/>
        <w:spacing w:before="51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4F74E8" w14:paraId="6991794C" w14:textId="77777777">
        <w:trPr>
          <w:trHeight w:val="259"/>
        </w:trPr>
        <w:tc>
          <w:tcPr>
            <w:tcW w:w="4500" w:type="dxa"/>
          </w:tcPr>
          <w:p w14:paraId="1B6160E2" w14:textId="77777777" w:rsidR="004F74E8" w:rsidRDefault="00A85977">
            <w:pPr>
              <w:pStyle w:val="TableParagraph"/>
              <w:spacing w:before="12" w:line="22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01CE7CAC" w14:textId="4554582C" w:rsidR="004F74E8" w:rsidRDefault="00CC06F3">
            <w:pPr>
              <w:pStyle w:val="TableParagraph"/>
              <w:spacing w:before="12" w:line="228" w:lineRule="exact"/>
              <w:ind w:left="109"/>
            </w:pPr>
            <w:r>
              <w:t>15 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4F74E8" w14:paraId="5E808F6F" w14:textId="77777777">
        <w:trPr>
          <w:trHeight w:val="280"/>
        </w:trPr>
        <w:tc>
          <w:tcPr>
            <w:tcW w:w="4500" w:type="dxa"/>
          </w:tcPr>
          <w:p w14:paraId="0CE735E7" w14:textId="77777777" w:rsidR="004F74E8" w:rsidRDefault="00A85977">
            <w:pPr>
              <w:pStyle w:val="TableParagraph"/>
              <w:spacing w:before="15" w:line="244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14:paraId="1D0B8881" w14:textId="01C972FC" w:rsidR="004F74E8" w:rsidRDefault="00CC06F3">
            <w:pPr>
              <w:pStyle w:val="TableParagraph"/>
              <w:spacing w:before="15" w:line="244" w:lineRule="exact"/>
              <w:ind w:left="109"/>
            </w:pPr>
            <w:r w:rsidRPr="00D53206">
              <w:rPr>
                <w:spacing w:val="-2"/>
              </w:rPr>
              <w:t> LTVIP2026TMIDS43270</w:t>
            </w:r>
          </w:p>
        </w:tc>
      </w:tr>
      <w:tr w:rsidR="004F74E8" w14:paraId="118028DD" w14:textId="77777777">
        <w:trPr>
          <w:trHeight w:val="619"/>
        </w:trPr>
        <w:tc>
          <w:tcPr>
            <w:tcW w:w="4500" w:type="dxa"/>
          </w:tcPr>
          <w:p w14:paraId="050B759C" w14:textId="77777777" w:rsidR="004F74E8" w:rsidRDefault="00A85977">
            <w:pPr>
              <w:pStyle w:val="TableParagraph"/>
              <w:spacing w:line="268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0ADE6973" w14:textId="4A201E51" w:rsidR="004F74E8" w:rsidRDefault="00CC06F3">
            <w:pPr>
              <w:pStyle w:val="TableParagraph"/>
              <w:spacing w:before="53"/>
              <w:ind w:left="109"/>
            </w:pPr>
            <w:r w:rsidRPr="0021098B">
              <w:rPr>
                <w:lang w:val="en-IN"/>
              </w:rPr>
              <w:t>Visualization Tool for Electric Vehicle Charge and Range Analysis</w:t>
            </w:r>
            <w:r w:rsidRPr="004B491E">
              <w:t xml:space="preserve"> </w:t>
            </w:r>
            <w:r w:rsidR="004B491E" w:rsidRPr="004B491E">
              <w:t>with Tableau</w:t>
            </w:r>
          </w:p>
        </w:tc>
      </w:tr>
      <w:tr w:rsidR="004F74E8" w14:paraId="060D90A2" w14:textId="77777777">
        <w:trPr>
          <w:trHeight w:val="280"/>
        </w:trPr>
        <w:tc>
          <w:tcPr>
            <w:tcW w:w="4500" w:type="dxa"/>
          </w:tcPr>
          <w:p w14:paraId="7CAC4FB8" w14:textId="77777777" w:rsidR="004F74E8" w:rsidRDefault="00A85977">
            <w:pPr>
              <w:pStyle w:val="TableParagraph"/>
              <w:spacing w:before="19" w:line="241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797B30D7" w14:textId="77777777" w:rsidR="004F74E8" w:rsidRDefault="00A85977">
            <w:pPr>
              <w:pStyle w:val="TableParagraph"/>
              <w:spacing w:before="19" w:line="241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1725950" w14:textId="77777777" w:rsidR="004F74E8" w:rsidRDefault="004F74E8">
      <w:pPr>
        <w:pStyle w:val="BodyText"/>
        <w:spacing w:before="161"/>
        <w:rPr>
          <w:b/>
          <w:sz w:val="24"/>
        </w:rPr>
      </w:pPr>
    </w:p>
    <w:p w14:paraId="2AD93053" w14:textId="77777777" w:rsidR="004F74E8" w:rsidRDefault="00A85977">
      <w:pPr>
        <w:pStyle w:val="Heading1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Requirements:</w:t>
      </w:r>
    </w:p>
    <w:p w14:paraId="691FA6F5" w14:textId="77777777" w:rsidR="004F74E8" w:rsidRDefault="00A85977">
      <w:pPr>
        <w:pStyle w:val="BodyText"/>
        <w:spacing w:before="181"/>
        <w:ind w:left="23"/>
      </w:pPr>
      <w:r>
        <w:t>Following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7E54F7CA" w14:textId="77777777" w:rsidR="004F74E8" w:rsidRDefault="004F74E8">
      <w:pPr>
        <w:pStyle w:val="BodyText"/>
        <w:spacing w:before="11"/>
        <w:rPr>
          <w:sz w:val="13"/>
        </w:rPr>
      </w:pPr>
    </w:p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"/>
        <w:gridCol w:w="2000"/>
        <w:gridCol w:w="6140"/>
      </w:tblGrid>
      <w:tr w:rsidR="00CC06F3" w:rsidRPr="00CC06F3" w14:paraId="1BDE184B" w14:textId="77777777" w:rsidTr="00CC06F3">
        <w:trPr>
          <w:trHeight w:val="864"/>
        </w:trPr>
        <w:tc>
          <w:tcPr>
            <w:tcW w:w="1480" w:type="dxa"/>
            <w:vAlign w:val="center"/>
            <w:hideMark/>
          </w:tcPr>
          <w:p w14:paraId="497AB46D" w14:textId="77777777" w:rsidR="00CC06F3" w:rsidRPr="00CC06F3" w:rsidRDefault="00CC06F3" w:rsidP="00CC06F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FR No.</w:t>
            </w:r>
          </w:p>
        </w:tc>
        <w:tc>
          <w:tcPr>
            <w:tcW w:w="2000" w:type="dxa"/>
            <w:vAlign w:val="center"/>
            <w:hideMark/>
          </w:tcPr>
          <w:p w14:paraId="036886C7" w14:textId="77777777" w:rsidR="00CC06F3" w:rsidRPr="00CC06F3" w:rsidRDefault="00CC06F3" w:rsidP="00CC06F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Functional Requirement (Epic)</w:t>
            </w:r>
          </w:p>
        </w:tc>
        <w:tc>
          <w:tcPr>
            <w:tcW w:w="6140" w:type="dxa"/>
            <w:vAlign w:val="center"/>
            <w:hideMark/>
          </w:tcPr>
          <w:p w14:paraId="5C073737" w14:textId="77777777" w:rsidR="00CC06F3" w:rsidRPr="00CC06F3" w:rsidRDefault="00CC06F3" w:rsidP="00CC06F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Sub Requirement (Story / Sub-Task)</w:t>
            </w:r>
          </w:p>
        </w:tc>
      </w:tr>
      <w:tr w:rsidR="00CC06F3" w:rsidRPr="00CC06F3" w14:paraId="11519415" w14:textId="77777777" w:rsidTr="00CC06F3">
        <w:trPr>
          <w:trHeight w:val="2304"/>
        </w:trPr>
        <w:tc>
          <w:tcPr>
            <w:tcW w:w="1480" w:type="dxa"/>
            <w:vAlign w:val="center"/>
            <w:hideMark/>
          </w:tcPr>
          <w:p w14:paraId="3256AA85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FR-1</w:t>
            </w:r>
          </w:p>
        </w:tc>
        <w:tc>
          <w:tcPr>
            <w:tcW w:w="2000" w:type="dxa"/>
            <w:vAlign w:val="center"/>
            <w:hideMark/>
          </w:tcPr>
          <w:p w14:paraId="41D88FC6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Interactive EV KPI Dashboard</w:t>
            </w:r>
          </w:p>
        </w:tc>
        <w:tc>
          <w:tcPr>
            <w:tcW w:w="6140" w:type="dxa"/>
            <w:vAlign w:val="center"/>
            <w:hideMark/>
          </w:tcPr>
          <w:p w14:paraId="2C108881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Displays key metrics such as Average Battery Charge (%), Average Driving Range (km), Energy Consumption (kWh), Charging Duration, and Efficiency Rate with filters for vehicle ID, region, and time period.</w:t>
            </w:r>
          </w:p>
        </w:tc>
      </w:tr>
      <w:tr w:rsidR="00CC06F3" w:rsidRPr="00CC06F3" w14:paraId="401568BB" w14:textId="77777777" w:rsidTr="00CC06F3">
        <w:trPr>
          <w:trHeight w:val="1440"/>
        </w:trPr>
        <w:tc>
          <w:tcPr>
            <w:tcW w:w="1480" w:type="dxa"/>
            <w:vAlign w:val="center"/>
            <w:hideMark/>
          </w:tcPr>
          <w:p w14:paraId="01AAAD98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FR-2</w:t>
            </w:r>
          </w:p>
        </w:tc>
        <w:tc>
          <w:tcPr>
            <w:tcW w:w="2000" w:type="dxa"/>
            <w:vAlign w:val="center"/>
            <w:hideMark/>
          </w:tcPr>
          <w:p w14:paraId="0BD24A08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Charge &amp; Range Trend Analysis</w:t>
            </w:r>
          </w:p>
        </w:tc>
        <w:tc>
          <w:tcPr>
            <w:tcW w:w="6140" w:type="dxa"/>
            <w:vAlign w:val="center"/>
            <w:hideMark/>
          </w:tcPr>
          <w:p w14:paraId="1D6ED606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Visualizes trends of battery charge vs driving range over time using line charts and area graphs; supports daily, weekly, and monthly views.</w:t>
            </w:r>
          </w:p>
        </w:tc>
      </w:tr>
      <w:tr w:rsidR="00CC06F3" w:rsidRPr="00CC06F3" w14:paraId="1EFDEB09" w14:textId="77777777" w:rsidTr="00CC06F3">
        <w:trPr>
          <w:trHeight w:val="864"/>
        </w:trPr>
        <w:tc>
          <w:tcPr>
            <w:tcW w:w="1480" w:type="dxa"/>
            <w:vAlign w:val="center"/>
            <w:hideMark/>
          </w:tcPr>
          <w:p w14:paraId="105FA03F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FR-3</w:t>
            </w:r>
          </w:p>
        </w:tc>
        <w:tc>
          <w:tcPr>
            <w:tcW w:w="2000" w:type="dxa"/>
            <w:vAlign w:val="center"/>
            <w:hideMark/>
          </w:tcPr>
          <w:p w14:paraId="3F9345A3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Environmental Impact Analysis</w:t>
            </w:r>
          </w:p>
        </w:tc>
        <w:tc>
          <w:tcPr>
            <w:tcW w:w="6140" w:type="dxa"/>
            <w:vAlign w:val="center"/>
            <w:hideMark/>
          </w:tcPr>
          <w:p w14:paraId="0FE35343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Shows correlation between temperature, terrain, driving speed, and EV range using scatter plots and comparison charts.</w:t>
            </w:r>
          </w:p>
        </w:tc>
      </w:tr>
      <w:tr w:rsidR="00CC06F3" w:rsidRPr="00CC06F3" w14:paraId="557207F4" w14:textId="77777777" w:rsidTr="00CC06F3">
        <w:trPr>
          <w:trHeight w:val="1428"/>
        </w:trPr>
        <w:tc>
          <w:tcPr>
            <w:tcW w:w="1480" w:type="dxa"/>
            <w:vAlign w:val="center"/>
            <w:hideMark/>
          </w:tcPr>
          <w:p w14:paraId="0E2E8CDE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FR-4</w:t>
            </w:r>
          </w:p>
        </w:tc>
        <w:tc>
          <w:tcPr>
            <w:tcW w:w="2000" w:type="dxa"/>
            <w:vAlign w:val="center"/>
            <w:hideMark/>
          </w:tcPr>
          <w:p w14:paraId="2ADED6E6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Charging Station Utilization Insights</w:t>
            </w:r>
          </w:p>
        </w:tc>
        <w:tc>
          <w:tcPr>
            <w:tcW w:w="6140" w:type="dxa"/>
            <w:vAlign w:val="center"/>
            <w:hideMark/>
          </w:tcPr>
          <w:p w14:paraId="41E6FC83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Displays charging station usage patterns, peak hours, average charging time, and demand trends using bar charts and heatmaps.</w:t>
            </w:r>
          </w:p>
        </w:tc>
      </w:tr>
      <w:tr w:rsidR="00CC06F3" w:rsidRPr="00CC06F3" w14:paraId="668F8515" w14:textId="77777777" w:rsidTr="00CC06F3">
        <w:trPr>
          <w:trHeight w:val="1440"/>
        </w:trPr>
        <w:tc>
          <w:tcPr>
            <w:tcW w:w="1480" w:type="dxa"/>
            <w:vAlign w:val="center"/>
            <w:hideMark/>
          </w:tcPr>
          <w:p w14:paraId="12A7F7BB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FR-5</w:t>
            </w:r>
          </w:p>
        </w:tc>
        <w:tc>
          <w:tcPr>
            <w:tcW w:w="2000" w:type="dxa"/>
            <w:vAlign w:val="center"/>
            <w:hideMark/>
          </w:tcPr>
          <w:p w14:paraId="50D77D7A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Geo-Map Representation</w:t>
            </w:r>
          </w:p>
        </w:tc>
        <w:tc>
          <w:tcPr>
            <w:tcW w:w="6140" w:type="dxa"/>
            <w:vAlign w:val="center"/>
            <w:hideMark/>
          </w:tcPr>
          <w:p w14:paraId="75F5822A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Provides interactive map visualization of EV performance and charging infrastructure across regions/cities.</w:t>
            </w:r>
          </w:p>
        </w:tc>
      </w:tr>
      <w:tr w:rsidR="00CC06F3" w:rsidRPr="00CC06F3" w14:paraId="79672997" w14:textId="77777777" w:rsidTr="00CC06F3">
        <w:trPr>
          <w:trHeight w:val="1440"/>
        </w:trPr>
        <w:tc>
          <w:tcPr>
            <w:tcW w:w="1480" w:type="dxa"/>
            <w:vAlign w:val="center"/>
            <w:hideMark/>
          </w:tcPr>
          <w:p w14:paraId="2AF17256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FR-6</w:t>
            </w:r>
          </w:p>
        </w:tc>
        <w:tc>
          <w:tcPr>
            <w:tcW w:w="2000" w:type="dxa"/>
            <w:vAlign w:val="center"/>
            <w:hideMark/>
          </w:tcPr>
          <w:p w14:paraId="0BBC22D0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Battery Performance &amp; Degradation Monitoring</w:t>
            </w:r>
          </w:p>
        </w:tc>
        <w:tc>
          <w:tcPr>
            <w:tcW w:w="6140" w:type="dxa"/>
            <w:vAlign w:val="center"/>
            <w:hideMark/>
          </w:tcPr>
          <w:p w14:paraId="4B9049AC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Tracks long-term battery health, efficiency decline, and range variation trends through historical analysis charts.</w:t>
            </w:r>
          </w:p>
        </w:tc>
      </w:tr>
      <w:tr w:rsidR="00CC06F3" w:rsidRPr="00CC06F3" w14:paraId="41848A62" w14:textId="77777777" w:rsidTr="00CC06F3">
        <w:trPr>
          <w:trHeight w:val="864"/>
        </w:trPr>
        <w:tc>
          <w:tcPr>
            <w:tcW w:w="1480" w:type="dxa"/>
            <w:vAlign w:val="center"/>
            <w:hideMark/>
          </w:tcPr>
          <w:p w14:paraId="05B38B75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FR-7</w:t>
            </w:r>
          </w:p>
        </w:tc>
        <w:tc>
          <w:tcPr>
            <w:tcW w:w="2000" w:type="dxa"/>
            <w:vAlign w:val="center"/>
            <w:hideMark/>
          </w:tcPr>
          <w:p w14:paraId="53F9B5E2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Cost &amp; Energy Consumption Analysis</w:t>
            </w:r>
          </w:p>
        </w:tc>
        <w:tc>
          <w:tcPr>
            <w:tcW w:w="6140" w:type="dxa"/>
            <w:vAlign w:val="center"/>
            <w:hideMark/>
          </w:tcPr>
          <w:p w14:paraId="2DC389A7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Visualizes charging cost trends, energy usage comparison per vehicle, and operational cost summaries.</w:t>
            </w:r>
          </w:p>
        </w:tc>
      </w:tr>
      <w:tr w:rsidR="00CC06F3" w:rsidRPr="00CC06F3" w14:paraId="3E063041" w14:textId="77777777" w:rsidTr="00CC06F3">
        <w:trPr>
          <w:trHeight w:val="1152"/>
        </w:trPr>
        <w:tc>
          <w:tcPr>
            <w:tcW w:w="1480" w:type="dxa"/>
            <w:vAlign w:val="center"/>
            <w:hideMark/>
          </w:tcPr>
          <w:p w14:paraId="14BDACB8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FR-8</w:t>
            </w:r>
          </w:p>
        </w:tc>
        <w:tc>
          <w:tcPr>
            <w:tcW w:w="2000" w:type="dxa"/>
            <w:vAlign w:val="center"/>
            <w:hideMark/>
          </w:tcPr>
          <w:p w14:paraId="4B97BD86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Story-Based Dashboard Navigation</w:t>
            </w:r>
          </w:p>
        </w:tc>
        <w:tc>
          <w:tcPr>
            <w:tcW w:w="6140" w:type="dxa"/>
            <w:vAlign w:val="center"/>
            <w:hideMark/>
          </w:tcPr>
          <w:p w14:paraId="174E9DBE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 xml:space="preserve">Provides a sequential story view explaining EV performance insights, charging </w:t>
            </w:r>
            <w:proofErr w:type="spellStart"/>
            <w:r w:rsidRPr="00CC06F3">
              <w:rPr>
                <w:rFonts w:eastAsia="Times New Roman"/>
                <w:color w:val="000000"/>
                <w:lang w:val="en-IN" w:eastAsia="en-IN"/>
              </w:rPr>
              <w:t>behavior</w:t>
            </w:r>
            <w:proofErr w:type="spellEnd"/>
            <w:r w:rsidRPr="00CC06F3">
              <w:rPr>
                <w:rFonts w:eastAsia="Times New Roman"/>
                <w:color w:val="000000"/>
                <w:lang w:val="en-IN" w:eastAsia="en-IN"/>
              </w:rPr>
              <w:t xml:space="preserve"> patterns, and optimization recommendations with narrative captions.</w:t>
            </w:r>
          </w:p>
        </w:tc>
      </w:tr>
    </w:tbl>
    <w:p w14:paraId="0DE96733" w14:textId="77777777" w:rsidR="004F74E8" w:rsidRDefault="004F74E8">
      <w:pPr>
        <w:pStyle w:val="BodyText"/>
      </w:pPr>
    </w:p>
    <w:p w14:paraId="4E28C7A6" w14:textId="77777777" w:rsidR="004F74E8" w:rsidRDefault="004F74E8">
      <w:pPr>
        <w:pStyle w:val="BodyText"/>
      </w:pPr>
    </w:p>
    <w:p w14:paraId="039A0AE2" w14:textId="77777777" w:rsidR="004F74E8" w:rsidRDefault="004F74E8">
      <w:pPr>
        <w:pStyle w:val="BodyText"/>
      </w:pPr>
    </w:p>
    <w:p w14:paraId="47A03F31" w14:textId="77777777" w:rsidR="004F74E8" w:rsidRDefault="004F74E8">
      <w:pPr>
        <w:pStyle w:val="BodyText"/>
        <w:spacing w:before="11"/>
      </w:pPr>
    </w:p>
    <w:p w14:paraId="69A51264" w14:textId="77777777" w:rsidR="004F74E8" w:rsidRDefault="00A85977">
      <w:pPr>
        <w:pStyle w:val="Heading1"/>
      </w:pPr>
      <w:r>
        <w:rPr>
          <w:spacing w:val="-2"/>
        </w:rPr>
        <w:t>Non-functional</w:t>
      </w:r>
      <w:r>
        <w:rPr>
          <w:spacing w:val="13"/>
        </w:rPr>
        <w:t xml:space="preserve"> </w:t>
      </w:r>
      <w:r>
        <w:rPr>
          <w:spacing w:val="-2"/>
        </w:rPr>
        <w:t>Requirements:</w:t>
      </w:r>
    </w:p>
    <w:p w14:paraId="7CBF6D20" w14:textId="77777777" w:rsidR="004F74E8" w:rsidRDefault="00A85977">
      <w:pPr>
        <w:pStyle w:val="BodyText"/>
        <w:spacing w:before="181"/>
        <w:ind w:left="23"/>
        <w:rPr>
          <w:spacing w:val="-2"/>
        </w:rPr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non-functional</w:t>
      </w:r>
      <w:r>
        <w:rPr>
          <w:spacing w:val="-9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"/>
        <w:gridCol w:w="2000"/>
        <w:gridCol w:w="6140"/>
      </w:tblGrid>
      <w:tr w:rsidR="00CC06F3" w:rsidRPr="00CC06F3" w14:paraId="24F1C820" w14:textId="77777777" w:rsidTr="00CC06F3">
        <w:trPr>
          <w:trHeight w:val="576"/>
        </w:trPr>
        <w:tc>
          <w:tcPr>
            <w:tcW w:w="1480" w:type="dxa"/>
            <w:vAlign w:val="center"/>
            <w:hideMark/>
          </w:tcPr>
          <w:p w14:paraId="123642AF" w14:textId="77777777" w:rsidR="00CC06F3" w:rsidRPr="00CC06F3" w:rsidRDefault="00CC06F3" w:rsidP="00CC06F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NFR No.</w:t>
            </w:r>
          </w:p>
        </w:tc>
        <w:tc>
          <w:tcPr>
            <w:tcW w:w="2000" w:type="dxa"/>
            <w:vAlign w:val="center"/>
            <w:hideMark/>
          </w:tcPr>
          <w:p w14:paraId="46A8DF7B" w14:textId="77777777" w:rsidR="00CC06F3" w:rsidRPr="00CC06F3" w:rsidRDefault="00CC06F3" w:rsidP="00CC06F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Non-Functional Requirement</w:t>
            </w:r>
          </w:p>
        </w:tc>
        <w:tc>
          <w:tcPr>
            <w:tcW w:w="6140" w:type="dxa"/>
            <w:vAlign w:val="center"/>
            <w:hideMark/>
          </w:tcPr>
          <w:p w14:paraId="57925C75" w14:textId="77777777" w:rsidR="00CC06F3" w:rsidRPr="00CC06F3" w:rsidRDefault="00CC06F3" w:rsidP="00CC06F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</w:tr>
      <w:tr w:rsidR="00CC06F3" w:rsidRPr="00CC06F3" w14:paraId="249D58EB" w14:textId="77777777" w:rsidTr="00CC06F3">
        <w:trPr>
          <w:trHeight w:val="576"/>
        </w:trPr>
        <w:tc>
          <w:tcPr>
            <w:tcW w:w="1480" w:type="dxa"/>
            <w:vAlign w:val="center"/>
            <w:hideMark/>
          </w:tcPr>
          <w:p w14:paraId="6A97425F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NFR-1</w:t>
            </w:r>
          </w:p>
        </w:tc>
        <w:tc>
          <w:tcPr>
            <w:tcW w:w="2000" w:type="dxa"/>
            <w:vAlign w:val="center"/>
            <w:hideMark/>
          </w:tcPr>
          <w:p w14:paraId="47DA330B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Performance</w:t>
            </w:r>
          </w:p>
        </w:tc>
        <w:tc>
          <w:tcPr>
            <w:tcW w:w="6140" w:type="dxa"/>
            <w:vAlign w:val="center"/>
            <w:hideMark/>
          </w:tcPr>
          <w:p w14:paraId="18E5027E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Dashboard must load within 3–5 seconds even when applying filters (vehicle, region, date range).</w:t>
            </w:r>
          </w:p>
        </w:tc>
      </w:tr>
      <w:tr w:rsidR="00CC06F3" w:rsidRPr="00CC06F3" w14:paraId="2EB1488D" w14:textId="77777777" w:rsidTr="00CC06F3">
        <w:trPr>
          <w:trHeight w:val="576"/>
        </w:trPr>
        <w:tc>
          <w:tcPr>
            <w:tcW w:w="1480" w:type="dxa"/>
            <w:vAlign w:val="center"/>
            <w:hideMark/>
          </w:tcPr>
          <w:p w14:paraId="4368EB3D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NFR-2</w:t>
            </w:r>
          </w:p>
        </w:tc>
        <w:tc>
          <w:tcPr>
            <w:tcW w:w="2000" w:type="dxa"/>
            <w:vAlign w:val="center"/>
            <w:hideMark/>
          </w:tcPr>
          <w:p w14:paraId="2B156205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Scalability</w:t>
            </w:r>
          </w:p>
        </w:tc>
        <w:tc>
          <w:tcPr>
            <w:tcW w:w="6140" w:type="dxa"/>
            <w:vAlign w:val="center"/>
            <w:hideMark/>
          </w:tcPr>
          <w:p w14:paraId="6E5E3201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System should support additional EVs, new charging stations, and extended historical data without performance degradation.</w:t>
            </w:r>
          </w:p>
        </w:tc>
      </w:tr>
      <w:tr w:rsidR="00CC06F3" w:rsidRPr="00CC06F3" w14:paraId="43E76798" w14:textId="77777777" w:rsidTr="00CC06F3">
        <w:trPr>
          <w:trHeight w:val="576"/>
        </w:trPr>
        <w:tc>
          <w:tcPr>
            <w:tcW w:w="1480" w:type="dxa"/>
            <w:vAlign w:val="center"/>
            <w:hideMark/>
          </w:tcPr>
          <w:p w14:paraId="62390A2F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NFR-3</w:t>
            </w:r>
          </w:p>
        </w:tc>
        <w:tc>
          <w:tcPr>
            <w:tcW w:w="2000" w:type="dxa"/>
            <w:vAlign w:val="center"/>
            <w:hideMark/>
          </w:tcPr>
          <w:p w14:paraId="4148996C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Responsiveness</w:t>
            </w:r>
          </w:p>
        </w:tc>
        <w:tc>
          <w:tcPr>
            <w:tcW w:w="6140" w:type="dxa"/>
            <w:vAlign w:val="center"/>
            <w:hideMark/>
          </w:tcPr>
          <w:p w14:paraId="193290BD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Dashboard layout must be suitable for laptops, large screens, and projectors during stakeholder presentations.</w:t>
            </w:r>
          </w:p>
        </w:tc>
      </w:tr>
      <w:tr w:rsidR="00CC06F3" w:rsidRPr="00CC06F3" w14:paraId="4A1DBB3F" w14:textId="77777777" w:rsidTr="00CC06F3">
        <w:trPr>
          <w:trHeight w:val="576"/>
        </w:trPr>
        <w:tc>
          <w:tcPr>
            <w:tcW w:w="1480" w:type="dxa"/>
            <w:vAlign w:val="center"/>
            <w:hideMark/>
          </w:tcPr>
          <w:p w14:paraId="1F7E1042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NFR-4</w:t>
            </w:r>
          </w:p>
        </w:tc>
        <w:tc>
          <w:tcPr>
            <w:tcW w:w="2000" w:type="dxa"/>
            <w:vAlign w:val="center"/>
            <w:hideMark/>
          </w:tcPr>
          <w:p w14:paraId="424265E1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Accessibility</w:t>
            </w:r>
          </w:p>
        </w:tc>
        <w:tc>
          <w:tcPr>
            <w:tcW w:w="6140" w:type="dxa"/>
            <w:vAlign w:val="center"/>
            <w:hideMark/>
          </w:tcPr>
          <w:p w14:paraId="084B4188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Interface should be intuitive, simple, and usable by non-technical stakeholders such as fleet managers and executives.</w:t>
            </w:r>
          </w:p>
        </w:tc>
      </w:tr>
      <w:tr w:rsidR="00CC06F3" w:rsidRPr="00CC06F3" w14:paraId="2EF35F26" w14:textId="77777777" w:rsidTr="00CC06F3">
        <w:trPr>
          <w:trHeight w:val="576"/>
        </w:trPr>
        <w:tc>
          <w:tcPr>
            <w:tcW w:w="1480" w:type="dxa"/>
            <w:vAlign w:val="center"/>
            <w:hideMark/>
          </w:tcPr>
          <w:p w14:paraId="71A54C9B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NFR-5</w:t>
            </w:r>
          </w:p>
        </w:tc>
        <w:tc>
          <w:tcPr>
            <w:tcW w:w="2000" w:type="dxa"/>
            <w:vAlign w:val="center"/>
            <w:hideMark/>
          </w:tcPr>
          <w:p w14:paraId="6D78C5A6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Usability</w:t>
            </w:r>
          </w:p>
        </w:tc>
        <w:tc>
          <w:tcPr>
            <w:tcW w:w="6140" w:type="dxa"/>
            <w:vAlign w:val="center"/>
            <w:hideMark/>
          </w:tcPr>
          <w:p w14:paraId="4D436E82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 xml:space="preserve">Use a clean, professional theme with readable fonts, clear legends, and consistent </w:t>
            </w:r>
            <w:proofErr w:type="spellStart"/>
            <w:r w:rsidRPr="00CC06F3">
              <w:rPr>
                <w:rFonts w:eastAsia="Times New Roman"/>
                <w:color w:val="000000"/>
                <w:lang w:val="en-IN" w:eastAsia="en-IN"/>
              </w:rPr>
              <w:t>color</w:t>
            </w:r>
            <w:proofErr w:type="spellEnd"/>
            <w:r w:rsidRPr="00CC06F3">
              <w:rPr>
                <w:rFonts w:eastAsia="Times New Roman"/>
                <w:color w:val="000000"/>
                <w:lang w:val="en-IN" w:eastAsia="en-IN"/>
              </w:rPr>
              <w:t xml:space="preserve"> coding for battery, range, and energy metrics.</w:t>
            </w:r>
          </w:p>
        </w:tc>
      </w:tr>
      <w:tr w:rsidR="00CC06F3" w:rsidRPr="00CC06F3" w14:paraId="4B29E578" w14:textId="77777777" w:rsidTr="00CC06F3">
        <w:trPr>
          <w:trHeight w:val="576"/>
        </w:trPr>
        <w:tc>
          <w:tcPr>
            <w:tcW w:w="1480" w:type="dxa"/>
            <w:vAlign w:val="center"/>
            <w:hideMark/>
          </w:tcPr>
          <w:p w14:paraId="4995FA30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NFR-6</w:t>
            </w:r>
          </w:p>
        </w:tc>
        <w:tc>
          <w:tcPr>
            <w:tcW w:w="2000" w:type="dxa"/>
            <w:vAlign w:val="center"/>
            <w:hideMark/>
          </w:tcPr>
          <w:p w14:paraId="19ABE4EC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Data Accuracy</w:t>
            </w:r>
          </w:p>
        </w:tc>
        <w:tc>
          <w:tcPr>
            <w:tcW w:w="6140" w:type="dxa"/>
            <w:vAlign w:val="center"/>
            <w:hideMark/>
          </w:tcPr>
          <w:p w14:paraId="7279F145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All KPIs (Average Range, Efficiency, Energy Consumption) must be validated against raw EV datasets before publishing.</w:t>
            </w:r>
          </w:p>
        </w:tc>
      </w:tr>
      <w:tr w:rsidR="00CC06F3" w:rsidRPr="00CC06F3" w14:paraId="68D93422" w14:textId="77777777" w:rsidTr="00CC06F3">
        <w:trPr>
          <w:trHeight w:val="576"/>
        </w:trPr>
        <w:tc>
          <w:tcPr>
            <w:tcW w:w="1480" w:type="dxa"/>
            <w:vAlign w:val="center"/>
            <w:hideMark/>
          </w:tcPr>
          <w:p w14:paraId="2154FABF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NFR-7</w:t>
            </w:r>
          </w:p>
        </w:tc>
        <w:tc>
          <w:tcPr>
            <w:tcW w:w="2000" w:type="dxa"/>
            <w:vAlign w:val="center"/>
            <w:hideMark/>
          </w:tcPr>
          <w:p w14:paraId="5424362C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Security</w:t>
            </w:r>
          </w:p>
        </w:tc>
        <w:tc>
          <w:tcPr>
            <w:tcW w:w="6140" w:type="dxa"/>
            <w:vAlign w:val="center"/>
            <w:hideMark/>
          </w:tcPr>
          <w:p w14:paraId="0C3F0616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Access to dashboard data must be restricted to authorized users when deployed on Tableau Server or cloud platform.</w:t>
            </w:r>
          </w:p>
        </w:tc>
      </w:tr>
      <w:tr w:rsidR="00CC06F3" w:rsidRPr="00CC06F3" w14:paraId="13DE5540" w14:textId="77777777" w:rsidTr="00CC06F3">
        <w:trPr>
          <w:trHeight w:val="576"/>
        </w:trPr>
        <w:tc>
          <w:tcPr>
            <w:tcW w:w="1480" w:type="dxa"/>
            <w:vAlign w:val="center"/>
            <w:hideMark/>
          </w:tcPr>
          <w:p w14:paraId="6FB1FAC1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b/>
                <w:bCs/>
                <w:color w:val="000000"/>
                <w:lang w:val="en-IN" w:eastAsia="en-IN"/>
              </w:rPr>
              <w:t>NFR-8</w:t>
            </w:r>
          </w:p>
        </w:tc>
        <w:tc>
          <w:tcPr>
            <w:tcW w:w="2000" w:type="dxa"/>
            <w:vAlign w:val="center"/>
            <w:hideMark/>
          </w:tcPr>
          <w:p w14:paraId="19EDA85D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Reliability</w:t>
            </w:r>
          </w:p>
        </w:tc>
        <w:tc>
          <w:tcPr>
            <w:tcW w:w="6140" w:type="dxa"/>
            <w:vAlign w:val="center"/>
            <w:hideMark/>
          </w:tcPr>
          <w:p w14:paraId="4D60C124" w14:textId="77777777" w:rsidR="00CC06F3" w:rsidRPr="00CC06F3" w:rsidRDefault="00CC06F3" w:rsidP="00CC06F3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CC06F3">
              <w:rPr>
                <w:rFonts w:eastAsia="Times New Roman"/>
                <w:color w:val="000000"/>
                <w:lang w:val="en-IN" w:eastAsia="en-IN"/>
              </w:rPr>
              <w:t>Dashboard should handle missing or incomplete charging data without system crashes or incorrect calculations.</w:t>
            </w:r>
          </w:p>
        </w:tc>
      </w:tr>
    </w:tbl>
    <w:p w14:paraId="4B4E43DB" w14:textId="77777777" w:rsidR="00CC06F3" w:rsidRDefault="00CC06F3">
      <w:pPr>
        <w:pStyle w:val="BodyText"/>
        <w:spacing w:before="181"/>
        <w:ind w:left="23"/>
      </w:pPr>
    </w:p>
    <w:p w14:paraId="56CA6CEB" w14:textId="77777777" w:rsidR="004F74E8" w:rsidRDefault="004F74E8">
      <w:pPr>
        <w:pStyle w:val="BodyText"/>
        <w:rPr>
          <w:sz w:val="14"/>
        </w:rPr>
      </w:pPr>
    </w:p>
    <w:p w14:paraId="0D016269" w14:textId="77777777" w:rsidR="004F74E8" w:rsidRDefault="004F74E8">
      <w:pPr>
        <w:pStyle w:val="TableParagraph"/>
        <w:spacing w:line="270" w:lineRule="atLeast"/>
        <w:sectPr w:rsidR="004F74E8">
          <w:type w:val="continuous"/>
          <w:pgSz w:w="11920" w:h="16840"/>
          <w:pgMar w:top="820" w:right="992" w:bottom="280" w:left="1417" w:header="720" w:footer="720" w:gutter="0"/>
          <w:cols w:space="720"/>
        </w:sectPr>
      </w:pPr>
    </w:p>
    <w:p w14:paraId="092909B3" w14:textId="77777777" w:rsidR="004F74E8" w:rsidRDefault="004F74E8">
      <w:pPr>
        <w:pStyle w:val="BodyText"/>
        <w:spacing w:before="4"/>
        <w:rPr>
          <w:sz w:val="16"/>
        </w:rPr>
      </w:pPr>
    </w:p>
    <w:sectPr w:rsidR="004F74E8">
      <w:pgSz w:w="11920" w:h="16840"/>
      <w:pgMar w:top="19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E8"/>
    <w:rsid w:val="00092A53"/>
    <w:rsid w:val="004A3CEE"/>
    <w:rsid w:val="004B491E"/>
    <w:rsid w:val="004F74E8"/>
    <w:rsid w:val="00526A26"/>
    <w:rsid w:val="009C2AE1"/>
    <w:rsid w:val="00A85977"/>
    <w:rsid w:val="00CC06F3"/>
    <w:rsid w:val="00D72E7D"/>
    <w:rsid w:val="00F81471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F9E1"/>
  <w15:docId w15:val="{EFCE87B3-C3E6-4BD5-8872-66ADE57A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3"/>
      <w:ind w:right="43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Requirements.docx</vt:lpstr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creator>Shavan kumar</dc:creator>
  <cp:lastModifiedBy>gokulsai68745@gmail.com</cp:lastModifiedBy>
  <cp:revision>2</cp:revision>
  <dcterms:created xsi:type="dcterms:W3CDTF">2026-02-15T09:10:00Z</dcterms:created>
  <dcterms:modified xsi:type="dcterms:W3CDTF">2026-02-15T09:10:00Z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