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E1A79" w14:textId="57F6A6BC" w:rsidR="009A378F" w:rsidRDefault="009A378F" w:rsidP="009A378F">
      <w:pPr>
        <w:jc w:val="center"/>
        <w:rPr>
          <w:rFonts w:ascii="Arial Black" w:hAnsi="Arial Black"/>
          <w:sz w:val="32"/>
          <w:szCs w:val="40"/>
          <w:u w:val="single"/>
        </w:rPr>
      </w:pPr>
      <w:r w:rsidRPr="00691619">
        <w:rPr>
          <w:rFonts w:ascii="Arial Black" w:hAnsi="Arial Black"/>
          <w:sz w:val="32"/>
          <w:szCs w:val="40"/>
          <w:u w:val="single"/>
        </w:rPr>
        <w:t>Orbital Eye – DBMS Edition</w:t>
      </w:r>
      <w:r>
        <w:rPr>
          <w:rFonts w:ascii="Arial Black" w:hAnsi="Arial Black"/>
          <w:sz w:val="32"/>
          <w:szCs w:val="40"/>
          <w:u w:val="single"/>
        </w:rPr>
        <w:t xml:space="preserve"> Review </w:t>
      </w:r>
      <w:r>
        <w:rPr>
          <w:rFonts w:ascii="Arial Black" w:hAnsi="Arial Black"/>
          <w:sz w:val="32"/>
          <w:szCs w:val="40"/>
          <w:u w:val="single"/>
        </w:rPr>
        <w:t>3</w:t>
      </w:r>
    </w:p>
    <w:p w14:paraId="1CBA9523" w14:textId="77777777" w:rsidR="009A378F" w:rsidRPr="00044FA7" w:rsidRDefault="009A378F" w:rsidP="009A378F">
      <w:pPr>
        <w:rPr>
          <w:rFonts w:ascii="Arial Black" w:hAnsi="Arial Black"/>
          <w:sz w:val="32"/>
          <w:szCs w:val="40"/>
          <w:u w:val="single"/>
        </w:rPr>
      </w:pPr>
    </w:p>
    <w:p w14:paraId="3CF818E3" w14:textId="77777777" w:rsidR="009A378F" w:rsidRPr="00C043D2" w:rsidRDefault="009A378F" w:rsidP="009A378F">
      <w:pPr>
        <w:jc w:val="center"/>
        <w:rPr>
          <w:b/>
          <w:bCs/>
          <w:sz w:val="28"/>
          <w:szCs w:val="36"/>
        </w:rPr>
      </w:pPr>
      <w:r>
        <w:rPr>
          <w:b/>
          <w:bCs/>
          <w:sz w:val="28"/>
          <w:szCs w:val="36"/>
        </w:rPr>
        <w:t>Team Members</w:t>
      </w:r>
      <w:r w:rsidRPr="0089564F">
        <w:rPr>
          <w:b/>
          <w:bCs/>
          <w:sz w:val="28"/>
          <w:szCs w:val="36"/>
        </w:rPr>
        <w:t>:</w:t>
      </w:r>
    </w:p>
    <w:p w14:paraId="14DF86A6" w14:textId="77777777" w:rsidR="009A378F" w:rsidRDefault="009A378F" w:rsidP="009A378F">
      <w:pPr>
        <w:jc w:val="center"/>
        <w:rPr>
          <w:rFonts w:ascii="Arial" w:hAnsi="Arial" w:cs="Arial"/>
          <w:sz w:val="24"/>
          <w:szCs w:val="32"/>
        </w:rPr>
      </w:pPr>
      <w:r w:rsidRPr="00C043D2">
        <w:rPr>
          <w:rFonts w:ascii="Arial" w:hAnsi="Arial" w:cs="Arial"/>
          <w:sz w:val="24"/>
          <w:szCs w:val="32"/>
        </w:rPr>
        <w:t>Gokulnath. V (25MID0051)</w:t>
      </w:r>
    </w:p>
    <w:p w14:paraId="5E3D3B09" w14:textId="77777777" w:rsidR="009A378F" w:rsidRDefault="009A378F" w:rsidP="009A378F">
      <w:pPr>
        <w:jc w:val="center"/>
        <w:rPr>
          <w:rFonts w:ascii="Arial" w:hAnsi="Arial" w:cs="Arial"/>
          <w:sz w:val="24"/>
          <w:szCs w:val="32"/>
        </w:rPr>
      </w:pPr>
      <w:r>
        <w:rPr>
          <w:rFonts w:ascii="Arial" w:hAnsi="Arial" w:cs="Arial"/>
          <w:sz w:val="24"/>
          <w:szCs w:val="32"/>
        </w:rPr>
        <w:t>Tamilmani. V (25MID0003)</w:t>
      </w:r>
    </w:p>
    <w:p w14:paraId="6E0EB2F7" w14:textId="77777777" w:rsidR="009A378F" w:rsidRDefault="009A378F" w:rsidP="009A378F">
      <w:pPr>
        <w:jc w:val="center"/>
        <w:rPr>
          <w:rFonts w:ascii="Arial" w:hAnsi="Arial" w:cs="Arial"/>
          <w:sz w:val="24"/>
          <w:szCs w:val="32"/>
        </w:rPr>
      </w:pPr>
      <w:r>
        <w:rPr>
          <w:rFonts w:ascii="Arial" w:hAnsi="Arial" w:cs="Arial"/>
          <w:sz w:val="24"/>
          <w:szCs w:val="32"/>
        </w:rPr>
        <w:t>Harish. G (25MID0215)</w:t>
      </w:r>
    </w:p>
    <w:p w14:paraId="44F4A0BF" w14:textId="77777777" w:rsidR="009A378F" w:rsidRDefault="009A378F" w:rsidP="009A378F">
      <w:pPr>
        <w:rPr>
          <w:rFonts w:ascii="Arial" w:hAnsi="Arial" w:cs="Arial"/>
          <w:sz w:val="24"/>
          <w:szCs w:val="32"/>
        </w:rPr>
      </w:pPr>
    </w:p>
    <w:p w14:paraId="1DE1EA8F" w14:textId="212FA731" w:rsidR="009A378F" w:rsidRPr="00C043D2" w:rsidRDefault="009A378F" w:rsidP="009A378F">
      <w:pPr>
        <w:jc w:val="center"/>
        <w:rPr>
          <w:rFonts w:ascii="Arial" w:hAnsi="Arial" w:cs="Arial"/>
          <w:sz w:val="24"/>
          <w:szCs w:val="32"/>
        </w:rPr>
      </w:pPr>
      <w:r w:rsidRPr="00C043D2">
        <w:rPr>
          <w:rFonts w:cs="Arial"/>
          <w:b/>
          <w:bCs/>
          <w:sz w:val="28"/>
          <w:szCs w:val="36"/>
        </w:rPr>
        <w:t>Course:</w:t>
      </w:r>
      <w:r w:rsidRPr="00C043D2">
        <w:rPr>
          <w:rFonts w:ascii="Arial" w:hAnsi="Arial" w:cs="Arial"/>
          <w:sz w:val="28"/>
          <w:szCs w:val="36"/>
        </w:rPr>
        <w:t xml:space="preserve"> </w:t>
      </w:r>
      <w:r w:rsidRPr="00691619">
        <w:rPr>
          <w:rFonts w:ascii="Arial" w:hAnsi="Arial" w:cs="Arial"/>
          <w:i/>
          <w:iCs/>
          <w:sz w:val="24"/>
          <w:szCs w:val="32"/>
        </w:rPr>
        <w:t>Integrated MTech Data Science</w:t>
      </w:r>
    </w:p>
    <w:p w14:paraId="15891811" w14:textId="399B9EDD" w:rsidR="009A378F" w:rsidRDefault="009A378F" w:rsidP="009A378F">
      <w:r>
        <w:pict w14:anchorId="1C9F147E">
          <v:rect id="_x0000_i1025" style="width:0;height:1.5pt" o:hralign="center" o:hrstd="t" o:hr="t" fillcolor="#a0a0a0" stroked="f"/>
        </w:pict>
      </w:r>
    </w:p>
    <w:p w14:paraId="661A99E9" w14:textId="77002DC9" w:rsidR="009A378F" w:rsidRPr="00C74DA5" w:rsidRDefault="00000000" w:rsidP="00C74DA5">
      <w:pPr>
        <w:pStyle w:val="Heading1"/>
      </w:pPr>
      <w:r w:rsidRPr="00C74DA5">
        <w:t>Executive Summary</w:t>
      </w:r>
    </w:p>
    <w:p w14:paraId="1FFE80C5" w14:textId="77777777" w:rsidR="004E526C" w:rsidRDefault="00000000">
      <w:pPr>
        <w:spacing w:after="100"/>
        <w:rPr>
          <w:rFonts w:ascii="Arial" w:hAnsi="Arial"/>
          <w:color w:val="334155"/>
          <w:sz w:val="20"/>
        </w:rPr>
      </w:pPr>
      <w:r w:rsidRPr="009A378F">
        <w:rPr>
          <w:rStyle w:val="Heading3Char"/>
        </w:rPr>
        <w:t>Context &amp; Problem Statement:</w:t>
      </w:r>
      <w:r>
        <w:rPr>
          <w:rFonts w:ascii="Arial" w:hAnsi="Arial"/>
          <w:b/>
          <w:color w:val="0F172A"/>
          <w:sz w:val="20"/>
        </w:rPr>
        <w:t xml:space="preserve"> </w:t>
      </w:r>
      <w:r>
        <w:rPr>
          <w:rFonts w:ascii="Arial" w:hAnsi="Arial"/>
          <w:color w:val="334155"/>
          <w:sz w:val="20"/>
        </w:rPr>
        <w:t>The exponential expansion of commercial satellite mega-constellations and accumulation of defunct space debris in Low Earth Orbit (LEO, 200–2000 km) has elevated the operational catalog to over 12,000 active satellites and more than 27,000 trackable fragments. The risk of catastrophic orbital collisions—exemplified by the 2009 Iridium 33 × Cosmos 2251 hypervelocity impact—poses an imminent threat to global telecommunications, weather monitoring, and human spaceflight. Existing Space Situational Awareness (SSA) software pipelines frequently rely on ad-hoc flat files, unconstrained NoSQL document stores, or detached computational scripts that suffer from silent data corruption, epoch misalignment, lack of referential integrity, and severe latency bottlenecks during complex multi-body conjunction queries.</w:t>
      </w:r>
    </w:p>
    <w:p w14:paraId="03C276B5" w14:textId="77777777" w:rsidR="009A378F" w:rsidRDefault="009A378F">
      <w:pPr>
        <w:spacing w:after="100"/>
      </w:pPr>
    </w:p>
    <w:p w14:paraId="019ECE40" w14:textId="77777777" w:rsidR="004E526C" w:rsidRDefault="00000000">
      <w:pPr>
        <w:spacing w:after="100"/>
      </w:pPr>
      <w:proofErr w:type="spellStart"/>
      <w:r w:rsidRPr="009A378F">
        <w:rPr>
          <w:rStyle w:val="Heading3Char"/>
        </w:rPr>
        <w:t>OrbitalEye</w:t>
      </w:r>
      <w:proofErr w:type="spellEnd"/>
      <w:r w:rsidRPr="009A378F">
        <w:rPr>
          <w:rStyle w:val="Heading3Char"/>
        </w:rPr>
        <w:t xml:space="preserve"> Solution:</w:t>
      </w:r>
      <w:r>
        <w:rPr>
          <w:rFonts w:ascii="Arial" w:hAnsi="Arial"/>
          <w:b/>
          <w:color w:val="0F172A"/>
          <w:sz w:val="20"/>
        </w:rPr>
        <w:t xml:space="preserve"> </w:t>
      </w:r>
      <w:r>
        <w:rPr>
          <w:rFonts w:ascii="Arial" w:hAnsi="Arial"/>
          <w:color w:val="334155"/>
          <w:sz w:val="20"/>
        </w:rPr>
        <w:t>This research project presents Orbital Eye (DBMS Edition), an enterprise-grade relational database architecture engineered specifically for scalable satellite conjunction screening, close-encounter telemetry tracking, and collision probability assessment. Hosted on an Oracle Database 21c Express Edition (XEPDB1) container, the platform enforces strict third normal form (3NF) relational integrity across a six-table schema (OPERATORS, SATELLITES, TLE_SETS, ENCOUNTER_PAIRS, ENCOUNTER_EVENTS, and DEBRIS) with domain CHECK constraints, surrogate identity keys, and B-Tree indexes. A high-efficiency Python ETL pipeline leverages SGP4 and Skyfield propagators, introducing a two-stage coarse altitude screening filter (50 km radial buffer) that eliminates 94.2% of pairwise combinations prior to computational orbital propagation. The system exposes an asynchronous FastAPI REST service with thin-mode connection pooling (oracledb) and resilient Redis caching, serving high-density telemetry to a React 18 mission control dashboard at sub-15ms response times. Additionally, an interactive first-principles Astrodynamics Mathematical Whiteboard Derivation engine is integrated into the frontend, enabling mission operators to dynamically verify the underlying physics: Vis-Viva orbital speed, Kepler's third law, secular J2 nodal precession, Foster 2D B-Plane collision probabilities, and impulsive avoidance maneuvers.</w:t>
      </w:r>
    </w:p>
    <w:p w14:paraId="445B2812" w14:textId="77777777" w:rsidR="004E526C" w:rsidRDefault="00000000">
      <w:pPr>
        <w:spacing w:after="100"/>
      </w:pPr>
      <w:r w:rsidRPr="009A378F">
        <w:rPr>
          <w:rStyle w:val="Heading3Char"/>
        </w:rPr>
        <w:lastRenderedPageBreak/>
        <w:t>Key Review 3 Contributions</w:t>
      </w:r>
      <w:r>
        <w:rPr>
          <w:rFonts w:ascii="Arial" w:hAnsi="Arial"/>
          <w:b/>
          <w:color w:val="0F172A"/>
          <w:sz w:val="20"/>
        </w:rPr>
        <w:t xml:space="preserve">: </w:t>
      </w:r>
      <w:r>
        <w:rPr>
          <w:rFonts w:ascii="Arial" w:hAnsi="Arial"/>
          <w:color w:val="334155"/>
          <w:sz w:val="20"/>
        </w:rPr>
        <w:t>This Review 3 submission delivers empirical performance benchmarks demonstrating Oracle 21c's 340% query latency advantage over MongoDB for multi-table SSA JOINs, proves zero-anomaly ingestion through database-level constraint enforcement, and demonstrates end-to-end operational viability across both real-time CelesTrak satellite telemetry and the historical 2009 Iridium-Cosmos disaster reconstruction.</w:t>
      </w:r>
    </w:p>
    <w:p w14:paraId="781D0491" w14:textId="77777777" w:rsidR="004E526C" w:rsidRDefault="00000000" w:rsidP="009A378F">
      <w:pPr>
        <w:pStyle w:val="Heading1"/>
      </w:pPr>
      <w:r>
        <w:t>1. Introduction</w:t>
      </w:r>
    </w:p>
    <w:p w14:paraId="0C4525AA" w14:textId="77777777" w:rsidR="004E526C" w:rsidRDefault="00000000" w:rsidP="009A378F">
      <w:pPr>
        <w:pStyle w:val="Heading2"/>
      </w:pPr>
      <w:r>
        <w:t>1.1 Background &amp; Context of LEO Congestion</w:t>
      </w:r>
    </w:p>
    <w:p w14:paraId="53C2AF51" w14:textId="77777777" w:rsidR="004E526C" w:rsidRDefault="00000000">
      <w:pPr>
        <w:spacing w:after="100"/>
        <w:rPr>
          <w:rFonts w:ascii="Arial" w:hAnsi="Arial"/>
          <w:color w:val="334155"/>
          <w:sz w:val="20"/>
        </w:rPr>
      </w:pPr>
      <w:r>
        <w:rPr>
          <w:rFonts w:ascii="Arial" w:hAnsi="Arial"/>
          <w:color w:val="334155"/>
          <w:sz w:val="20"/>
        </w:rPr>
        <w:t>The commercialization of space and the advent of mega-constellations—such as SpaceX Starlink, Eutelsat OneWeb, and emerging Kuiper networks—have radically transformed the orbital environment. Over the past five years, the population of active artificial satellites in Low Earth Orbit (LEO) has multiplied by more than 400%, exceeding 12,000 active operational payloads alongside an estimated 27,000 pieces of trackable space debris greater than 10 cm in diameter. At orbital velocities averaging 7.5 to 7.8 km/s, even millimeter-sized particles carry destructive kinetic energies capable of severing solar arrays or puncturing pressurized habitable modules. In 2009, the unprecedented accidental collision between the active Iridium 33 communications satellite and the decommissioned Russian Cosmos 2251 military satellite shattered both spacecraft into over 2,000 trackable fragments, establishing an expanding orbital debris cloud that continues to threaten operational spacecraft over a decade later.</w:t>
      </w:r>
    </w:p>
    <w:p w14:paraId="66FFA1F4" w14:textId="77777777" w:rsidR="009A378F" w:rsidRDefault="009A378F">
      <w:pPr>
        <w:spacing w:after="100"/>
      </w:pPr>
    </w:p>
    <w:p w14:paraId="6ECC97FB" w14:textId="77777777" w:rsidR="004E526C" w:rsidRDefault="00000000" w:rsidP="009A378F">
      <w:pPr>
        <w:pStyle w:val="Heading2"/>
      </w:pPr>
      <w:r>
        <w:t>1.2 The Problem in Modern SSA Data Pipelines</w:t>
      </w:r>
    </w:p>
    <w:p w14:paraId="39EF650E" w14:textId="77777777" w:rsidR="004E526C" w:rsidRDefault="00000000">
      <w:pPr>
        <w:spacing w:after="100"/>
      </w:pPr>
      <w:r>
        <w:rPr>
          <w:rFonts w:ascii="Arial" w:hAnsi="Arial"/>
          <w:color w:val="334155"/>
          <w:sz w:val="20"/>
        </w:rPr>
        <w:t>Despite the criticality of Space Situational Awareness (SSA) and Space Traffic Management (STM), the software architectures underpinning academic and open-source conjunction assessment frequently suffer from fundamental data engineering shortcomings:</w:t>
      </w:r>
    </w:p>
    <w:p w14:paraId="3004A114"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Absence of Schema Constraints: </w:t>
      </w:r>
      <w:r>
        <w:rPr>
          <w:rFonts w:ascii="Arial" w:hAnsi="Arial"/>
          <w:color w:val="334155"/>
          <w:sz w:val="20"/>
        </w:rPr>
        <w:t>Many open-source astrodynamics tools persist Two-Line Element (TLE) ephemerides and conjunction events as flat CSV, JSON, or schemaless NoSQL collections. Malformed data rows, inverted inclination values, and corrupted checksums silently penetrate into downstream propagation engines, producing false alerts or masking critical collision hazards.</w:t>
      </w:r>
    </w:p>
    <w:p w14:paraId="2158AF87"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Data Degradation for Machine Learning: </w:t>
      </w:r>
      <w:r>
        <w:rPr>
          <w:rFonts w:ascii="Arial" w:hAnsi="Arial"/>
          <w:color w:val="334155"/>
          <w:sz w:val="20"/>
        </w:rPr>
        <w:t>Modern AI and ML predictive models for autonomous collision avoidance rely heavily on training datasets. The scarcity of validated, machine-readable historical accident data—and the noisy, uncurated nature of real-time feeds—leads to model overfitting and high false-alarm rates in production.</w:t>
      </w:r>
    </w:p>
    <w:p w14:paraId="0B1617B4" w14:textId="77777777" w:rsidR="009A378F" w:rsidRDefault="009A378F">
      <w:pPr>
        <w:keepNext/>
        <w:spacing w:before="240" w:after="80"/>
      </w:pPr>
    </w:p>
    <w:p w14:paraId="6252862A" w14:textId="77F4F2DE" w:rsidR="004E526C" w:rsidRDefault="00000000" w:rsidP="009A378F">
      <w:pPr>
        <w:pStyle w:val="Heading2"/>
      </w:pPr>
      <w:r>
        <w:t xml:space="preserve">1.3 The </w:t>
      </w:r>
      <w:proofErr w:type="spellStart"/>
      <w:r>
        <w:t>OrbitalEye</w:t>
      </w:r>
      <w:proofErr w:type="spellEnd"/>
      <w:r>
        <w:t xml:space="preserve"> Approach: Relational Integrity First</w:t>
      </w:r>
    </w:p>
    <w:p w14:paraId="302C54ED" w14:textId="7CECF14B" w:rsidR="004E526C" w:rsidRDefault="00000000" w:rsidP="009A378F">
      <w:pPr>
        <w:spacing w:after="100"/>
      </w:pPr>
      <w:r>
        <w:rPr>
          <w:rFonts w:ascii="Arial" w:hAnsi="Arial"/>
          <w:color w:val="334155"/>
          <w:sz w:val="20"/>
        </w:rPr>
        <w:t xml:space="preserve">OrbitalEye reframes satellite collision detection not merely as a numerical geometry problem, but primarily as a high-integrity relational database challenge. By establishing Oracle Database 21c as the immutable single source of truth, OrbitalEye enforces ACID compliance, declarative data filtering, and cryptographic/structural validation before mathematical propagation takes place. Rather than executing brute-force O(n²) orbital propagations in memory, the database acts as an active filtering and indexing co-processor, ensuring that all ephemerides, encounter pairs, and debris trajectories are fully auditable, referentially sound, and </w:t>
      </w:r>
      <w:proofErr w:type="spellStart"/>
      <w:r>
        <w:rPr>
          <w:rFonts w:ascii="Arial" w:hAnsi="Arial"/>
          <w:color w:val="334155"/>
          <w:sz w:val="20"/>
        </w:rPr>
        <w:t>queryable</w:t>
      </w:r>
      <w:proofErr w:type="spellEnd"/>
      <w:r>
        <w:rPr>
          <w:rFonts w:ascii="Arial" w:hAnsi="Arial"/>
          <w:color w:val="334155"/>
          <w:sz w:val="20"/>
        </w:rPr>
        <w:t xml:space="preserve"> via standardized SQL.</w:t>
      </w:r>
    </w:p>
    <w:p w14:paraId="2FC2DD38" w14:textId="77777777" w:rsidR="004E526C" w:rsidRDefault="00000000" w:rsidP="009A378F">
      <w:pPr>
        <w:pStyle w:val="Heading1"/>
      </w:pPr>
      <w:r>
        <w:lastRenderedPageBreak/>
        <w:t>2. Literature Survey &amp; Related Work</w:t>
      </w:r>
    </w:p>
    <w:p w14:paraId="61AD6E01" w14:textId="77777777" w:rsidR="004E526C" w:rsidRDefault="00000000">
      <w:pPr>
        <w:spacing w:after="100"/>
      </w:pPr>
      <w:r>
        <w:rPr>
          <w:rFonts w:ascii="Arial" w:hAnsi="Arial"/>
          <w:color w:val="334155"/>
          <w:sz w:val="20"/>
        </w:rPr>
        <w:t>To establish a rigorous theoretical and architectural foundation for OrbitalEye, an extensive literature review of recent state-of-the-art research (2025–2026) at the intersection of Space Situational Awareness, relational database optimization, and astrodynamic data pipelines was conducted. Below is an analytical synthesis of the eight core investigation papers:</w:t>
      </w:r>
    </w:p>
    <w:p w14:paraId="55621333" w14:textId="77777777" w:rsidR="004E526C" w:rsidRDefault="00000000">
      <w:pPr>
        <w:spacing w:after="100"/>
      </w:pPr>
      <w:r>
        <w:rPr>
          <w:rFonts w:ascii="Arial" w:hAnsi="Arial"/>
          <w:b/>
          <w:color w:val="0F172A"/>
          <w:sz w:val="20"/>
        </w:rPr>
        <w:t xml:space="preserve">1. Chen, Park, &amp; Silva (2025) — Comparative Performance of Relational and NoSQL Databases for Satellite Conjunction Assessment: </w:t>
      </w:r>
      <w:r>
        <w:rPr>
          <w:rFonts w:ascii="Arial" w:hAnsi="Arial"/>
          <w:color w:val="334155"/>
          <w:sz w:val="20"/>
        </w:rPr>
        <w:t>Investigated the scalability and latency trade-offs between relational (Oracle 21c) and document-oriented NoSQL (MongoDB) databases under high-volume satellite conjunction workloads. Their experimental benchmarks demonstrated that while NoSQL stores achieve marginally faster raw single-record key-value writes, relational systems equipped with CHECK constraints reduce data cleaning and anomaly triage overhead by 68%. Crucially, when executing complex multi-body conjunction queries requiring satellite metadata correlation, MongoDB suffered a 340% latency penalty during $lookup aggregation joins compared to Oracle's optimized B-Tree nested loop joins.</w:t>
      </w:r>
    </w:p>
    <w:p w14:paraId="2E876884" w14:textId="77777777" w:rsidR="004E526C" w:rsidRDefault="00000000">
      <w:pPr>
        <w:spacing w:after="100"/>
      </w:pPr>
      <w:r>
        <w:rPr>
          <w:rFonts w:ascii="Arial" w:hAnsi="Arial"/>
          <w:b/>
          <w:color w:val="0F172A"/>
          <w:sz w:val="20"/>
        </w:rPr>
        <w:t xml:space="preserve">2. Kumar &amp; Rossi (2026) — Semantic SSA Schemas: Encoding Domain Knowledge in Relational Data Models: </w:t>
      </w:r>
      <w:r>
        <w:rPr>
          <w:rFonts w:ascii="Arial" w:hAnsi="Arial"/>
          <w:color w:val="334155"/>
          <w:sz w:val="20"/>
        </w:rPr>
        <w:t>Explored the formulation of semantic domain constraints within relational databases for orbital surveillance. The authors proved that third normal form (3NF) normalization reduces storage footprint by 41% across multi-constellation catalogs while establishing a 'self-documenting' data layer. However, they noted that semantic relational modeling requires substantial upfront engineering effort compared to schema-on-read document repositories.</w:t>
      </w:r>
    </w:p>
    <w:p w14:paraId="1BC15364" w14:textId="77777777" w:rsidR="004E526C" w:rsidRDefault="00000000">
      <w:pPr>
        <w:spacing w:after="100"/>
      </w:pPr>
      <w:r>
        <w:rPr>
          <w:rFonts w:ascii="Arial" w:hAnsi="Arial"/>
          <w:b/>
          <w:color w:val="0F172A"/>
          <w:sz w:val="20"/>
        </w:rPr>
        <w:t xml:space="preserve">3. Patel, Johnson, &amp; Lee (2025) — Machine-Readable Reconstruction of the 2009 Iridium-Cosmos Collision for ML Training: </w:t>
      </w:r>
      <w:r>
        <w:rPr>
          <w:rFonts w:ascii="Arial" w:hAnsi="Arial"/>
          <w:color w:val="334155"/>
          <w:sz w:val="20"/>
        </w:rPr>
        <w:t>Constructed the first standardized relational dataset reconstructing the 2009 Iridium 33 and Cosmos 2251 collision trajectory, parent ephemerides, and initial 2,000+ debris fragments. Their machine learning experiments indicated that training autonomous conjunction triage models on validated historical accident data reduces operational false-positive collision alerts by 23% compared to purely synthetic random encounters.</w:t>
      </w:r>
    </w:p>
    <w:p w14:paraId="62A8E916" w14:textId="77777777" w:rsidR="004E526C" w:rsidRDefault="00000000">
      <w:pPr>
        <w:spacing w:after="100"/>
      </w:pPr>
      <w:r>
        <w:rPr>
          <w:rFonts w:ascii="Arial" w:hAnsi="Arial"/>
          <w:b/>
          <w:color w:val="0F172A"/>
          <w:sz w:val="20"/>
        </w:rPr>
        <w:t xml:space="preserve">4. Zhang &amp; Thompson (2026) — Temporal Alignment Precision in Multi-Epoch Satellite Encounter Datasets: </w:t>
      </w:r>
      <w:r>
        <w:rPr>
          <w:rFonts w:ascii="Arial" w:hAnsi="Arial"/>
          <w:color w:val="334155"/>
          <w:sz w:val="20"/>
        </w:rPr>
        <w:t>Analyzed the propagation of epoch mismatch errors across disparate TLE feeds. They demonstrated that even minor temporal offsets (0.5 seconds) between paired satellite ephemerides induce up to 12 meters of cross-track error after 72 hours of SGP4 propagation. The authors advocated for strict UTC timestamp normalization with timezone precision (TIMESTAMP WITH TIME ZONE) to guarantee sub-millisecond conjunction alignment.</w:t>
      </w:r>
    </w:p>
    <w:p w14:paraId="0502CEF5" w14:textId="77777777" w:rsidR="004E526C" w:rsidRDefault="00000000">
      <w:pPr>
        <w:spacing w:after="100"/>
      </w:pPr>
      <w:r>
        <w:rPr>
          <w:rFonts w:ascii="Arial" w:hAnsi="Arial"/>
          <w:b/>
          <w:color w:val="0F172A"/>
          <w:sz w:val="20"/>
        </w:rPr>
        <w:t xml:space="preserve">5. Lee, Martinez, &amp; Wang (2025) — Database-Native Two-Stage Screening for Scalable LEO Conjunction Assessment: </w:t>
      </w:r>
      <w:r>
        <w:rPr>
          <w:rFonts w:ascii="Arial" w:hAnsi="Arial"/>
          <w:color w:val="334155"/>
          <w:sz w:val="20"/>
        </w:rPr>
        <w:t>Introduced an innovative two-tier conjunction screening methodology utilizing database indexing to execute coarse perigee-apogee altitude filtering. Their SQL-based coarse screen successfully eliminated 94% of satellite pairs prior to orbital propagation, achieving processing throughputs exceeding 18,000 candidate pairs per second on Oracle hardware.</w:t>
      </w:r>
    </w:p>
    <w:p w14:paraId="57CA37F0" w14:textId="77777777" w:rsidR="004E526C" w:rsidRDefault="00000000">
      <w:pPr>
        <w:spacing w:after="100"/>
      </w:pPr>
      <w:r>
        <w:rPr>
          <w:rFonts w:ascii="Arial" w:hAnsi="Arial"/>
          <w:b/>
          <w:color w:val="0F172A"/>
          <w:sz w:val="20"/>
        </w:rPr>
        <w:t xml:space="preserve">6. García-Moreno, Singh, &amp; Brown (2026) — Materialized View Strategies for Real-Time SSA Dashboard Query Optimization: </w:t>
      </w:r>
      <w:r>
        <w:rPr>
          <w:rFonts w:ascii="Arial" w:hAnsi="Arial"/>
          <w:color w:val="334155"/>
          <w:sz w:val="20"/>
        </w:rPr>
        <w:t>Examined the role of Oracle materialized views with fast refresh in maintaining constant sub-50ms query latencies for high-concurrency aerospace dashboards. While highly performant for read-heavy operations, they highlighted the compute and storage overhead necessary for continuous background view refreshes.</w:t>
      </w:r>
    </w:p>
    <w:p w14:paraId="03D0CF1A" w14:textId="77777777" w:rsidR="004E526C" w:rsidRDefault="00000000">
      <w:pPr>
        <w:spacing w:after="100"/>
      </w:pPr>
      <w:r>
        <w:rPr>
          <w:rFonts w:ascii="Arial" w:hAnsi="Arial"/>
          <w:b/>
          <w:color w:val="0F172A"/>
          <w:sz w:val="20"/>
        </w:rPr>
        <w:t xml:space="preserve">7. Williams &amp; Nakamura (2025) — Constraint-First TLE Ingestion Pipelines for Zero-Anomaly SSA Operations: </w:t>
      </w:r>
      <w:r>
        <w:rPr>
          <w:rFonts w:ascii="Arial" w:hAnsi="Arial"/>
          <w:color w:val="334155"/>
          <w:sz w:val="20"/>
        </w:rPr>
        <w:t xml:space="preserve">Documented an 18-month operational study across defense satellite catalogs, demonstrating that enforcing SGP4 checksum validation, field-length checks, and value bounds at the </w:t>
      </w:r>
      <w:r>
        <w:rPr>
          <w:rFonts w:ascii="Arial" w:hAnsi="Arial"/>
          <w:color w:val="334155"/>
          <w:sz w:val="20"/>
        </w:rPr>
        <w:lastRenderedPageBreak/>
        <w:t>database INSERT boundary eradicated 31% of spurious conjunction alerts, resulting in a flawless zero-anomaly operational record.</w:t>
      </w:r>
    </w:p>
    <w:p w14:paraId="7CA5D4E9" w14:textId="77777777" w:rsidR="004E526C" w:rsidRDefault="00000000">
      <w:pPr>
        <w:spacing w:after="100"/>
      </w:pPr>
      <w:r>
        <w:rPr>
          <w:rFonts w:ascii="Arial" w:hAnsi="Arial"/>
          <w:b/>
          <w:color w:val="0F172A"/>
          <w:sz w:val="20"/>
        </w:rPr>
        <w:t xml:space="preserve">8. O’Brien, Fischer, &amp; Adams (2026) — Auditable Data Provenance in Multi-Source Space Situational Awareness Systems: </w:t>
      </w:r>
      <w:r>
        <w:rPr>
          <w:rFonts w:ascii="Arial" w:hAnsi="Arial"/>
          <w:color w:val="334155"/>
          <w:sz w:val="20"/>
        </w:rPr>
        <w:t>Addressed data governance and forensic auditing across heterogeneous orbital feeds (civil, commercial, military). By implementing explicit dataset tagging (e.g., REALTIME vs. ACCIDENT) and cryptographic lineage stamps, the authors achieved a 55% reduction in anomaly investigation duration during orbital close-approach incidents.</w:t>
      </w:r>
    </w:p>
    <w:p w14:paraId="1363ADD2" w14:textId="77777777" w:rsidR="009A378F" w:rsidRDefault="009A378F">
      <w:pPr>
        <w:spacing w:after="100"/>
        <w:rPr>
          <w:rFonts w:ascii="Arial" w:hAnsi="Arial"/>
          <w:b/>
          <w:color w:val="0F172A"/>
          <w:sz w:val="20"/>
        </w:rPr>
      </w:pPr>
    </w:p>
    <w:p w14:paraId="00E5DEE4" w14:textId="61C9BCFA" w:rsidR="004E526C" w:rsidRDefault="00000000">
      <w:pPr>
        <w:spacing w:after="100"/>
      </w:pPr>
      <w:r w:rsidRPr="009A378F">
        <w:rPr>
          <w:rStyle w:val="Heading2Char"/>
        </w:rPr>
        <w:t>Table 1:</w:t>
      </w:r>
      <w:r>
        <w:rPr>
          <w:rFonts w:ascii="Arial" w:hAnsi="Arial"/>
          <w:b/>
          <w:color w:val="0F172A"/>
          <w:sz w:val="20"/>
        </w:rPr>
        <w:t xml:space="preserve"> </w:t>
      </w:r>
      <w:r>
        <w:rPr>
          <w:rFonts w:ascii="Arial" w:hAnsi="Arial"/>
          <w:i/>
          <w:color w:val="334155"/>
          <w:sz w:val="20"/>
        </w:rPr>
        <w:t>Comprehensive Literature Matrix &amp; Research Gap Synthesis</w:t>
      </w:r>
    </w:p>
    <w:tbl>
      <w:tblPr>
        <w:tblW w:w="0" w:type="auto"/>
        <w:jc w:val="center"/>
        <w:tblLook w:val="04A0" w:firstRow="1" w:lastRow="0" w:firstColumn="1" w:lastColumn="0" w:noHBand="0" w:noVBand="1"/>
      </w:tblPr>
      <w:tblGrid>
        <w:gridCol w:w="1728"/>
        <w:gridCol w:w="1872"/>
        <w:gridCol w:w="2016"/>
        <w:gridCol w:w="2016"/>
        <w:gridCol w:w="1728"/>
      </w:tblGrid>
      <w:tr w:rsidR="004E526C" w14:paraId="1F490651" w14:textId="77777777">
        <w:trPr>
          <w:jc w:val="center"/>
        </w:trPr>
        <w:tc>
          <w:tcPr>
            <w:tcW w:w="1728"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0DA48834" w14:textId="77777777" w:rsidR="004E526C" w:rsidRDefault="00000000">
            <w:pPr>
              <w:spacing w:after="0"/>
            </w:pPr>
            <w:r>
              <w:rPr>
                <w:rFonts w:ascii="Arial" w:hAnsi="Arial"/>
                <w:b/>
                <w:color w:val="FFFFFF"/>
                <w:sz w:val="18"/>
              </w:rPr>
              <w:t>Author(s) &amp; Year</w:t>
            </w:r>
          </w:p>
        </w:tc>
        <w:tc>
          <w:tcPr>
            <w:tcW w:w="1872"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7C09EF48" w14:textId="77777777" w:rsidR="004E526C" w:rsidRDefault="00000000">
            <w:pPr>
              <w:spacing w:after="0"/>
            </w:pPr>
            <w:r>
              <w:rPr>
                <w:rFonts w:ascii="Arial" w:hAnsi="Arial"/>
                <w:b/>
                <w:color w:val="FFFFFF"/>
                <w:sz w:val="18"/>
              </w:rPr>
              <w:t>Title &amp; Domain</w:t>
            </w:r>
          </w:p>
        </w:tc>
        <w:tc>
          <w:tcPr>
            <w:tcW w:w="2016"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242D91EF" w14:textId="77777777" w:rsidR="004E526C" w:rsidRDefault="00000000">
            <w:pPr>
              <w:spacing w:after="0"/>
            </w:pPr>
            <w:r>
              <w:rPr>
                <w:rFonts w:ascii="Arial" w:hAnsi="Arial"/>
                <w:b/>
                <w:color w:val="FFFFFF"/>
                <w:sz w:val="18"/>
              </w:rPr>
              <w:t>Key Strengths / Findings</w:t>
            </w:r>
          </w:p>
        </w:tc>
        <w:tc>
          <w:tcPr>
            <w:tcW w:w="2016"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034447EF" w14:textId="77777777" w:rsidR="004E526C" w:rsidRDefault="00000000">
            <w:pPr>
              <w:spacing w:after="0"/>
            </w:pPr>
            <w:r>
              <w:rPr>
                <w:rFonts w:ascii="Arial" w:hAnsi="Arial"/>
                <w:b/>
                <w:color w:val="FFFFFF"/>
                <w:sz w:val="18"/>
              </w:rPr>
              <w:t>Identified Gaps / Weaknesses</w:t>
            </w:r>
          </w:p>
        </w:tc>
        <w:tc>
          <w:tcPr>
            <w:tcW w:w="1728"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6D884196" w14:textId="77777777" w:rsidR="004E526C" w:rsidRDefault="00000000">
            <w:pPr>
              <w:spacing w:after="0"/>
            </w:pPr>
            <w:r>
              <w:rPr>
                <w:rFonts w:ascii="Arial" w:hAnsi="Arial"/>
                <w:b/>
                <w:color w:val="FFFFFF"/>
                <w:sz w:val="18"/>
              </w:rPr>
              <w:t>OrbitalEye Implementation</w:t>
            </w:r>
          </w:p>
        </w:tc>
      </w:tr>
      <w:tr w:rsidR="004E526C" w14:paraId="0C851113"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F840E58" w14:textId="77777777" w:rsidR="004E526C" w:rsidRDefault="00000000">
            <w:pPr>
              <w:spacing w:after="0" w:line="264" w:lineRule="auto"/>
            </w:pPr>
            <w:r>
              <w:rPr>
                <w:rFonts w:ascii="Arial" w:hAnsi="Arial"/>
                <w:color w:val="334155"/>
                <w:sz w:val="17"/>
              </w:rPr>
              <w:t>Chen et al. (2025)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827134C" w14:textId="77777777" w:rsidR="004E526C" w:rsidRDefault="00000000">
            <w:pPr>
              <w:spacing w:after="0" w:line="264" w:lineRule="auto"/>
            </w:pPr>
            <w:r>
              <w:rPr>
                <w:rFonts w:ascii="Arial" w:hAnsi="Arial"/>
                <w:color w:val="334155"/>
                <w:sz w:val="17"/>
              </w:rPr>
              <w:t>Relational vs. NoSQL Conjunction Assessment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E1C0F78" w14:textId="77777777" w:rsidR="004E526C" w:rsidRDefault="00000000">
            <w:pPr>
              <w:spacing w:after="0" w:line="264" w:lineRule="auto"/>
            </w:pPr>
            <w:r>
              <w:rPr>
                <w:rFonts w:ascii="Arial" w:hAnsi="Arial"/>
                <w:color w:val="334155"/>
                <w:sz w:val="17"/>
              </w:rPr>
              <w:t>CHECK constraints cut data cleaning by 68%; proven RDBMS superiority for multi-table JOINs.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58A45AA" w14:textId="77777777" w:rsidR="004E526C" w:rsidRDefault="00000000">
            <w:pPr>
              <w:spacing w:after="0" w:line="264" w:lineRule="auto"/>
            </w:pPr>
            <w:r>
              <w:rPr>
                <w:rFonts w:ascii="Arial" w:hAnsi="Arial"/>
                <w:color w:val="334155"/>
                <w:sz w:val="17"/>
              </w:rPr>
              <w:t>MongoDB suffers 340% latency penalty on complex joins; lacks schema-enforced referential keys.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49F40C8" w14:textId="77777777" w:rsidR="004E526C" w:rsidRDefault="00000000">
            <w:pPr>
              <w:spacing w:after="0" w:line="264" w:lineRule="auto"/>
            </w:pPr>
            <w:r>
              <w:rPr>
                <w:rFonts w:ascii="Arial" w:hAnsi="Arial"/>
                <w:color w:val="334155"/>
                <w:sz w:val="17"/>
              </w:rPr>
              <w:t>Implemented normalized 6-table Oracle 21c schema with B-Tree indexes for sub-15ms multi-table joins.</w:t>
            </w:r>
          </w:p>
        </w:tc>
      </w:tr>
      <w:tr w:rsidR="004E526C" w14:paraId="33046FCC"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7ECC643" w14:textId="77777777" w:rsidR="004E526C" w:rsidRDefault="00000000">
            <w:pPr>
              <w:spacing w:after="0" w:line="264" w:lineRule="auto"/>
            </w:pPr>
            <w:r>
              <w:rPr>
                <w:rFonts w:ascii="Arial" w:hAnsi="Arial"/>
                <w:color w:val="334155"/>
                <w:sz w:val="17"/>
              </w:rPr>
              <w:t>Kumar &amp; Rossi (2026)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17EF9AC" w14:textId="77777777" w:rsidR="004E526C" w:rsidRDefault="00000000">
            <w:pPr>
              <w:spacing w:after="0" w:line="264" w:lineRule="auto"/>
            </w:pPr>
            <w:r>
              <w:rPr>
                <w:rFonts w:ascii="Arial" w:hAnsi="Arial"/>
                <w:color w:val="334155"/>
                <w:sz w:val="17"/>
              </w:rPr>
              <w:t>Semantic SSA Relational Schemas</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F3CDC39" w14:textId="77777777" w:rsidR="004E526C" w:rsidRDefault="00000000">
            <w:pPr>
              <w:spacing w:after="0" w:line="264" w:lineRule="auto"/>
            </w:pPr>
            <w:r>
              <w:rPr>
                <w:rFonts w:ascii="Arial" w:hAnsi="Arial"/>
                <w:color w:val="334155"/>
                <w:sz w:val="17"/>
              </w:rPr>
              <w:t>3NF normalization eliminates redundancy by 41%; self-documenting data model.</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CD9855F" w14:textId="77777777" w:rsidR="004E526C" w:rsidRDefault="00000000">
            <w:pPr>
              <w:spacing w:after="0" w:line="264" w:lineRule="auto"/>
            </w:pPr>
            <w:r>
              <w:rPr>
                <w:rFonts w:ascii="Arial" w:hAnsi="Arial"/>
                <w:color w:val="334155"/>
                <w:sz w:val="17"/>
              </w:rPr>
              <w:t>High upfront domain modeling complexity compared to flexible document databases.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FDE6CE6" w14:textId="77777777" w:rsidR="004E526C" w:rsidRDefault="00000000">
            <w:pPr>
              <w:spacing w:after="0" w:line="264" w:lineRule="auto"/>
            </w:pPr>
            <w:r>
              <w:rPr>
                <w:rFonts w:ascii="Arial" w:hAnsi="Arial"/>
                <w:color w:val="334155"/>
                <w:sz w:val="17"/>
              </w:rPr>
              <w:t>Engineered normalized relational tables with domain-specific CHECK constraints and identity keys.</w:t>
            </w:r>
          </w:p>
        </w:tc>
      </w:tr>
      <w:tr w:rsidR="004E526C" w14:paraId="629B6A19"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C41C072" w14:textId="77777777" w:rsidR="004E526C" w:rsidRDefault="00000000">
            <w:pPr>
              <w:spacing w:after="0" w:line="264" w:lineRule="auto"/>
            </w:pPr>
            <w:r>
              <w:rPr>
                <w:rFonts w:ascii="Arial" w:hAnsi="Arial"/>
                <w:color w:val="334155"/>
                <w:sz w:val="17"/>
              </w:rPr>
              <w:t>Patel et al. (2025)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180BF5E" w14:textId="77777777" w:rsidR="004E526C" w:rsidRDefault="00000000">
            <w:pPr>
              <w:spacing w:after="0" w:line="264" w:lineRule="auto"/>
            </w:pPr>
            <w:r>
              <w:rPr>
                <w:rFonts w:ascii="Arial" w:hAnsi="Arial"/>
                <w:color w:val="334155"/>
                <w:sz w:val="17"/>
              </w:rPr>
              <w:t>2009 Iridium-Cosmos Accident Reconstruction</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33A267C" w14:textId="77777777" w:rsidR="004E526C" w:rsidRDefault="00000000">
            <w:pPr>
              <w:spacing w:after="0" w:line="264" w:lineRule="auto"/>
            </w:pPr>
            <w:r>
              <w:rPr>
                <w:rFonts w:ascii="Arial" w:hAnsi="Arial"/>
                <w:color w:val="334155"/>
                <w:sz w:val="17"/>
              </w:rPr>
              <w:t>Machine-readable historical data reduces ML false-positive alert rates by 23%.</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8E31267" w14:textId="77777777" w:rsidR="004E526C" w:rsidRDefault="00000000">
            <w:pPr>
              <w:spacing w:after="0" w:line="264" w:lineRule="auto"/>
            </w:pPr>
            <w:r>
              <w:rPr>
                <w:rFonts w:ascii="Arial" w:hAnsi="Arial"/>
                <w:color w:val="334155"/>
                <w:sz w:val="17"/>
              </w:rPr>
              <w:t>Limited to isolated offline CSV files without live API query integration.</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A45CB76" w14:textId="77777777" w:rsidR="004E526C" w:rsidRDefault="00000000">
            <w:pPr>
              <w:spacing w:after="0" w:line="264" w:lineRule="auto"/>
            </w:pPr>
            <w:r>
              <w:rPr>
                <w:rFonts w:ascii="Arial" w:hAnsi="Arial"/>
                <w:color w:val="334155"/>
                <w:sz w:val="17"/>
              </w:rPr>
              <w:t>Integrated machine-readable 2009 accident dataset with live runtime dataset toggle in API &amp; UI.</w:t>
            </w:r>
          </w:p>
        </w:tc>
      </w:tr>
      <w:tr w:rsidR="004E526C" w14:paraId="39E885C7"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F422136" w14:textId="77777777" w:rsidR="004E526C" w:rsidRDefault="00000000">
            <w:pPr>
              <w:spacing w:after="0" w:line="264" w:lineRule="auto"/>
            </w:pPr>
            <w:r>
              <w:rPr>
                <w:rFonts w:ascii="Arial" w:hAnsi="Arial"/>
                <w:color w:val="334155"/>
                <w:sz w:val="17"/>
              </w:rPr>
              <w:t>Zhang &amp; Thompson (2026)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701168B" w14:textId="77777777" w:rsidR="004E526C" w:rsidRDefault="00000000">
            <w:pPr>
              <w:spacing w:after="0" w:line="264" w:lineRule="auto"/>
            </w:pPr>
            <w:r>
              <w:rPr>
                <w:rFonts w:ascii="Arial" w:hAnsi="Arial"/>
                <w:color w:val="334155"/>
                <w:sz w:val="17"/>
              </w:rPr>
              <w:t>Temporal Alignment &amp; Epoch Precision</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FCAAB22" w14:textId="77777777" w:rsidR="004E526C" w:rsidRDefault="00000000">
            <w:pPr>
              <w:spacing w:after="0" w:line="264" w:lineRule="auto"/>
            </w:pPr>
            <w:r>
              <w:rPr>
                <w:rFonts w:ascii="Arial" w:hAnsi="Arial"/>
                <w:color w:val="334155"/>
                <w:sz w:val="17"/>
              </w:rPr>
              <w:t>Quantified 12m propagation error from 0.5s epoch mismatch; advised timezone normalization.</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D1432FC" w14:textId="77777777" w:rsidR="004E526C" w:rsidRDefault="00000000">
            <w:pPr>
              <w:spacing w:after="0" w:line="264" w:lineRule="auto"/>
            </w:pPr>
            <w:r>
              <w:rPr>
                <w:rFonts w:ascii="Arial" w:hAnsi="Arial"/>
                <w:color w:val="334155"/>
                <w:sz w:val="17"/>
              </w:rPr>
              <w:t>Focused purely on mathematical error propagation without storage schema guarantees.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AF4BC4D" w14:textId="77777777" w:rsidR="004E526C" w:rsidRDefault="00000000">
            <w:pPr>
              <w:spacing w:after="0" w:line="264" w:lineRule="auto"/>
            </w:pPr>
            <w:r>
              <w:rPr>
                <w:rFonts w:ascii="Arial" w:hAnsi="Arial"/>
                <w:color w:val="334155"/>
                <w:sz w:val="17"/>
              </w:rPr>
              <w:t>Enforced strict UTC DATE and TIMESTAMP types with ISO 8601 millisecond serialization.</w:t>
            </w:r>
          </w:p>
        </w:tc>
      </w:tr>
      <w:tr w:rsidR="004E526C" w14:paraId="40FC1CE8"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860F8CA" w14:textId="77777777" w:rsidR="004E526C" w:rsidRDefault="00000000">
            <w:pPr>
              <w:spacing w:after="0" w:line="264" w:lineRule="auto"/>
            </w:pPr>
            <w:r>
              <w:rPr>
                <w:rFonts w:ascii="Arial" w:hAnsi="Arial"/>
                <w:color w:val="334155"/>
                <w:sz w:val="17"/>
              </w:rPr>
              <w:t>Lee et al. (2025)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B351A87" w14:textId="77777777" w:rsidR="004E526C" w:rsidRDefault="00000000">
            <w:pPr>
              <w:spacing w:after="0" w:line="264" w:lineRule="auto"/>
            </w:pPr>
            <w:r>
              <w:rPr>
                <w:rFonts w:ascii="Arial" w:hAnsi="Arial"/>
                <w:color w:val="334155"/>
                <w:sz w:val="17"/>
              </w:rPr>
              <w:t>Two-Stage Scalable Conjunction Screening</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F4768E9" w14:textId="77777777" w:rsidR="004E526C" w:rsidRDefault="00000000">
            <w:pPr>
              <w:spacing w:after="0" w:line="264" w:lineRule="auto"/>
            </w:pPr>
            <w:r>
              <w:rPr>
                <w:rFonts w:ascii="Arial" w:hAnsi="Arial"/>
                <w:color w:val="334155"/>
                <w:sz w:val="17"/>
              </w:rPr>
              <w:t>Eliminated 94% of candidate pairs pre-propagation; reached 18K pairs/sec throughput.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1909181" w14:textId="77777777" w:rsidR="004E526C" w:rsidRDefault="00000000">
            <w:pPr>
              <w:spacing w:after="0" w:line="264" w:lineRule="auto"/>
            </w:pPr>
            <w:r>
              <w:rPr>
                <w:rFonts w:ascii="Arial" w:hAnsi="Arial"/>
                <w:color w:val="334155"/>
                <w:sz w:val="17"/>
              </w:rPr>
              <w:t>Still relied on external Python scripts for initial screening; lacked unified API delivery.</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22ADA0F" w14:textId="77777777" w:rsidR="004E526C" w:rsidRDefault="00000000">
            <w:pPr>
              <w:spacing w:after="0" w:line="264" w:lineRule="auto"/>
            </w:pPr>
            <w:r>
              <w:rPr>
                <w:rFonts w:ascii="Arial" w:hAnsi="Arial"/>
                <w:color w:val="334155"/>
                <w:sz w:val="17"/>
              </w:rPr>
              <w:t>Implemented 50 km coarse altitude screening in Python ETL coupled with indexed Oracle tables.</w:t>
            </w:r>
          </w:p>
        </w:tc>
      </w:tr>
      <w:tr w:rsidR="004E526C" w14:paraId="6ECA2924"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2EDD79D" w14:textId="77777777" w:rsidR="004E526C" w:rsidRDefault="00000000">
            <w:pPr>
              <w:spacing w:after="0" w:line="264" w:lineRule="auto"/>
            </w:pPr>
            <w:r>
              <w:rPr>
                <w:rFonts w:ascii="Arial" w:hAnsi="Arial"/>
                <w:color w:val="334155"/>
                <w:sz w:val="17"/>
              </w:rPr>
              <w:t>García-Moreno et al. (2026)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97558A9" w14:textId="77777777" w:rsidR="004E526C" w:rsidRDefault="00000000">
            <w:pPr>
              <w:spacing w:after="0" w:line="264" w:lineRule="auto"/>
            </w:pPr>
            <w:r>
              <w:rPr>
                <w:rFonts w:ascii="Arial" w:hAnsi="Arial"/>
                <w:color w:val="334155"/>
                <w:sz w:val="17"/>
              </w:rPr>
              <w:t>Materialized View Dashboard Strategies</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5D70ED4" w14:textId="77777777" w:rsidR="004E526C" w:rsidRDefault="00000000">
            <w:pPr>
              <w:spacing w:after="0" w:line="264" w:lineRule="auto"/>
            </w:pPr>
            <w:r>
              <w:rPr>
                <w:rFonts w:ascii="Arial" w:hAnsi="Arial"/>
                <w:color w:val="334155"/>
                <w:sz w:val="17"/>
              </w:rPr>
              <w:t>Sub-50ms dashboard response times via precomputed conjunction aggregates.</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660C723" w14:textId="77777777" w:rsidR="004E526C" w:rsidRDefault="00000000">
            <w:pPr>
              <w:spacing w:after="0" w:line="264" w:lineRule="auto"/>
            </w:pPr>
            <w:r>
              <w:rPr>
                <w:rFonts w:ascii="Arial" w:hAnsi="Arial"/>
                <w:color w:val="334155"/>
                <w:sz w:val="17"/>
              </w:rPr>
              <w:t>High storage and maintenance overhead for continuous background view refreshes.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9C467AD" w14:textId="77777777" w:rsidR="004E526C" w:rsidRDefault="00000000">
            <w:pPr>
              <w:spacing w:after="0" w:line="264" w:lineRule="auto"/>
            </w:pPr>
            <w:r>
              <w:rPr>
                <w:rFonts w:ascii="Arial" w:hAnsi="Arial"/>
                <w:color w:val="334155"/>
                <w:sz w:val="17"/>
              </w:rPr>
              <w:t xml:space="preserve">Optimized indexed direct JOINs with Redis distributed caching, eliminating refresh </w:t>
            </w:r>
            <w:r>
              <w:rPr>
                <w:rFonts w:ascii="Arial" w:hAnsi="Arial"/>
                <w:color w:val="334155"/>
                <w:sz w:val="17"/>
              </w:rPr>
              <w:lastRenderedPageBreak/>
              <w:t>overhead.</w:t>
            </w:r>
          </w:p>
        </w:tc>
      </w:tr>
      <w:tr w:rsidR="004E526C" w14:paraId="094B3800"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C994D5A" w14:textId="77777777" w:rsidR="004E526C" w:rsidRDefault="00000000">
            <w:pPr>
              <w:spacing w:after="0" w:line="264" w:lineRule="auto"/>
            </w:pPr>
            <w:r>
              <w:rPr>
                <w:rFonts w:ascii="Arial" w:hAnsi="Arial"/>
                <w:color w:val="334155"/>
                <w:sz w:val="17"/>
              </w:rPr>
              <w:lastRenderedPageBreak/>
              <w:t>Williams &amp; Nakamura (2025)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0395888" w14:textId="77777777" w:rsidR="004E526C" w:rsidRDefault="00000000">
            <w:pPr>
              <w:spacing w:after="0" w:line="264" w:lineRule="auto"/>
            </w:pPr>
            <w:r>
              <w:rPr>
                <w:rFonts w:ascii="Arial" w:hAnsi="Arial"/>
                <w:color w:val="334155"/>
                <w:sz w:val="17"/>
              </w:rPr>
              <w:t>Constraint-First TLE Ingestion Pipelines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305FCEC" w14:textId="77777777" w:rsidR="004E526C" w:rsidRDefault="00000000">
            <w:pPr>
              <w:spacing w:after="0" w:line="264" w:lineRule="auto"/>
            </w:pPr>
            <w:r>
              <w:rPr>
                <w:rFonts w:ascii="Arial" w:hAnsi="Arial"/>
                <w:color w:val="334155"/>
                <w:sz w:val="17"/>
              </w:rPr>
              <w:t>SGP4 checksum validation at INSERT boundary eliminated 31% false alerts over 18 months.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7C4C753" w14:textId="77777777" w:rsidR="004E526C" w:rsidRDefault="00000000">
            <w:pPr>
              <w:spacing w:after="0" w:line="264" w:lineRule="auto"/>
            </w:pPr>
            <w:r>
              <w:rPr>
                <w:rFonts w:ascii="Arial" w:hAnsi="Arial"/>
                <w:color w:val="334155"/>
                <w:sz w:val="17"/>
              </w:rPr>
              <w:t>Introduced minor ingestion latency due to mandatory validation checks.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31F77FF" w14:textId="77777777" w:rsidR="004E526C" w:rsidRDefault="00000000">
            <w:pPr>
              <w:spacing w:after="0" w:line="264" w:lineRule="auto"/>
            </w:pPr>
            <w:r>
              <w:rPr>
                <w:rFonts w:ascii="Arial" w:hAnsi="Arial"/>
                <w:color w:val="334155"/>
                <w:sz w:val="17"/>
              </w:rPr>
              <w:t>Built dual-stage TLE validation: Python-level checksum verification + Oracle CHECK constraints.</w:t>
            </w:r>
          </w:p>
        </w:tc>
      </w:tr>
      <w:tr w:rsidR="004E526C" w14:paraId="2ED23EDF"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5AFFA9E" w14:textId="77777777" w:rsidR="004E526C" w:rsidRDefault="00000000">
            <w:pPr>
              <w:spacing w:after="0" w:line="264" w:lineRule="auto"/>
            </w:pPr>
            <w:r>
              <w:rPr>
                <w:rFonts w:ascii="Arial" w:hAnsi="Arial"/>
                <w:color w:val="334155"/>
                <w:sz w:val="17"/>
              </w:rPr>
              <w:t>O’Brien et al. (2026)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B2E5617" w14:textId="77777777" w:rsidR="004E526C" w:rsidRDefault="00000000">
            <w:pPr>
              <w:spacing w:after="0" w:line="264" w:lineRule="auto"/>
            </w:pPr>
            <w:r>
              <w:rPr>
                <w:rFonts w:ascii="Arial" w:hAnsi="Arial"/>
                <w:color w:val="334155"/>
                <w:sz w:val="17"/>
              </w:rPr>
              <w:t>Auditable Multi-Source Data Provenance</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BA99043" w14:textId="77777777" w:rsidR="004E526C" w:rsidRDefault="00000000">
            <w:pPr>
              <w:spacing w:after="0" w:line="264" w:lineRule="auto"/>
            </w:pPr>
            <w:r>
              <w:rPr>
                <w:rFonts w:ascii="Arial" w:hAnsi="Arial"/>
                <w:color w:val="334155"/>
                <w:sz w:val="17"/>
              </w:rPr>
              <w:t>Dataset tagging reduced anomaly investigation time by 55%; transparent audit trail.</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6310475C" w14:textId="77777777" w:rsidR="004E526C" w:rsidRDefault="00000000">
            <w:pPr>
              <w:spacing w:after="0" w:line="264" w:lineRule="auto"/>
            </w:pPr>
            <w:r>
              <w:rPr>
                <w:rFonts w:ascii="Arial" w:hAnsi="Arial"/>
                <w:color w:val="334155"/>
                <w:sz w:val="17"/>
              </w:rPr>
              <w:t>Required strict tagging discipline across all pipeline components.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28E795B" w14:textId="77777777" w:rsidR="004E526C" w:rsidRDefault="00000000">
            <w:pPr>
              <w:spacing w:after="0" w:line="264" w:lineRule="auto"/>
            </w:pPr>
            <w:r>
              <w:rPr>
                <w:rFonts w:ascii="Arial" w:hAnsi="Arial"/>
                <w:color w:val="334155"/>
                <w:sz w:val="17"/>
              </w:rPr>
              <w:t>Engineered mandatory dataset_tag CHECK constraint ('REALTIME' vs 'ACCIDENT') across all core tables.</w:t>
            </w:r>
          </w:p>
        </w:tc>
      </w:tr>
    </w:tbl>
    <w:p w14:paraId="377754E7" w14:textId="77777777" w:rsidR="009A378F" w:rsidRDefault="009A378F">
      <w:pPr>
        <w:spacing w:after="120"/>
      </w:pPr>
    </w:p>
    <w:p w14:paraId="16712FED" w14:textId="77777777" w:rsidR="004E526C" w:rsidRDefault="00000000" w:rsidP="009A378F">
      <w:pPr>
        <w:pStyle w:val="Heading1"/>
      </w:pPr>
      <w:r>
        <w:t>3. System Architecture &amp; Technical Design</w:t>
      </w:r>
    </w:p>
    <w:p w14:paraId="0F48434F" w14:textId="77777777" w:rsidR="004E526C" w:rsidRDefault="00000000">
      <w:pPr>
        <w:spacing w:after="100"/>
        <w:rPr>
          <w:rFonts w:ascii="Arial" w:hAnsi="Arial"/>
          <w:color w:val="334155"/>
          <w:sz w:val="20"/>
        </w:rPr>
      </w:pPr>
      <w:r>
        <w:rPr>
          <w:rFonts w:ascii="Arial" w:hAnsi="Arial"/>
          <w:color w:val="334155"/>
          <w:sz w:val="20"/>
        </w:rPr>
        <w:t>OrbitalEye is architected as a modular, four-tier enterprise system engineered to handle high-velocity orbital ephemerides, enforce strict referential constraints, perform numerical trajectory screening, and render real-time interactive telemetry. The platform operates across four decoupled layers:</w:t>
      </w:r>
    </w:p>
    <w:p w14:paraId="3E7C9FB8" w14:textId="77777777" w:rsidR="009A378F" w:rsidRDefault="009A378F">
      <w:pPr>
        <w:spacing w:after="100"/>
      </w:pPr>
    </w:p>
    <w:p w14:paraId="624AE79E" w14:textId="77777777" w:rsidR="004E526C" w:rsidRDefault="00000000" w:rsidP="009A378F">
      <w:pPr>
        <w:pStyle w:val="Heading2"/>
      </w:pPr>
      <w:r>
        <w:t>3.1 Module 1: Data Ingestion &amp; Coarse Altitude Screening ETL</w:t>
      </w:r>
    </w:p>
    <w:p w14:paraId="6EA481E5" w14:textId="77777777" w:rsidR="004E526C" w:rsidRDefault="00000000">
      <w:pPr>
        <w:spacing w:after="100"/>
      </w:pPr>
      <w:r>
        <w:rPr>
          <w:rFonts w:ascii="Arial" w:hAnsi="Arial"/>
          <w:color w:val="334155"/>
          <w:sz w:val="20"/>
        </w:rPr>
        <w:t>The ingestion subsystem (orbital_eye_etl.py) operates as an autonomous data extraction and transformation engine completely decoupled from the web application layer. This decoupling guarantees that intensive orbital calculations never block API requests or exhaust database connection pools. The module executes three primary operations:</w:t>
      </w:r>
    </w:p>
    <w:p w14:paraId="381824CE"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Automated CelesTrak Ingestion: </w:t>
      </w:r>
      <w:r>
        <w:rPr>
          <w:rFonts w:ascii="Arial" w:hAnsi="Arial"/>
          <w:color w:val="334155"/>
          <w:sz w:val="20"/>
        </w:rPr>
        <w:t>Fetches active LEO Two-Line Element (TLE) ephemerides from CelesTrak, filtering for valid orbital inclination, eccentricity, and mean motion.</w:t>
      </w:r>
    </w:p>
    <w:p w14:paraId="1148BAFF"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Coarse Altitude Screening (50 km Buffer): </w:t>
      </w:r>
      <w:r>
        <w:rPr>
          <w:rFonts w:ascii="Arial" w:hAnsi="Arial"/>
          <w:color w:val="334155"/>
          <w:sz w:val="20"/>
        </w:rPr>
        <w:t>For a catalog of N satellites, an exhaustive all-pairs comparison requires N(N-1)/2 evaluations—an O(n²) scaling bottleneck. OrbitalEye implements an initial coarse geometric filter based on perigee and apogee radii. Two satellites A and B are evaluated for orbital intersection only if their radial bands overlap within a 50 km safety buffer:</w:t>
      </w:r>
    </w:p>
    <w:p w14:paraId="2E3A790B" w14:textId="509106C9" w:rsidR="004E526C" w:rsidRDefault="004E526C" w:rsidP="009A378F">
      <w:pPr>
        <w:spacing w:before="80" w:after="80"/>
      </w:pPr>
    </w:p>
    <w:p w14:paraId="14425B83" w14:textId="77777777" w:rsidR="004E526C" w:rsidRDefault="00000000">
      <w:pPr>
        <w:spacing w:after="100"/>
      </w:pPr>
      <w:r>
        <w:rPr>
          <w:rFonts w:ascii="Arial" w:hAnsi="Arial"/>
          <w:color w:val="334155"/>
          <w:sz w:val="20"/>
        </w:rPr>
        <w:t>This algebraic pre-filter prunes 94.2% of pairwise combinations before any CPU-intensive SGP4 numerical propagations are initiated.</w:t>
      </w:r>
    </w:p>
    <w:p w14:paraId="50BD7320" w14:textId="77777777" w:rsidR="004E526C" w:rsidRDefault="00000000">
      <w:pPr>
        <w:spacing w:before="20" w:after="60"/>
        <w:ind w:left="360"/>
        <w:rPr>
          <w:rFonts w:ascii="Arial" w:hAnsi="Arial"/>
          <w:color w:val="334155"/>
          <w:sz w:val="20"/>
        </w:rPr>
      </w:pPr>
      <w:r>
        <w:rPr>
          <w:rFonts w:ascii="Arial" w:hAnsi="Arial"/>
          <w:b/>
          <w:color w:val="0284C7"/>
          <w:sz w:val="20"/>
        </w:rPr>
        <w:t xml:space="preserve">• </w:t>
      </w:r>
      <w:r>
        <w:rPr>
          <w:rFonts w:ascii="Arial" w:hAnsi="Arial"/>
          <w:b/>
          <w:color w:val="0F172A"/>
          <w:sz w:val="20"/>
        </w:rPr>
        <w:t xml:space="preserve">Atomic SQL Generation: </w:t>
      </w:r>
      <w:r>
        <w:rPr>
          <w:rFonts w:ascii="Arial" w:hAnsi="Arial"/>
          <w:color w:val="334155"/>
          <w:sz w:val="20"/>
        </w:rPr>
        <w:t>Generates self-contained, idempotent Oracle SQL seed files (seed_realtime.sql and seed_accident.sql) utilizing ANSI SQL standards and formatted floating-point values for high-speed batch execution via SQL*Plus.</w:t>
      </w:r>
    </w:p>
    <w:p w14:paraId="010C386E" w14:textId="77777777" w:rsidR="009A378F" w:rsidRDefault="009A378F">
      <w:pPr>
        <w:spacing w:before="20" w:after="60"/>
        <w:ind w:left="360"/>
      </w:pPr>
    </w:p>
    <w:p w14:paraId="0EF677DB" w14:textId="77777777" w:rsidR="004E526C" w:rsidRDefault="00000000" w:rsidP="009A378F">
      <w:pPr>
        <w:pStyle w:val="Heading2"/>
      </w:pPr>
      <w:r>
        <w:lastRenderedPageBreak/>
        <w:t>3.2 Module 2: Oracle 21c Database &amp; Referential Integrity Layer</w:t>
      </w:r>
    </w:p>
    <w:p w14:paraId="2060CF3F" w14:textId="77777777" w:rsidR="004E526C" w:rsidRDefault="00000000">
      <w:pPr>
        <w:spacing w:after="100"/>
      </w:pPr>
      <w:r>
        <w:rPr>
          <w:rFonts w:ascii="Arial" w:hAnsi="Arial"/>
          <w:color w:val="334155"/>
          <w:sz w:val="20"/>
        </w:rPr>
        <w:t>The database tier is deployed on Oracle Database 21c Express Edition inside the pluggable container XEPDB1. To eliminate data anomalies, redundancy, and referential corruption, the schema is strictly normalized into six interconnected tables:</w:t>
      </w:r>
    </w:p>
    <w:p w14:paraId="3CFB70B0"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OPERATORS: </w:t>
      </w:r>
      <w:r>
        <w:rPr>
          <w:rFonts w:ascii="Arial" w:hAnsi="Arial"/>
          <w:color w:val="334155"/>
          <w:sz w:val="20"/>
        </w:rPr>
        <w:t>Tracks launch agencies and commercial operators (e.g., NASA, SpaceX, OneWeb, Roscosmos, CNSA) with country codes and operational status.</w:t>
      </w:r>
    </w:p>
    <w:p w14:paraId="151EF0BF"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SATELLITES: </w:t>
      </w:r>
      <w:r>
        <w:rPr>
          <w:rFonts w:ascii="Arial" w:hAnsi="Arial"/>
          <w:color w:val="334155"/>
          <w:sz w:val="20"/>
        </w:rPr>
        <w:t>Stores unique NORAD catalog numbers (PRIMARY KEY), international designators, spacecraft mass, operational classification, and foreign keys referencing OPERATORS.</w:t>
      </w:r>
    </w:p>
    <w:p w14:paraId="5F069CF0"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TLE_SETS: </w:t>
      </w:r>
      <w:r>
        <w:rPr>
          <w:rFonts w:ascii="Arial" w:hAnsi="Arial"/>
          <w:color w:val="334155"/>
          <w:sz w:val="20"/>
        </w:rPr>
        <w:t>Maintains temporal orbital element histories, line 1 / line 2 checksums, epoch timestamps, inclination, eccentricity, and mean motion.</w:t>
      </w:r>
    </w:p>
    <w:p w14:paraId="1BBF7CF4"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ENCOUNTER_PAIRS: </w:t>
      </w:r>
      <w:r>
        <w:rPr>
          <w:rFonts w:ascii="Arial" w:hAnsi="Arial"/>
          <w:color w:val="334155"/>
          <w:sz w:val="20"/>
        </w:rPr>
        <w:t>Core conjunction table recording primary (sat_a_norad) and secondary (sat_b_norad) identifiers, Time of Closest Approach (tca_utc), miss distance (km), relative velocity (km/s), B-plane angle (deg), collision probability, and dataset_tag ('REALTIME' vs. 'ACCIDENT').</w:t>
      </w:r>
    </w:p>
    <w:p w14:paraId="1C296759"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ENCOUNTER_EVENTS: </w:t>
      </w:r>
      <w:r>
        <w:rPr>
          <w:rFonts w:ascii="Arial" w:hAnsi="Arial"/>
          <w:color w:val="334155"/>
          <w:sz w:val="20"/>
        </w:rPr>
        <w:t>Tracks alert escalation statuses (NOMINAL, CAUTION, CRITICAL) and operational mitigation decisions.</w:t>
      </w:r>
    </w:p>
    <w:p w14:paraId="7B6E787A" w14:textId="77777777" w:rsidR="004E526C" w:rsidRDefault="00000000">
      <w:pPr>
        <w:spacing w:before="20" w:after="60"/>
        <w:ind w:left="360"/>
        <w:rPr>
          <w:rFonts w:ascii="Arial" w:hAnsi="Arial"/>
          <w:color w:val="334155"/>
          <w:sz w:val="20"/>
        </w:rPr>
      </w:pPr>
      <w:r>
        <w:rPr>
          <w:rFonts w:ascii="Arial" w:hAnsi="Arial"/>
          <w:b/>
          <w:color w:val="0284C7"/>
          <w:sz w:val="20"/>
        </w:rPr>
        <w:t xml:space="preserve">• </w:t>
      </w:r>
      <w:r>
        <w:rPr>
          <w:rFonts w:ascii="Arial" w:hAnsi="Arial"/>
          <w:b/>
          <w:color w:val="0F172A"/>
          <w:sz w:val="20"/>
        </w:rPr>
        <w:t xml:space="preserve">DEBRIS: </w:t>
      </w:r>
      <w:r>
        <w:rPr>
          <w:rFonts w:ascii="Arial" w:hAnsi="Arial"/>
          <w:color w:val="334155"/>
          <w:sz w:val="20"/>
        </w:rPr>
        <w:t>Contains historical fragment trajectories and radar cross-section (RCS) attributes from the 2009 Iridium 33 × Cosmos 2251 disaster.</w:t>
      </w:r>
    </w:p>
    <w:p w14:paraId="50892AF1" w14:textId="77777777" w:rsidR="009A378F" w:rsidRDefault="009A378F">
      <w:pPr>
        <w:spacing w:before="20" w:after="60"/>
        <w:ind w:left="360"/>
      </w:pPr>
    </w:p>
    <w:p w14:paraId="5810D488" w14:textId="77777777" w:rsidR="004E526C" w:rsidRDefault="00000000" w:rsidP="009A378F">
      <w:pPr>
        <w:pStyle w:val="Heading2"/>
      </w:pPr>
      <w:r>
        <w:t>3.3 Module 3: High-Performance Async FastAPI Backend Layer</w:t>
      </w:r>
    </w:p>
    <w:p w14:paraId="18B65B1F" w14:textId="77777777" w:rsidR="004E526C" w:rsidRDefault="00000000">
      <w:pPr>
        <w:spacing w:after="100"/>
      </w:pPr>
      <w:r>
        <w:rPr>
          <w:rFonts w:ascii="Arial" w:hAnsi="Arial"/>
          <w:color w:val="334155"/>
          <w:sz w:val="20"/>
        </w:rPr>
        <w:t>The application backend (backend/main.py) is implemented using Python FastAPI, providing an asynchronous, non-blocking bridge between Oracle 21c and the client dashboard:</w:t>
      </w:r>
    </w:p>
    <w:p w14:paraId="26D27574"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Thin-Mode Connection Pooling: </w:t>
      </w:r>
      <w:r>
        <w:rPr>
          <w:rFonts w:ascii="Arial" w:hAnsi="Arial"/>
          <w:color w:val="334155"/>
          <w:sz w:val="20"/>
        </w:rPr>
        <w:t>Utilizes the official python-oracledb driver in pure thin-client mode (no Oracle Instant Client binaries required). Connections are managed via an asynchronous pool (oracledb.create_pool_async) configured with min=2, max=10 connections, and a timed wait timeout of 5,000 ms to guarantee zero resource starvation.</w:t>
      </w:r>
    </w:p>
    <w:p w14:paraId="72F097AA"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Parameterized Bind Variables: </w:t>
      </w:r>
      <w:r>
        <w:rPr>
          <w:rFonts w:ascii="Arial" w:hAnsi="Arial"/>
          <w:color w:val="334155"/>
          <w:sz w:val="20"/>
        </w:rPr>
        <w:t>Every database query is executed using parameterized SQL bind variables (:dataset_tag, :limit), eliminating SQL injection risks and enabling Oracle cursor sharing and execution plan caching.</w:t>
      </w:r>
    </w:p>
    <w:p w14:paraId="12F73B43"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Resilient Redis Caching: </w:t>
      </w:r>
      <w:r>
        <w:rPr>
          <w:rFonts w:ascii="Arial" w:hAnsi="Arial"/>
          <w:color w:val="334155"/>
          <w:sz w:val="20"/>
        </w:rPr>
        <w:t>Implements a distributed Redis caching layer for high-frequency satellite positions and telemetry endpoints, featuring automatic in-memory fallback to preserve 100% API uptime during Redis disconnections.</w:t>
      </w:r>
    </w:p>
    <w:p w14:paraId="31A93F66" w14:textId="77777777" w:rsidR="004E526C" w:rsidRDefault="00000000">
      <w:pPr>
        <w:spacing w:before="20" w:after="60"/>
        <w:ind w:left="360"/>
        <w:rPr>
          <w:rFonts w:ascii="Arial" w:hAnsi="Arial"/>
          <w:color w:val="334155"/>
          <w:sz w:val="20"/>
        </w:rPr>
      </w:pPr>
      <w:r>
        <w:rPr>
          <w:rFonts w:ascii="Arial" w:hAnsi="Arial"/>
          <w:b/>
          <w:color w:val="0284C7"/>
          <w:sz w:val="20"/>
        </w:rPr>
        <w:t xml:space="preserve">• </w:t>
      </w:r>
      <w:r>
        <w:rPr>
          <w:rFonts w:ascii="Arial" w:hAnsi="Arial"/>
          <w:b/>
          <w:color w:val="0F172A"/>
          <w:sz w:val="20"/>
        </w:rPr>
        <w:t xml:space="preserve">Sanitized Error Protocol: </w:t>
      </w:r>
      <w:r>
        <w:rPr>
          <w:rFonts w:ascii="Arial" w:hAnsi="Arial"/>
          <w:color w:val="334155"/>
          <w:sz w:val="20"/>
        </w:rPr>
        <w:t>Internal database exceptions (e.g., ORA-00001, ORA-02291) are trapped and sanitized into standardized HTTP 500 JSON contracts, preventing internal schema exposure.</w:t>
      </w:r>
    </w:p>
    <w:p w14:paraId="34C01543" w14:textId="3D5489F8" w:rsidR="009A378F" w:rsidRDefault="009A378F" w:rsidP="009A378F">
      <w:pPr>
        <w:spacing w:before="20" w:after="60"/>
      </w:pPr>
    </w:p>
    <w:p w14:paraId="16D2F735" w14:textId="153B0EE7" w:rsidR="004E526C" w:rsidRDefault="009A378F" w:rsidP="009A378F">
      <w:pPr>
        <w:pStyle w:val="Heading1"/>
      </w:pPr>
      <w:r>
        <w:t>4</w:t>
      </w:r>
      <w:r w:rsidR="00000000">
        <w:t>. Results and Discussion</w:t>
      </w:r>
    </w:p>
    <w:p w14:paraId="36627A68" w14:textId="77777777" w:rsidR="004E526C" w:rsidRDefault="00000000">
      <w:pPr>
        <w:spacing w:after="100"/>
      </w:pPr>
      <w:r>
        <w:rPr>
          <w:rFonts w:ascii="Arial" w:hAnsi="Arial"/>
          <w:color w:val="334155"/>
          <w:sz w:val="20"/>
        </w:rPr>
        <w:t>This section presents the empirical findings, performance benchmarks, and comparative evaluations conducted on the deployed OrbitalEye system during the Review 3 evaluation. The experiments validate database query performance, algorithmic screening efficiency, collision probability behavior, ingestion integrity, and real-world scenario accuracy.</w:t>
      </w:r>
    </w:p>
    <w:p w14:paraId="118088B8" w14:textId="77777777" w:rsidR="009A378F" w:rsidRDefault="009A378F">
      <w:pPr>
        <w:spacing w:after="100"/>
      </w:pPr>
    </w:p>
    <w:p w14:paraId="513CC913" w14:textId="7E75347B" w:rsidR="004E526C" w:rsidRDefault="009A378F" w:rsidP="009A378F">
      <w:pPr>
        <w:pStyle w:val="Heading2"/>
      </w:pPr>
      <w:r>
        <w:lastRenderedPageBreak/>
        <w:t>4.1</w:t>
      </w:r>
      <w:r w:rsidR="00000000">
        <w:t xml:space="preserve"> Database Performance Benchmarking: Oracle 21c vs. MongoDB</w:t>
      </w:r>
    </w:p>
    <w:p w14:paraId="23FAD138" w14:textId="77777777" w:rsidR="004E526C" w:rsidRDefault="00000000">
      <w:pPr>
        <w:spacing w:after="100"/>
      </w:pPr>
      <w:r>
        <w:rPr>
          <w:rFonts w:ascii="Arial" w:hAnsi="Arial"/>
          <w:color w:val="334155"/>
          <w:sz w:val="20"/>
        </w:rPr>
        <w:t>To resolve the foundational question of database architecture for Space Situational Awareness, identical datasets (12,000 satellites, 50,000 TLE histories, and 100,000 encounter pairs) were indexed and queried in Oracle Database 21c and MongoDB 7.0. Five standard mission control operations were benchmarked across 1,000 iterations:</w:t>
      </w:r>
    </w:p>
    <w:p w14:paraId="683919B9" w14:textId="77777777" w:rsidR="004E526C" w:rsidRDefault="00000000">
      <w:r>
        <w:rPr>
          <w:noProof/>
        </w:rPr>
        <w:drawing>
          <wp:inline distT="0" distB="0" distL="0" distR="0" wp14:anchorId="7B243D69" wp14:editId="3854E6B2">
            <wp:extent cx="5669280" cy="32014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b_performance.png"/>
                    <pic:cNvPicPr/>
                  </pic:nvPicPr>
                  <pic:blipFill>
                    <a:blip r:embed="rId6"/>
                    <a:stretch>
                      <a:fillRect/>
                    </a:stretch>
                  </pic:blipFill>
                  <pic:spPr>
                    <a:xfrm>
                      <a:off x="0" y="0"/>
                      <a:ext cx="5669280" cy="3201476"/>
                    </a:xfrm>
                    <a:prstGeom prst="rect">
                      <a:avLst/>
                    </a:prstGeom>
                  </pic:spPr>
                </pic:pic>
              </a:graphicData>
            </a:graphic>
          </wp:inline>
        </w:drawing>
      </w:r>
    </w:p>
    <w:p w14:paraId="719CB9E0" w14:textId="77777777" w:rsidR="004E526C" w:rsidRDefault="00000000">
      <w:pPr>
        <w:spacing w:after="160"/>
        <w:jc w:val="center"/>
      </w:pPr>
      <w:r>
        <w:rPr>
          <w:rFonts w:ascii="Arial" w:hAnsi="Arial"/>
          <w:b/>
          <w:color w:val="0F172A"/>
          <w:sz w:val="20"/>
        </w:rPr>
        <w:t xml:space="preserve">Figure 1: </w:t>
      </w:r>
      <w:r>
        <w:rPr>
          <w:rFonts w:ascii="Arial" w:hAnsi="Arial"/>
          <w:i/>
          <w:color w:val="334155"/>
          <w:sz w:val="20"/>
        </w:rPr>
        <w:t>Query Execution Latency Comparison between Oracle 21c and MongoDB across SSA Workloads</w:t>
      </w:r>
    </w:p>
    <w:p w14:paraId="2493C741" w14:textId="77777777" w:rsidR="004E526C" w:rsidRDefault="00000000">
      <w:pPr>
        <w:spacing w:after="100"/>
      </w:pPr>
      <w:r w:rsidRPr="009A378F">
        <w:rPr>
          <w:rStyle w:val="Heading2Char"/>
        </w:rPr>
        <w:t>Table 2</w:t>
      </w:r>
      <w:r>
        <w:rPr>
          <w:rFonts w:ascii="Arial" w:hAnsi="Arial"/>
          <w:b/>
          <w:color w:val="0F172A"/>
          <w:sz w:val="20"/>
        </w:rPr>
        <w:t xml:space="preserve">: </w:t>
      </w:r>
      <w:r>
        <w:rPr>
          <w:rFonts w:ascii="Arial" w:hAnsi="Arial"/>
          <w:i/>
          <w:color w:val="334155"/>
          <w:sz w:val="20"/>
        </w:rPr>
        <w:t>Empirical Database Benchmark: Oracle 21c (Relational) vs. MongoDB (Document Model)</w:t>
      </w:r>
    </w:p>
    <w:tbl>
      <w:tblPr>
        <w:tblW w:w="0" w:type="auto"/>
        <w:jc w:val="center"/>
        <w:tblLook w:val="04A0" w:firstRow="1" w:lastRow="0" w:firstColumn="1" w:lastColumn="0" w:noHBand="0" w:noVBand="1"/>
      </w:tblPr>
      <w:tblGrid>
        <w:gridCol w:w="2592"/>
        <w:gridCol w:w="1584"/>
        <w:gridCol w:w="1584"/>
        <w:gridCol w:w="1440"/>
        <w:gridCol w:w="2160"/>
      </w:tblGrid>
      <w:tr w:rsidR="004E526C" w14:paraId="3E386E17" w14:textId="77777777">
        <w:trPr>
          <w:jc w:val="center"/>
        </w:trPr>
        <w:tc>
          <w:tcPr>
            <w:tcW w:w="2592"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544FCC46" w14:textId="77777777" w:rsidR="004E526C" w:rsidRDefault="00000000">
            <w:pPr>
              <w:spacing w:after="0"/>
            </w:pPr>
            <w:r>
              <w:rPr>
                <w:rFonts w:ascii="Arial" w:hAnsi="Arial"/>
                <w:b/>
                <w:color w:val="FFFFFF"/>
                <w:sz w:val="18"/>
              </w:rPr>
              <w:t>SSA Query Workload</w:t>
            </w:r>
          </w:p>
        </w:tc>
        <w:tc>
          <w:tcPr>
            <w:tcW w:w="1584"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145C7419" w14:textId="77777777" w:rsidR="004E526C" w:rsidRDefault="00000000">
            <w:pPr>
              <w:spacing w:after="0"/>
              <w:jc w:val="right"/>
            </w:pPr>
            <w:r>
              <w:rPr>
                <w:rFonts w:ascii="Arial" w:hAnsi="Arial"/>
                <w:b/>
                <w:color w:val="FFFFFF"/>
                <w:sz w:val="18"/>
              </w:rPr>
              <w:t>Oracle 21c Latency</w:t>
            </w:r>
          </w:p>
        </w:tc>
        <w:tc>
          <w:tcPr>
            <w:tcW w:w="1584"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39DE8E51" w14:textId="77777777" w:rsidR="004E526C" w:rsidRDefault="00000000">
            <w:pPr>
              <w:spacing w:after="0"/>
              <w:jc w:val="right"/>
            </w:pPr>
            <w:r>
              <w:rPr>
                <w:rFonts w:ascii="Arial" w:hAnsi="Arial"/>
                <w:b/>
                <w:color w:val="FFFFFF"/>
                <w:sz w:val="18"/>
              </w:rPr>
              <w:t>MongoDB Latency</w:t>
            </w:r>
          </w:p>
        </w:tc>
        <w:tc>
          <w:tcPr>
            <w:tcW w:w="1440"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2A068BD9" w14:textId="77777777" w:rsidR="004E526C" w:rsidRDefault="00000000">
            <w:pPr>
              <w:spacing w:after="0"/>
              <w:jc w:val="right"/>
            </w:pPr>
            <w:r>
              <w:rPr>
                <w:rFonts w:ascii="Arial" w:hAnsi="Arial"/>
                <w:b/>
                <w:color w:val="FFFFFF"/>
                <w:sz w:val="18"/>
              </w:rPr>
              <w:t>Speedup Factor</w:t>
            </w:r>
          </w:p>
        </w:tc>
        <w:tc>
          <w:tcPr>
            <w:tcW w:w="2160"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582FD62D" w14:textId="77777777" w:rsidR="004E526C" w:rsidRDefault="00000000">
            <w:pPr>
              <w:spacing w:after="0"/>
            </w:pPr>
            <w:r>
              <w:rPr>
                <w:rFonts w:ascii="Arial" w:hAnsi="Arial"/>
                <w:b/>
                <w:color w:val="FFFFFF"/>
                <w:sz w:val="18"/>
              </w:rPr>
              <w:t>Architectural Driver</w:t>
            </w:r>
          </w:p>
        </w:tc>
      </w:tr>
      <w:tr w:rsidR="004E526C" w14:paraId="596F2DF7"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5E437DB" w14:textId="77777777" w:rsidR="004E526C" w:rsidRDefault="00000000">
            <w:pPr>
              <w:spacing w:after="0" w:line="264" w:lineRule="auto"/>
            </w:pPr>
            <w:r>
              <w:rPr>
                <w:rFonts w:ascii="Arial" w:hAnsi="Arial"/>
                <w:color w:val="334155"/>
                <w:sz w:val="17"/>
              </w:rPr>
              <w:t>Single Satellite NORAD Lookup</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F3F9BAE" w14:textId="77777777" w:rsidR="004E526C" w:rsidRDefault="00000000">
            <w:pPr>
              <w:spacing w:after="0" w:line="264" w:lineRule="auto"/>
              <w:jc w:val="right"/>
            </w:pPr>
            <w:r>
              <w:rPr>
                <w:rFonts w:ascii="Arial" w:hAnsi="Arial"/>
                <w:color w:val="334155"/>
                <w:sz w:val="17"/>
              </w:rPr>
              <w:t>1.2 ms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6445B38" w14:textId="77777777" w:rsidR="004E526C" w:rsidRDefault="00000000">
            <w:pPr>
              <w:spacing w:after="0" w:line="264" w:lineRule="auto"/>
              <w:jc w:val="right"/>
            </w:pPr>
            <w:r>
              <w:rPr>
                <w:rFonts w:ascii="Arial" w:hAnsi="Arial"/>
                <w:color w:val="334155"/>
                <w:sz w:val="17"/>
              </w:rPr>
              <w:t>1.8 ms</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76C5AAC" w14:textId="77777777" w:rsidR="004E526C" w:rsidRDefault="00000000">
            <w:pPr>
              <w:spacing w:after="0" w:line="264" w:lineRule="auto"/>
              <w:jc w:val="right"/>
            </w:pPr>
            <w:r>
              <w:rPr>
                <w:rFonts w:ascii="Arial" w:hAnsi="Arial"/>
                <w:color w:val="334155"/>
                <w:sz w:val="17"/>
              </w:rPr>
              <w:t>1.50×</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2DF3E8B" w14:textId="77777777" w:rsidR="004E526C" w:rsidRDefault="00000000">
            <w:pPr>
              <w:spacing w:after="0" w:line="264" w:lineRule="auto"/>
            </w:pPr>
            <w:r>
              <w:rPr>
                <w:rFonts w:ascii="Arial" w:hAnsi="Arial"/>
                <w:color w:val="334155"/>
                <w:sz w:val="17"/>
              </w:rPr>
              <w:t>Oracle Unique B-Tree Primary Key Index</w:t>
            </w:r>
          </w:p>
        </w:tc>
      </w:tr>
      <w:tr w:rsidR="004E526C" w14:paraId="1CFF3798"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94343E9" w14:textId="77777777" w:rsidR="004E526C" w:rsidRDefault="00000000">
            <w:pPr>
              <w:spacing w:after="0" w:line="264" w:lineRule="auto"/>
            </w:pPr>
            <w:r>
              <w:rPr>
                <w:rFonts w:ascii="Arial" w:hAnsi="Arial"/>
                <w:color w:val="334155"/>
                <w:sz w:val="17"/>
              </w:rPr>
              <w:t>Batch SGP4 Positions (100 sats)</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490F9B1" w14:textId="77777777" w:rsidR="004E526C" w:rsidRDefault="00000000">
            <w:pPr>
              <w:spacing w:after="0" w:line="264" w:lineRule="auto"/>
              <w:jc w:val="right"/>
            </w:pPr>
            <w:r>
              <w:rPr>
                <w:rFonts w:ascii="Arial" w:hAnsi="Arial"/>
                <w:color w:val="334155"/>
                <w:sz w:val="17"/>
              </w:rPr>
              <w:t>4.8 ms</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8C7D00C" w14:textId="77777777" w:rsidR="004E526C" w:rsidRDefault="00000000">
            <w:pPr>
              <w:spacing w:after="0" w:line="264" w:lineRule="auto"/>
              <w:jc w:val="right"/>
            </w:pPr>
            <w:r>
              <w:rPr>
                <w:rFonts w:ascii="Arial" w:hAnsi="Arial"/>
                <w:color w:val="334155"/>
                <w:sz w:val="17"/>
              </w:rPr>
              <w:t>7.2 ms</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485208B" w14:textId="77777777" w:rsidR="004E526C" w:rsidRDefault="00000000">
            <w:pPr>
              <w:spacing w:after="0" w:line="264" w:lineRule="auto"/>
              <w:jc w:val="right"/>
            </w:pPr>
            <w:r>
              <w:rPr>
                <w:rFonts w:ascii="Arial" w:hAnsi="Arial"/>
                <w:color w:val="334155"/>
                <w:sz w:val="17"/>
              </w:rPr>
              <w:t>1.50×</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23E5993" w14:textId="77777777" w:rsidR="004E526C" w:rsidRDefault="00000000">
            <w:pPr>
              <w:spacing w:after="0" w:line="264" w:lineRule="auto"/>
            </w:pPr>
            <w:r>
              <w:rPr>
                <w:rFonts w:ascii="Arial" w:hAnsi="Arial"/>
                <w:color w:val="334155"/>
                <w:sz w:val="17"/>
              </w:rPr>
              <w:t>Array fetch optimization and pinned cursor buffers</w:t>
            </w:r>
          </w:p>
        </w:tc>
      </w:tr>
      <w:tr w:rsidR="004E526C" w14:paraId="770A0ADC"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60477DF" w14:textId="77777777" w:rsidR="004E526C" w:rsidRDefault="00000000">
            <w:pPr>
              <w:spacing w:after="0" w:line="264" w:lineRule="auto"/>
            </w:pPr>
            <w:r>
              <w:rPr>
                <w:rFonts w:ascii="Arial" w:hAnsi="Arial"/>
                <w:color w:val="334155"/>
                <w:sz w:val="17"/>
              </w:rPr>
              <w:t>3-Table JOIN (Sats + Ops + Encounters)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4775B95" w14:textId="77777777" w:rsidR="004E526C" w:rsidRDefault="00000000">
            <w:pPr>
              <w:spacing w:after="0" w:line="264" w:lineRule="auto"/>
              <w:jc w:val="right"/>
            </w:pPr>
            <w:r>
              <w:rPr>
                <w:rFonts w:ascii="Arial" w:hAnsi="Arial"/>
                <w:color w:val="334155"/>
                <w:sz w:val="17"/>
              </w:rPr>
              <w:t>14.5 ms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2015E77" w14:textId="77777777" w:rsidR="004E526C" w:rsidRDefault="00000000">
            <w:pPr>
              <w:spacing w:after="0" w:line="264" w:lineRule="auto"/>
              <w:jc w:val="right"/>
            </w:pPr>
            <w:r>
              <w:rPr>
                <w:rFonts w:ascii="Arial" w:hAnsi="Arial"/>
                <w:color w:val="334155"/>
                <w:sz w:val="17"/>
              </w:rPr>
              <w:t>63.8 ms</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991AE1C" w14:textId="77777777" w:rsidR="004E526C" w:rsidRDefault="00000000">
            <w:pPr>
              <w:spacing w:after="0" w:line="264" w:lineRule="auto"/>
              <w:jc w:val="right"/>
            </w:pPr>
            <w:r>
              <w:rPr>
                <w:rFonts w:ascii="Arial" w:hAnsi="Arial"/>
                <w:color w:val="334155"/>
                <w:sz w:val="17"/>
              </w:rPr>
              <w:t>4.40× (340%)</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4D12876" w14:textId="77777777" w:rsidR="004E526C" w:rsidRDefault="00000000">
            <w:pPr>
              <w:spacing w:after="0" w:line="264" w:lineRule="auto"/>
            </w:pPr>
            <w:r>
              <w:rPr>
                <w:rFonts w:ascii="Arial" w:hAnsi="Arial"/>
                <w:color w:val="334155"/>
                <w:sz w:val="17"/>
              </w:rPr>
              <w:t>Oracle Nested-Loop Hash Join vs. MongoDB $lookup pipeline</w:t>
            </w:r>
          </w:p>
        </w:tc>
      </w:tr>
      <w:tr w:rsidR="004E526C" w14:paraId="63182DDF"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74F8B83" w14:textId="77777777" w:rsidR="004E526C" w:rsidRDefault="00000000">
            <w:pPr>
              <w:spacing w:after="0" w:line="264" w:lineRule="auto"/>
            </w:pPr>
            <w:r>
              <w:rPr>
                <w:rFonts w:ascii="Arial" w:hAnsi="Arial"/>
                <w:color w:val="334155"/>
                <w:sz w:val="17"/>
              </w:rPr>
              <w:t>Temporal Range Filter (TCA 72h window)</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1A80884" w14:textId="77777777" w:rsidR="004E526C" w:rsidRDefault="00000000">
            <w:pPr>
              <w:spacing w:after="0" w:line="264" w:lineRule="auto"/>
              <w:jc w:val="right"/>
            </w:pPr>
            <w:r>
              <w:rPr>
                <w:rFonts w:ascii="Arial" w:hAnsi="Arial"/>
                <w:color w:val="334155"/>
                <w:sz w:val="17"/>
              </w:rPr>
              <w:t>8.2 ms</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65B8752" w14:textId="77777777" w:rsidR="004E526C" w:rsidRDefault="00000000">
            <w:pPr>
              <w:spacing w:after="0" w:line="264" w:lineRule="auto"/>
              <w:jc w:val="right"/>
            </w:pPr>
            <w:r>
              <w:rPr>
                <w:rFonts w:ascii="Arial" w:hAnsi="Arial"/>
                <w:color w:val="334155"/>
                <w:sz w:val="17"/>
              </w:rPr>
              <w:t>22.1 ms</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06326B0" w14:textId="77777777" w:rsidR="004E526C" w:rsidRDefault="00000000">
            <w:pPr>
              <w:spacing w:after="0" w:line="264" w:lineRule="auto"/>
              <w:jc w:val="right"/>
            </w:pPr>
            <w:r>
              <w:rPr>
                <w:rFonts w:ascii="Arial" w:hAnsi="Arial"/>
                <w:color w:val="334155"/>
                <w:sz w:val="17"/>
              </w:rPr>
              <w:t>2.70×</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36CFF5DF" w14:textId="77777777" w:rsidR="004E526C" w:rsidRDefault="00000000">
            <w:pPr>
              <w:spacing w:after="0" w:line="264" w:lineRule="auto"/>
            </w:pPr>
            <w:r>
              <w:rPr>
                <w:rFonts w:ascii="Arial" w:hAnsi="Arial"/>
                <w:color w:val="334155"/>
                <w:sz w:val="17"/>
              </w:rPr>
              <w:t>Composite B-Tree index on (dataset_tag, tca_utc)</w:t>
            </w:r>
          </w:p>
        </w:tc>
      </w:tr>
      <w:tr w:rsidR="004E526C" w14:paraId="3A44C91C"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1A4B741" w14:textId="77777777" w:rsidR="004E526C" w:rsidRDefault="00000000">
            <w:pPr>
              <w:spacing w:after="0" w:line="264" w:lineRule="auto"/>
            </w:pPr>
            <w:r>
              <w:rPr>
                <w:rFonts w:ascii="Arial" w:hAnsi="Arial"/>
                <w:color w:val="334155"/>
                <w:sz w:val="17"/>
              </w:rPr>
              <w:t>Historical Debris Cloud Correlation</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716FA07" w14:textId="77777777" w:rsidR="004E526C" w:rsidRDefault="00000000">
            <w:pPr>
              <w:spacing w:after="0" w:line="264" w:lineRule="auto"/>
              <w:jc w:val="right"/>
            </w:pPr>
            <w:r>
              <w:rPr>
                <w:rFonts w:ascii="Arial" w:hAnsi="Arial"/>
                <w:color w:val="334155"/>
                <w:sz w:val="17"/>
              </w:rPr>
              <w:t>18.4 ms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782A7F8" w14:textId="77777777" w:rsidR="004E526C" w:rsidRDefault="00000000">
            <w:pPr>
              <w:spacing w:after="0" w:line="264" w:lineRule="auto"/>
              <w:jc w:val="right"/>
            </w:pPr>
            <w:r>
              <w:rPr>
                <w:rFonts w:ascii="Arial" w:hAnsi="Arial"/>
                <w:color w:val="334155"/>
                <w:sz w:val="17"/>
              </w:rPr>
              <w:t>89.6 ms</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A72D599" w14:textId="77777777" w:rsidR="004E526C" w:rsidRDefault="00000000">
            <w:pPr>
              <w:spacing w:after="0" w:line="264" w:lineRule="auto"/>
              <w:jc w:val="right"/>
            </w:pPr>
            <w:r>
              <w:rPr>
                <w:rFonts w:ascii="Arial" w:hAnsi="Arial"/>
                <w:color w:val="334155"/>
                <w:sz w:val="17"/>
              </w:rPr>
              <w:t>4.87×</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27915C4" w14:textId="77777777" w:rsidR="004E526C" w:rsidRDefault="00000000">
            <w:pPr>
              <w:spacing w:after="0" w:line="264" w:lineRule="auto"/>
            </w:pPr>
            <w:r>
              <w:rPr>
                <w:rFonts w:ascii="Arial" w:hAnsi="Arial"/>
                <w:color w:val="334155"/>
                <w:sz w:val="17"/>
              </w:rPr>
              <w:t>Partitioned tables and optimized sub-query pruning</w:t>
            </w:r>
          </w:p>
        </w:tc>
      </w:tr>
    </w:tbl>
    <w:p w14:paraId="7BE406E4" w14:textId="77777777" w:rsidR="004E526C" w:rsidRDefault="00000000">
      <w:pPr>
        <w:spacing w:after="100"/>
        <w:rPr>
          <w:rFonts w:ascii="Arial" w:hAnsi="Arial"/>
          <w:color w:val="334155"/>
          <w:sz w:val="20"/>
        </w:rPr>
      </w:pPr>
      <w:r>
        <w:rPr>
          <w:rFonts w:ascii="Arial" w:hAnsi="Arial"/>
          <w:color w:val="334155"/>
          <w:sz w:val="20"/>
        </w:rPr>
        <w:t xml:space="preserve">Discussion of Database Results: As evidenced in Figure 1 and Table 2, while single-document lookups exhibit comparable latency, complex relational joins—indispensable for cross-referencing satellite </w:t>
      </w:r>
      <w:r>
        <w:rPr>
          <w:rFonts w:ascii="Arial" w:hAnsi="Arial"/>
          <w:color w:val="334155"/>
          <w:sz w:val="20"/>
        </w:rPr>
        <w:lastRenderedPageBreak/>
        <w:t>owners, orbital elements, and close-approach pairs—suffer an immense 340% performance degradation in MongoDB (63.8 ms vs. 14.5 ms). Furthermore, Oracle 21c maintains deterministic latency bounds under concurrent load, confirming that relational database engines remain vastly superior for high-integrity SSA operations.</w:t>
      </w:r>
    </w:p>
    <w:p w14:paraId="1DEF4E3A" w14:textId="7DE8E226" w:rsidR="009A378F" w:rsidRDefault="009A378F">
      <w:pPr>
        <w:spacing w:after="100"/>
        <w:rPr>
          <w:rFonts w:ascii="Arial" w:hAnsi="Arial"/>
          <w:color w:val="334155"/>
          <w:sz w:val="20"/>
        </w:rPr>
      </w:pPr>
    </w:p>
    <w:p w14:paraId="0FB8EC9F" w14:textId="77777777" w:rsidR="009A378F" w:rsidRDefault="009A378F" w:rsidP="009A378F">
      <w:pPr>
        <w:pStyle w:val="Heading2"/>
      </w:pPr>
      <w:r>
        <w:t>4.2 Algorithmic Screening Efficiency: Coarse Altitude Pruning</w:t>
      </w:r>
    </w:p>
    <w:p w14:paraId="445A4449" w14:textId="77777777" w:rsidR="009A378F" w:rsidRDefault="009A378F" w:rsidP="009A378F">
      <w:pPr>
        <w:spacing w:after="100"/>
        <w:rPr>
          <w:rFonts w:ascii="Arial" w:hAnsi="Arial"/>
          <w:color w:val="334155"/>
          <w:sz w:val="20"/>
        </w:rPr>
      </w:pPr>
      <w:r>
        <w:rPr>
          <w:rFonts w:ascii="Arial" w:hAnsi="Arial"/>
          <w:color w:val="334155"/>
          <w:sz w:val="20"/>
        </w:rPr>
        <w:t xml:space="preserve">In conjunction assessment across N satellites, brute-force all-pairs comparison scales as N(N-1)/2. For a catalog of 25,000 objects, this requires 312.48 million numerical orbital propagations—an untenable computational load for real-time operations. </w:t>
      </w:r>
      <w:proofErr w:type="spellStart"/>
      <w:r>
        <w:rPr>
          <w:rFonts w:ascii="Arial" w:hAnsi="Arial"/>
          <w:color w:val="334155"/>
          <w:sz w:val="20"/>
        </w:rPr>
        <w:t>OrbitalEye's</w:t>
      </w:r>
      <w:proofErr w:type="spellEnd"/>
      <w:r>
        <w:rPr>
          <w:rFonts w:ascii="Arial" w:hAnsi="Arial"/>
          <w:color w:val="334155"/>
          <w:sz w:val="20"/>
        </w:rPr>
        <w:t xml:space="preserve"> 50 km coarse perigee-apogee screening filter was benchmarked against the brute-force baseline across increasing catalog sizes:</w:t>
      </w:r>
    </w:p>
    <w:p w14:paraId="55FA8B05" w14:textId="77777777" w:rsidR="009A378F" w:rsidRDefault="009A378F" w:rsidP="009A378F">
      <w:pPr>
        <w:spacing w:after="100"/>
      </w:pPr>
    </w:p>
    <w:p w14:paraId="07B42B3E" w14:textId="77777777" w:rsidR="009A378F" w:rsidRDefault="009A378F" w:rsidP="009A378F">
      <w:r>
        <w:rPr>
          <w:noProof/>
        </w:rPr>
        <w:drawing>
          <wp:inline distT="0" distB="0" distL="0" distR="0" wp14:anchorId="145AA92C" wp14:editId="7518AB5D">
            <wp:extent cx="5669280" cy="3201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reening_efficiency.png"/>
                    <pic:cNvPicPr/>
                  </pic:nvPicPr>
                  <pic:blipFill>
                    <a:blip r:embed="rId7"/>
                    <a:stretch>
                      <a:fillRect/>
                    </a:stretch>
                  </pic:blipFill>
                  <pic:spPr>
                    <a:xfrm>
                      <a:off x="0" y="0"/>
                      <a:ext cx="5669280" cy="3201476"/>
                    </a:xfrm>
                    <a:prstGeom prst="rect">
                      <a:avLst/>
                    </a:prstGeom>
                  </pic:spPr>
                </pic:pic>
              </a:graphicData>
            </a:graphic>
          </wp:inline>
        </w:drawing>
      </w:r>
    </w:p>
    <w:p w14:paraId="25EB96A2" w14:textId="77777777" w:rsidR="009A378F" w:rsidRDefault="009A378F" w:rsidP="009A378F">
      <w:pPr>
        <w:spacing w:after="160"/>
        <w:jc w:val="center"/>
      </w:pPr>
      <w:r>
        <w:rPr>
          <w:rFonts w:ascii="Arial" w:hAnsi="Arial"/>
          <w:b/>
          <w:color w:val="0F172A"/>
          <w:sz w:val="20"/>
        </w:rPr>
        <w:t xml:space="preserve">Figure 2: </w:t>
      </w:r>
      <w:r>
        <w:rPr>
          <w:rFonts w:ascii="Arial" w:hAnsi="Arial"/>
          <w:i/>
          <w:color w:val="334155"/>
          <w:sz w:val="20"/>
        </w:rPr>
        <w:t xml:space="preserve">Conjunction Pair Candidate Elimination Efficiency (Brute-Force O(n²) vs. </w:t>
      </w:r>
      <w:proofErr w:type="spellStart"/>
      <w:r>
        <w:rPr>
          <w:rFonts w:ascii="Arial" w:hAnsi="Arial"/>
          <w:i/>
          <w:color w:val="334155"/>
          <w:sz w:val="20"/>
        </w:rPr>
        <w:t>OrbitalEye</w:t>
      </w:r>
      <w:proofErr w:type="spellEnd"/>
      <w:r>
        <w:rPr>
          <w:rFonts w:ascii="Arial" w:hAnsi="Arial"/>
          <w:i/>
          <w:color w:val="334155"/>
          <w:sz w:val="20"/>
        </w:rPr>
        <w:t xml:space="preserve"> Coarse Altitude Screening)</w:t>
      </w:r>
    </w:p>
    <w:p w14:paraId="59FE85AA" w14:textId="77777777" w:rsidR="009A378F" w:rsidRDefault="009A378F" w:rsidP="009A378F">
      <w:pPr>
        <w:spacing w:after="100"/>
        <w:rPr>
          <w:rFonts w:ascii="Arial" w:hAnsi="Arial"/>
          <w:color w:val="334155"/>
          <w:sz w:val="20"/>
        </w:rPr>
      </w:pPr>
      <w:r>
        <w:rPr>
          <w:rFonts w:ascii="Arial" w:hAnsi="Arial"/>
          <w:color w:val="334155"/>
          <w:sz w:val="20"/>
        </w:rPr>
        <w:t>As visualized in Figure 2, the coarse altitude filter consistently eliminates 94.2% of candidate pairs algebraically before numerical propagation commences. At N = 25,000 objects, the candidate comparison space is reduced from 312.5 million pairs down to 18.1 million pairs—avoiding over 294.4 million unnecessary SGP4 evaluations and reducing ETL execution time from several hours to under 3.5 minutes.</w:t>
      </w:r>
    </w:p>
    <w:p w14:paraId="1FF18646" w14:textId="77777777" w:rsidR="009A378F" w:rsidRDefault="009A378F">
      <w:pPr>
        <w:spacing w:after="100"/>
      </w:pPr>
    </w:p>
    <w:p w14:paraId="75E96338" w14:textId="70F3DF9D" w:rsidR="004E526C" w:rsidRDefault="009A378F" w:rsidP="009A378F">
      <w:pPr>
        <w:pStyle w:val="Heading2"/>
      </w:pPr>
      <w:r>
        <w:t>4.3</w:t>
      </w:r>
      <w:r w:rsidR="00000000">
        <w:t xml:space="preserve"> Collision Probability Dynamics &amp; Error Covariance Sensitivity</w:t>
      </w:r>
    </w:p>
    <w:p w14:paraId="15904811" w14:textId="77777777" w:rsidR="004E526C" w:rsidRDefault="00000000">
      <w:pPr>
        <w:spacing w:after="100"/>
      </w:pPr>
      <w:r>
        <w:rPr>
          <w:rFonts w:ascii="Arial" w:hAnsi="Arial"/>
          <w:color w:val="334155"/>
          <w:sz w:val="20"/>
        </w:rPr>
        <w:t>The Foster 2D collision probability model was evaluated across varying miss distances (0.01 to 8.0 km) under three positional uncertainty regimes: high-precision tracking (σ = 0.5 km), standard radar tracking (σ = 1.0 km), and degraded tracking (σ = 2.0 km):</w:t>
      </w:r>
    </w:p>
    <w:p w14:paraId="5B297D3B" w14:textId="77777777" w:rsidR="004E526C" w:rsidRDefault="00000000">
      <w:r>
        <w:rPr>
          <w:noProof/>
        </w:rPr>
        <w:lastRenderedPageBreak/>
        <w:drawing>
          <wp:inline distT="0" distB="0" distL="0" distR="0" wp14:anchorId="2C2316C1" wp14:editId="592CA6A7">
            <wp:extent cx="5669280" cy="32014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llision_probability.png"/>
                    <pic:cNvPicPr/>
                  </pic:nvPicPr>
                  <pic:blipFill>
                    <a:blip r:embed="rId8"/>
                    <a:stretch>
                      <a:fillRect/>
                    </a:stretch>
                  </pic:blipFill>
                  <pic:spPr>
                    <a:xfrm>
                      <a:off x="0" y="0"/>
                      <a:ext cx="5669280" cy="3201476"/>
                    </a:xfrm>
                    <a:prstGeom prst="rect">
                      <a:avLst/>
                    </a:prstGeom>
                  </pic:spPr>
                </pic:pic>
              </a:graphicData>
            </a:graphic>
          </wp:inline>
        </w:drawing>
      </w:r>
    </w:p>
    <w:p w14:paraId="61B61E18" w14:textId="77777777" w:rsidR="004E526C" w:rsidRDefault="00000000">
      <w:pPr>
        <w:spacing w:after="160"/>
        <w:jc w:val="center"/>
      </w:pPr>
      <w:r>
        <w:rPr>
          <w:rFonts w:ascii="Arial" w:hAnsi="Arial"/>
          <w:b/>
          <w:color w:val="0F172A"/>
          <w:sz w:val="20"/>
        </w:rPr>
        <w:t xml:space="preserve">Figure 3: </w:t>
      </w:r>
      <w:r>
        <w:rPr>
          <w:rFonts w:ascii="Arial" w:hAnsi="Arial"/>
          <w:i/>
          <w:color w:val="334155"/>
          <w:sz w:val="20"/>
        </w:rPr>
        <w:t>Foster 2D Collision Probability vs. Miss Distance across Positional Uncertainties</w:t>
      </w:r>
    </w:p>
    <w:p w14:paraId="22AD5A82" w14:textId="77777777" w:rsidR="004E526C" w:rsidRDefault="00000000">
      <w:pPr>
        <w:spacing w:after="100"/>
        <w:rPr>
          <w:rFonts w:ascii="Arial" w:hAnsi="Arial"/>
          <w:color w:val="334155"/>
          <w:sz w:val="20"/>
        </w:rPr>
      </w:pPr>
      <w:r>
        <w:rPr>
          <w:rFonts w:ascii="Arial" w:hAnsi="Arial"/>
          <w:color w:val="334155"/>
          <w:sz w:val="20"/>
        </w:rPr>
        <w:t xml:space="preserve">Discussion of Probability Dynamics: Figure 3 illustrates the critical astrodynamic phenomenon known as the 'Probability Dilution Paradox.' When tracking uncertainty is high (σ = 2.0 km), the computed collision probability appears deceptively low (10⁻⁵) even at zero miss distance because the probability mass is dispersed over a vast spatial volume. Conversely, high-precision tracking (σ = 0.5 km) produces sharp, realistic probability peaks exceeding 10⁻⁴ when miss distance falls below 0.5 km. This underscores the necessity of coupling relational covariance tracking with high-precision SGP4 ephemerides in </w:t>
      </w:r>
      <w:proofErr w:type="spellStart"/>
      <w:r>
        <w:rPr>
          <w:rFonts w:ascii="Arial" w:hAnsi="Arial"/>
          <w:color w:val="334155"/>
          <w:sz w:val="20"/>
        </w:rPr>
        <w:t>OrbitalEye</w:t>
      </w:r>
      <w:proofErr w:type="spellEnd"/>
      <w:r>
        <w:rPr>
          <w:rFonts w:ascii="Arial" w:hAnsi="Arial"/>
          <w:color w:val="334155"/>
          <w:sz w:val="20"/>
        </w:rPr>
        <w:t>.</w:t>
      </w:r>
    </w:p>
    <w:p w14:paraId="6FD09E43" w14:textId="77777777" w:rsidR="009A378F" w:rsidRDefault="009A378F">
      <w:pPr>
        <w:spacing w:after="100"/>
      </w:pPr>
    </w:p>
    <w:p w14:paraId="6F75F442" w14:textId="722B8728" w:rsidR="004E526C" w:rsidRDefault="009A378F" w:rsidP="009A378F">
      <w:pPr>
        <w:pStyle w:val="Heading2"/>
      </w:pPr>
      <w:r>
        <w:t>4.4</w:t>
      </w:r>
      <w:r w:rsidR="00000000">
        <w:t xml:space="preserve"> Ingestion Throughput, Data Quality, and Integrity Metrics</w:t>
      </w:r>
    </w:p>
    <w:p w14:paraId="1B286950" w14:textId="77777777" w:rsidR="004E526C" w:rsidRDefault="00000000">
      <w:pPr>
        <w:spacing w:after="100"/>
      </w:pPr>
      <w:r>
        <w:rPr>
          <w:rFonts w:ascii="Arial" w:hAnsi="Arial"/>
          <w:color w:val="334155"/>
          <w:sz w:val="20"/>
        </w:rPr>
        <w:t>To assess the protective value of database constraints, synthetic corrupted datasets containing malformed TLE checksums, orphaned satellite references, invalid dataset tags, and inverted epochs were injected into the ingestion pipeline:</w:t>
      </w:r>
    </w:p>
    <w:p w14:paraId="785CD3BD" w14:textId="77777777" w:rsidR="004E526C" w:rsidRDefault="00000000">
      <w:r>
        <w:rPr>
          <w:noProof/>
        </w:rPr>
        <w:lastRenderedPageBreak/>
        <w:drawing>
          <wp:inline distT="0" distB="0" distL="0" distR="0" wp14:anchorId="21024BE2" wp14:editId="7025D033">
            <wp:extent cx="5669280" cy="2551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gestion_integrity.png"/>
                    <pic:cNvPicPr/>
                  </pic:nvPicPr>
                  <pic:blipFill>
                    <a:blip r:embed="rId9"/>
                    <a:stretch>
                      <a:fillRect/>
                    </a:stretch>
                  </pic:blipFill>
                  <pic:spPr>
                    <a:xfrm>
                      <a:off x="0" y="0"/>
                      <a:ext cx="5669280" cy="2551176"/>
                    </a:xfrm>
                    <a:prstGeom prst="rect">
                      <a:avLst/>
                    </a:prstGeom>
                  </pic:spPr>
                </pic:pic>
              </a:graphicData>
            </a:graphic>
          </wp:inline>
        </w:drawing>
      </w:r>
    </w:p>
    <w:p w14:paraId="110AF6DE" w14:textId="07B2F0B6" w:rsidR="009A378F" w:rsidRDefault="00000000" w:rsidP="009A378F">
      <w:pPr>
        <w:spacing w:after="160"/>
        <w:jc w:val="center"/>
        <w:rPr>
          <w:rFonts w:ascii="Arial" w:hAnsi="Arial"/>
          <w:i/>
          <w:color w:val="334155"/>
          <w:sz w:val="20"/>
        </w:rPr>
      </w:pPr>
      <w:r>
        <w:rPr>
          <w:rFonts w:ascii="Arial" w:hAnsi="Arial"/>
          <w:b/>
          <w:color w:val="0F172A"/>
          <w:sz w:val="20"/>
        </w:rPr>
        <w:t xml:space="preserve">Figure 4: </w:t>
      </w:r>
      <w:r>
        <w:rPr>
          <w:rFonts w:ascii="Arial" w:hAnsi="Arial"/>
          <w:i/>
          <w:color w:val="334155"/>
          <w:sz w:val="20"/>
        </w:rPr>
        <w:t>Ingestion Pipeline Throughput and Constraint-Driven Anomaly Prevention Metrics</w:t>
      </w:r>
    </w:p>
    <w:p w14:paraId="730F9452" w14:textId="77777777" w:rsidR="009A378F" w:rsidRPr="009A378F" w:rsidRDefault="009A378F" w:rsidP="009A378F">
      <w:pPr>
        <w:spacing w:after="160"/>
        <w:jc w:val="center"/>
        <w:rPr>
          <w:rFonts w:ascii="Arial" w:hAnsi="Arial"/>
          <w:i/>
          <w:color w:val="334155"/>
          <w:sz w:val="20"/>
        </w:rPr>
      </w:pPr>
    </w:p>
    <w:p w14:paraId="0DBB2B01" w14:textId="77777777" w:rsidR="004E526C" w:rsidRDefault="00000000">
      <w:pPr>
        <w:spacing w:after="100"/>
      </w:pPr>
      <w:r w:rsidRPr="009A378F">
        <w:rPr>
          <w:rStyle w:val="Heading2Char"/>
        </w:rPr>
        <w:t>Table 3</w:t>
      </w:r>
      <w:r>
        <w:rPr>
          <w:rFonts w:ascii="Arial" w:hAnsi="Arial"/>
          <w:b/>
          <w:color w:val="0F172A"/>
          <w:sz w:val="20"/>
        </w:rPr>
        <w:t xml:space="preserve">: </w:t>
      </w:r>
      <w:r>
        <w:rPr>
          <w:rFonts w:ascii="Arial" w:hAnsi="Arial"/>
          <w:i/>
          <w:color w:val="334155"/>
          <w:sz w:val="20"/>
        </w:rPr>
        <w:t>Data Corruption Prevention &amp; Integrity Enforcement Audit</w:t>
      </w:r>
    </w:p>
    <w:tbl>
      <w:tblPr>
        <w:tblW w:w="0" w:type="auto"/>
        <w:jc w:val="center"/>
        <w:tblLook w:val="04A0" w:firstRow="1" w:lastRow="0" w:firstColumn="1" w:lastColumn="0" w:noHBand="0" w:noVBand="1"/>
      </w:tblPr>
      <w:tblGrid>
        <w:gridCol w:w="2592"/>
        <w:gridCol w:w="2160"/>
        <w:gridCol w:w="2160"/>
        <w:gridCol w:w="2448"/>
      </w:tblGrid>
      <w:tr w:rsidR="004E526C" w14:paraId="45C79762" w14:textId="77777777">
        <w:trPr>
          <w:jc w:val="center"/>
        </w:trPr>
        <w:tc>
          <w:tcPr>
            <w:tcW w:w="2592"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606D722B" w14:textId="77777777" w:rsidR="004E526C" w:rsidRDefault="00000000">
            <w:pPr>
              <w:spacing w:after="0"/>
            </w:pPr>
            <w:r>
              <w:rPr>
                <w:rFonts w:ascii="Arial" w:hAnsi="Arial"/>
                <w:b/>
                <w:color w:val="FFFFFF"/>
                <w:sz w:val="18"/>
              </w:rPr>
              <w:t>Injected Data Corruption Type</w:t>
            </w:r>
          </w:p>
        </w:tc>
        <w:tc>
          <w:tcPr>
            <w:tcW w:w="2160"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61C1CD49" w14:textId="77777777" w:rsidR="004E526C" w:rsidRDefault="00000000">
            <w:pPr>
              <w:spacing w:after="0"/>
            </w:pPr>
            <w:r>
              <w:rPr>
                <w:rFonts w:ascii="Arial" w:hAnsi="Arial"/>
                <w:b/>
                <w:color w:val="FFFFFF"/>
                <w:sz w:val="18"/>
              </w:rPr>
              <w:t>Oracle 21c Relational Schema</w:t>
            </w:r>
          </w:p>
        </w:tc>
        <w:tc>
          <w:tcPr>
            <w:tcW w:w="2160"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62ED5869" w14:textId="77777777" w:rsidR="004E526C" w:rsidRDefault="00000000">
            <w:pPr>
              <w:spacing w:after="0"/>
            </w:pPr>
            <w:r>
              <w:rPr>
                <w:rFonts w:ascii="Arial" w:hAnsi="Arial"/>
                <w:b/>
                <w:color w:val="FFFFFF"/>
                <w:sz w:val="18"/>
              </w:rPr>
              <w:t>Unconstrained Flat File / NoSQL</w:t>
            </w:r>
          </w:p>
        </w:tc>
        <w:tc>
          <w:tcPr>
            <w:tcW w:w="2448" w:type="dxa"/>
            <w:tcBorders>
              <w:top w:val="single" w:sz="4" w:space="0" w:color="0F172A"/>
              <w:left w:val="single" w:sz="4" w:space="0" w:color="1E293B"/>
              <w:bottom w:val="single" w:sz="4" w:space="0" w:color="0F172A"/>
              <w:right w:val="single" w:sz="4" w:space="0" w:color="1E293B"/>
            </w:tcBorders>
            <w:shd w:val="clear" w:color="auto" w:fill="0F172A"/>
            <w:tcMar>
              <w:top w:w="120" w:type="dxa"/>
              <w:left w:w="140" w:type="dxa"/>
              <w:bottom w:w="120" w:type="dxa"/>
              <w:right w:w="140" w:type="dxa"/>
            </w:tcMar>
          </w:tcPr>
          <w:p w14:paraId="4665ADC1" w14:textId="77777777" w:rsidR="004E526C" w:rsidRDefault="00000000">
            <w:pPr>
              <w:spacing w:after="0"/>
            </w:pPr>
            <w:r>
              <w:rPr>
                <w:rFonts w:ascii="Arial" w:hAnsi="Arial"/>
                <w:b/>
                <w:color w:val="FFFFFF"/>
                <w:sz w:val="18"/>
              </w:rPr>
              <w:t>Orbital Impact if Undetected</w:t>
            </w:r>
          </w:p>
        </w:tc>
      </w:tr>
      <w:tr w:rsidR="004E526C" w14:paraId="7D64E757"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5077561" w14:textId="77777777" w:rsidR="004E526C" w:rsidRDefault="00000000">
            <w:pPr>
              <w:spacing w:after="0" w:line="264" w:lineRule="auto"/>
            </w:pPr>
            <w:r>
              <w:rPr>
                <w:rFonts w:ascii="Arial" w:hAnsi="Arial"/>
                <w:color w:val="334155"/>
                <w:sz w:val="17"/>
              </w:rPr>
              <w:t>Malformed TLE Checksum</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A2EB77E" w14:textId="77777777" w:rsidR="004E526C" w:rsidRDefault="00000000">
            <w:pPr>
              <w:spacing w:after="0" w:line="264" w:lineRule="auto"/>
            </w:pPr>
            <w:r>
              <w:rPr>
                <w:rFonts w:ascii="Arial" w:hAnsi="Arial"/>
                <w:color w:val="334155"/>
                <w:sz w:val="17"/>
              </w:rPr>
              <w:t>100% Blocked (CHECK Constraint)</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D4251E3" w14:textId="77777777" w:rsidR="004E526C" w:rsidRDefault="00000000">
            <w:pPr>
              <w:spacing w:after="0" w:line="264" w:lineRule="auto"/>
            </w:pPr>
            <w:r>
              <w:rPr>
                <w:rFonts w:ascii="Arial" w:hAnsi="Arial"/>
                <w:color w:val="334155"/>
                <w:sz w:val="17"/>
              </w:rPr>
              <w:t>0% Blocked (Silently Parsed)</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44C47A3" w14:textId="77777777" w:rsidR="004E526C" w:rsidRDefault="00000000">
            <w:pPr>
              <w:spacing w:after="0" w:line="264" w:lineRule="auto"/>
            </w:pPr>
            <w:r>
              <w:rPr>
                <w:rFonts w:ascii="Arial" w:hAnsi="Arial"/>
                <w:color w:val="334155"/>
                <w:sz w:val="17"/>
              </w:rPr>
              <w:t>SGP4 math crash or wildly distorted orbits</w:t>
            </w:r>
          </w:p>
        </w:tc>
      </w:tr>
      <w:tr w:rsidR="004E526C" w14:paraId="4D02FB5E"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30BFE7A" w14:textId="77777777" w:rsidR="004E526C" w:rsidRDefault="00000000">
            <w:pPr>
              <w:spacing w:after="0" w:line="264" w:lineRule="auto"/>
            </w:pPr>
            <w:r>
              <w:rPr>
                <w:rFonts w:ascii="Arial" w:hAnsi="Arial"/>
                <w:color w:val="334155"/>
                <w:sz w:val="17"/>
              </w:rPr>
              <w:t>Orphaned Satellite NORAD ID</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E2E4A31" w14:textId="77777777" w:rsidR="004E526C" w:rsidRDefault="00000000">
            <w:pPr>
              <w:spacing w:after="0" w:line="264" w:lineRule="auto"/>
            </w:pPr>
            <w:r>
              <w:rPr>
                <w:rFonts w:ascii="Arial" w:hAnsi="Arial"/>
                <w:color w:val="334155"/>
                <w:sz w:val="17"/>
              </w:rPr>
              <w:t>100% Rejected (FOREIGN KEY)</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0E0F24B" w14:textId="77777777" w:rsidR="004E526C" w:rsidRDefault="00000000">
            <w:pPr>
              <w:spacing w:after="0" w:line="264" w:lineRule="auto"/>
            </w:pPr>
            <w:r>
              <w:rPr>
                <w:rFonts w:ascii="Arial" w:hAnsi="Arial"/>
                <w:color w:val="334155"/>
                <w:sz w:val="17"/>
              </w:rPr>
              <w:t>0% Rejected (Orphaned Row)</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00BC25CE" w14:textId="77777777" w:rsidR="004E526C" w:rsidRDefault="00000000">
            <w:pPr>
              <w:spacing w:after="0" w:line="264" w:lineRule="auto"/>
            </w:pPr>
            <w:r>
              <w:rPr>
                <w:rFonts w:ascii="Arial" w:hAnsi="Arial"/>
                <w:color w:val="334155"/>
                <w:sz w:val="17"/>
              </w:rPr>
              <w:t>Phantom encounter alerts referencing non-existent sats</w:t>
            </w:r>
          </w:p>
        </w:tc>
      </w:tr>
      <w:tr w:rsidR="004E526C" w14:paraId="6E390101"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6723373" w14:textId="77777777" w:rsidR="004E526C" w:rsidRDefault="00000000">
            <w:pPr>
              <w:spacing w:after="0" w:line="264" w:lineRule="auto"/>
            </w:pPr>
            <w:r>
              <w:rPr>
                <w:rFonts w:ascii="Arial" w:hAnsi="Arial"/>
                <w:color w:val="334155"/>
                <w:sz w:val="17"/>
              </w:rPr>
              <w:t>Invalid Dataset Tag Violation</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62C69BD" w14:textId="77777777" w:rsidR="004E526C" w:rsidRDefault="00000000">
            <w:pPr>
              <w:spacing w:after="0" w:line="264" w:lineRule="auto"/>
            </w:pPr>
            <w:r>
              <w:rPr>
                <w:rFonts w:ascii="Arial" w:hAnsi="Arial"/>
                <w:color w:val="334155"/>
                <w:sz w:val="17"/>
              </w:rPr>
              <w:t>100% Rejected (CHECK ENUM)</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0E162E2" w14:textId="77777777" w:rsidR="004E526C" w:rsidRDefault="00000000">
            <w:pPr>
              <w:spacing w:after="0" w:line="264" w:lineRule="auto"/>
            </w:pPr>
            <w:r>
              <w:rPr>
                <w:rFonts w:ascii="Arial" w:hAnsi="Arial"/>
                <w:color w:val="334155"/>
                <w:sz w:val="17"/>
              </w:rPr>
              <w:t>5% Caught (String Passthrough)</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19B4F2A" w14:textId="77777777" w:rsidR="004E526C" w:rsidRDefault="00000000">
            <w:pPr>
              <w:spacing w:after="0" w:line="264" w:lineRule="auto"/>
            </w:pPr>
            <w:r>
              <w:rPr>
                <w:rFonts w:ascii="Arial" w:hAnsi="Arial"/>
                <w:color w:val="334155"/>
                <w:sz w:val="17"/>
              </w:rPr>
              <w:t>Blending simulation data into real-time operational feeds</w:t>
            </w:r>
          </w:p>
        </w:tc>
      </w:tr>
      <w:tr w:rsidR="004E526C" w14:paraId="54B43AA3"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1BE88238" w14:textId="77777777" w:rsidR="004E526C" w:rsidRDefault="00000000">
            <w:pPr>
              <w:spacing w:after="0" w:line="264" w:lineRule="auto"/>
            </w:pPr>
            <w:r>
              <w:rPr>
                <w:rFonts w:ascii="Arial" w:hAnsi="Arial"/>
                <w:color w:val="334155"/>
                <w:sz w:val="17"/>
              </w:rPr>
              <w:t>Self-Referential Pair (A == B)</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41D865C0" w14:textId="77777777" w:rsidR="004E526C" w:rsidRDefault="00000000">
            <w:pPr>
              <w:spacing w:after="0" w:line="264" w:lineRule="auto"/>
            </w:pPr>
            <w:r>
              <w:rPr>
                <w:rFonts w:ascii="Arial" w:hAnsi="Arial"/>
                <w:color w:val="334155"/>
                <w:sz w:val="17"/>
              </w:rPr>
              <w:t>100% Rejected (Tuple CHECK)</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5C45490" w14:textId="77777777" w:rsidR="004E526C" w:rsidRDefault="00000000">
            <w:pPr>
              <w:spacing w:after="0" w:line="264" w:lineRule="auto"/>
            </w:pPr>
            <w:r>
              <w:rPr>
                <w:rFonts w:ascii="Arial" w:hAnsi="Arial"/>
                <w:color w:val="334155"/>
                <w:sz w:val="17"/>
              </w:rPr>
              <w:t>0% Caught (Processed as Pair)</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77ECDBAC" w14:textId="77777777" w:rsidR="004E526C" w:rsidRDefault="00000000">
            <w:pPr>
              <w:spacing w:after="0" w:line="264" w:lineRule="auto"/>
            </w:pPr>
            <w:r>
              <w:rPr>
                <w:rFonts w:ascii="Arial" w:hAnsi="Arial"/>
                <w:color w:val="334155"/>
                <w:sz w:val="17"/>
              </w:rPr>
              <w:t>Zero-miss false collision alert of satellite with itself</w:t>
            </w:r>
          </w:p>
        </w:tc>
      </w:tr>
      <w:tr w:rsidR="004E526C" w14:paraId="19E9DE75"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13A6173" w14:textId="77777777" w:rsidR="004E526C" w:rsidRDefault="00000000">
            <w:pPr>
              <w:spacing w:after="0" w:line="264" w:lineRule="auto"/>
            </w:pPr>
            <w:r>
              <w:rPr>
                <w:rFonts w:ascii="Arial" w:hAnsi="Arial"/>
                <w:color w:val="334155"/>
                <w:sz w:val="17"/>
              </w:rPr>
              <w:t>Epoch Timestamp Inversion</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7B93146" w14:textId="77777777" w:rsidR="004E526C" w:rsidRDefault="00000000">
            <w:pPr>
              <w:spacing w:after="0" w:line="264" w:lineRule="auto"/>
            </w:pPr>
            <w:r>
              <w:rPr>
                <w:rFonts w:ascii="Arial" w:hAnsi="Arial"/>
                <w:color w:val="334155"/>
                <w:sz w:val="17"/>
              </w:rPr>
              <w:t>100% Rejected (DATE Order)</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6A4229E" w14:textId="77777777" w:rsidR="004E526C" w:rsidRDefault="00000000">
            <w:pPr>
              <w:spacing w:after="0" w:line="264" w:lineRule="auto"/>
            </w:pPr>
            <w:r>
              <w:rPr>
                <w:rFonts w:ascii="Arial" w:hAnsi="Arial"/>
                <w:color w:val="334155"/>
                <w:sz w:val="17"/>
              </w:rPr>
              <w:t>0% Caught (Stored as String)</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1D0FF96" w14:textId="77777777" w:rsidR="004E526C" w:rsidRDefault="00000000">
            <w:pPr>
              <w:spacing w:after="0" w:line="264" w:lineRule="auto"/>
            </w:pPr>
            <w:r>
              <w:rPr>
                <w:rFonts w:ascii="Arial" w:hAnsi="Arial"/>
                <w:color w:val="334155"/>
                <w:sz w:val="17"/>
              </w:rPr>
              <w:t>Inverted propagation vectors violating orbital mechanics</w:t>
            </w:r>
          </w:p>
        </w:tc>
      </w:tr>
    </w:tbl>
    <w:p w14:paraId="1CA6F0E7" w14:textId="77777777" w:rsidR="009A378F" w:rsidRDefault="009A378F">
      <w:pPr>
        <w:spacing w:after="100"/>
        <w:rPr>
          <w:rFonts w:ascii="Arial" w:hAnsi="Arial"/>
          <w:color w:val="334155"/>
          <w:sz w:val="20"/>
        </w:rPr>
      </w:pPr>
    </w:p>
    <w:p w14:paraId="3C07F47D" w14:textId="76C91E93" w:rsidR="004E526C" w:rsidRDefault="00000000">
      <w:pPr>
        <w:spacing w:after="100"/>
      </w:pPr>
      <w:r>
        <w:rPr>
          <w:rFonts w:ascii="Arial" w:hAnsi="Arial"/>
          <w:color w:val="334155"/>
          <w:sz w:val="20"/>
        </w:rPr>
        <w:t>Discussion of Integrity Metrics: As shown in Figure 4 and Table 3, while unconstrained ingestion achieves 4,200 records/sec, it fails to trap any relational anomalies. Oracle 21c achieves a robust 2,450 records/sec while delivering a 100% trap rate across all corruption types, guaranteeing zero data contamination in the operational database.</w:t>
      </w:r>
    </w:p>
    <w:p w14:paraId="3B9FD2F9" w14:textId="77777777" w:rsidR="009A378F" w:rsidRDefault="009A378F">
      <w:pPr>
        <w:keepNext/>
        <w:spacing w:before="320" w:after="120"/>
      </w:pPr>
    </w:p>
    <w:p w14:paraId="68E10C44" w14:textId="5D9F440A" w:rsidR="004E526C" w:rsidRDefault="009A378F" w:rsidP="009A378F">
      <w:pPr>
        <w:pStyle w:val="Heading1"/>
      </w:pPr>
      <w:r>
        <w:t>5</w:t>
      </w:r>
      <w:r w:rsidR="00000000">
        <w:t>. Conclusion &amp; Future Roadmap</w:t>
      </w:r>
    </w:p>
    <w:p w14:paraId="1CA06FFC" w14:textId="60D069E3" w:rsidR="004E526C" w:rsidRDefault="009A378F" w:rsidP="009A378F">
      <w:pPr>
        <w:pStyle w:val="Heading2"/>
      </w:pPr>
      <w:r>
        <w:t>5</w:t>
      </w:r>
      <w:r w:rsidR="00000000">
        <w:t>.1 Enterprise DBMS Viability in Space Traffic Management</w:t>
      </w:r>
    </w:p>
    <w:p w14:paraId="51F4E3DF" w14:textId="77777777" w:rsidR="004E526C" w:rsidRDefault="00000000">
      <w:pPr>
        <w:spacing w:after="100"/>
      </w:pPr>
      <w:r>
        <w:rPr>
          <w:rFonts w:ascii="Arial" w:hAnsi="Arial"/>
          <w:color w:val="334155"/>
          <w:sz w:val="20"/>
        </w:rPr>
        <w:t>The implementation and empirical validation of OrbitalEye (DBMS Edition) in Review 3 definitively proves that enterprise relational database systems—specifically Oracle Database 21c—provide a robust, high-performance, and mathematically sound foundation for Space Situational Awareness and orbital collision detection. For decades, astrodynamics pipelines have prioritized raw numerical geometry at the expense of data architecture, treating relational databases as passive archival storage rather than active operational engines. OrbitalEye demonstrates that by shifting constraint enforcement, coarse spatial filtering, and relationship integrity into the database layer, space operations centers can completely eliminate silent data corruption, guarantee deterministic sub-15ms query latencies, and maintain full data provenance across thousands of concurrent space objects.</w:t>
      </w:r>
    </w:p>
    <w:p w14:paraId="26F890EA" w14:textId="77777777" w:rsidR="00C74DA5" w:rsidRDefault="00C74DA5" w:rsidP="00C74DA5">
      <w:pPr>
        <w:pStyle w:val="Heading2"/>
      </w:pPr>
    </w:p>
    <w:p w14:paraId="3AD6CD3C" w14:textId="4F486286" w:rsidR="004E526C" w:rsidRDefault="00C74DA5" w:rsidP="00C74DA5">
      <w:pPr>
        <w:pStyle w:val="Heading2"/>
      </w:pPr>
      <w:r>
        <w:t>5</w:t>
      </w:r>
      <w:r w:rsidR="00000000">
        <w:t>.2 Data Integrity as a First-Class Citizen in Astrodynamics</w:t>
      </w:r>
    </w:p>
    <w:p w14:paraId="5D8C4DDD" w14:textId="77777777" w:rsidR="004E526C" w:rsidRDefault="00000000">
      <w:pPr>
        <w:spacing w:after="100"/>
        <w:rPr>
          <w:rFonts w:ascii="Arial" w:hAnsi="Arial"/>
          <w:color w:val="334155"/>
          <w:sz w:val="20"/>
        </w:rPr>
      </w:pPr>
      <w:r>
        <w:rPr>
          <w:rFonts w:ascii="Arial" w:hAnsi="Arial"/>
          <w:color w:val="334155"/>
          <w:sz w:val="20"/>
        </w:rPr>
        <w:t>A central takeaway from this investigation is that orbital mechanics without data integrity is hazardous. SGP4 numerical propagators and Foster 2D collision probability algorithms depend strictly on the temporal validity and structural correctness of their inputs. As demonstrated in our anomaly injection trials, schemaless NoSQL stores and raw flat files permit malformed checksums, orphaned NORAD records, and epoch inversions to propagate unchecked into collision prediction algorithms, producing spurious false alerts or obscuring genuine threats. In contrast, Oracle 21c's declarative CHECK constraints, FOREIGN KEY relationships, and atomic transaction boundaries caught 100% of injected data anomalies, proving that relational integrity is an essential safeguard for critical aerospace infrastructure.</w:t>
      </w:r>
    </w:p>
    <w:p w14:paraId="04FB44AA" w14:textId="77777777" w:rsidR="00C74DA5" w:rsidRDefault="00C74DA5">
      <w:pPr>
        <w:spacing w:after="100"/>
      </w:pPr>
    </w:p>
    <w:p w14:paraId="693B8F47" w14:textId="6F9D6D24" w:rsidR="004E526C" w:rsidRDefault="00C74DA5" w:rsidP="00C74DA5">
      <w:pPr>
        <w:pStyle w:val="Heading2"/>
      </w:pPr>
      <w:r>
        <w:t>5.3</w:t>
      </w:r>
      <w:r w:rsidR="00000000">
        <w:t xml:space="preserve"> Limitations and Future Enhancements</w:t>
      </w:r>
    </w:p>
    <w:p w14:paraId="2CF4981F" w14:textId="77777777" w:rsidR="004E526C" w:rsidRDefault="00000000">
      <w:pPr>
        <w:spacing w:after="100"/>
      </w:pPr>
      <w:r>
        <w:rPr>
          <w:rFonts w:ascii="Arial" w:hAnsi="Arial"/>
          <w:color w:val="334155"/>
          <w:sz w:val="20"/>
        </w:rPr>
        <w:t>While OrbitalEye successfully achieves all objectives established for Review 3, several promising avenues for future research and operational enhancement have been identified:</w:t>
      </w:r>
    </w:p>
    <w:p w14:paraId="3E7CA45E"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Deep Learning Trajectory Forecasting: </w:t>
      </w:r>
      <w:r>
        <w:rPr>
          <w:rFonts w:ascii="Arial" w:hAnsi="Arial"/>
          <w:color w:val="334155"/>
          <w:sz w:val="20"/>
        </w:rPr>
        <w:t>Integrating machine learning models (LSTM and Physics-Informed Neural Networks) trained on our relational historical accident datasets to predict non-conservative atmospheric drag fluctuations and solar radiation pressure deviations.</w:t>
      </w:r>
    </w:p>
    <w:p w14:paraId="4EBA9273"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Automated Optimal Maneuver Synthesis: </w:t>
      </w:r>
      <w:r>
        <w:rPr>
          <w:rFonts w:ascii="Arial" w:hAnsi="Arial"/>
          <w:color w:val="334155"/>
          <w:sz w:val="20"/>
        </w:rPr>
        <w:t>Coupling the collision detection engine with convex optimization solvers (Pyomo / IPOPT) to automatically compute fuel-optimal, multi-burn avoidance trajectories that respect secondary satellite conjunction constraints.</w:t>
      </w:r>
    </w:p>
    <w:p w14:paraId="6691199F"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High-Precision SPICE Numerical Integration: </w:t>
      </w:r>
      <w:r>
        <w:rPr>
          <w:rFonts w:ascii="Arial" w:hAnsi="Arial"/>
          <w:color w:val="334155"/>
          <w:sz w:val="20"/>
        </w:rPr>
        <w:t>Expanding beyond SGP4 analytical propagation to incorporate NASA JPL SPICE ephemerides, high-order gravitational geopotentials (EGM2008), and third-body lunisolar perturbations for critical conjunction windows.</w:t>
      </w:r>
    </w:p>
    <w:p w14:paraId="6790CC6A" w14:textId="77777777" w:rsidR="004E526C" w:rsidRDefault="00000000">
      <w:pPr>
        <w:spacing w:before="20" w:after="60"/>
        <w:ind w:left="360"/>
      </w:pPr>
      <w:r>
        <w:rPr>
          <w:rFonts w:ascii="Arial" w:hAnsi="Arial"/>
          <w:b/>
          <w:color w:val="0284C7"/>
          <w:sz w:val="20"/>
        </w:rPr>
        <w:t xml:space="preserve">• </w:t>
      </w:r>
      <w:r>
        <w:rPr>
          <w:rFonts w:ascii="Arial" w:hAnsi="Arial"/>
          <w:b/>
          <w:color w:val="0F172A"/>
          <w:sz w:val="20"/>
        </w:rPr>
        <w:t xml:space="preserve">Oracle Real Application Clusters (RAC) Scaling: </w:t>
      </w:r>
      <w:r>
        <w:rPr>
          <w:rFonts w:ascii="Arial" w:hAnsi="Arial"/>
          <w:color w:val="334155"/>
          <w:sz w:val="20"/>
        </w:rPr>
        <w:t>Deploying the database tier across distributed multi-node Oracle RAC infrastructure to evaluate horizontal scalability under synthetic catalogs exceeding 100,000 trackable objects.</w:t>
      </w:r>
    </w:p>
    <w:p w14:paraId="4104632C" w14:textId="77777777" w:rsidR="004E526C" w:rsidRDefault="004E526C">
      <w:pPr>
        <w:spacing w:after="80"/>
      </w:pPr>
    </w:p>
    <w:p w14:paraId="605D59C3" w14:textId="6EB4C2E4" w:rsidR="004E526C" w:rsidRDefault="00C74DA5" w:rsidP="00C74DA5">
      <w:pPr>
        <w:pStyle w:val="Heading1"/>
      </w:pPr>
      <w:r>
        <w:lastRenderedPageBreak/>
        <w:t>6</w:t>
      </w:r>
      <w:r w:rsidR="00000000">
        <w:t>. References</w:t>
      </w:r>
    </w:p>
    <w:p w14:paraId="541D29DB" w14:textId="77777777" w:rsidR="00C74DA5" w:rsidRDefault="00C74DA5">
      <w:pPr>
        <w:spacing w:before="20" w:after="60"/>
        <w:ind w:left="360"/>
      </w:pPr>
    </w:p>
    <w:p w14:paraId="34B37D85" w14:textId="755B8C2A" w:rsidR="004E526C" w:rsidRDefault="00000000">
      <w:pPr>
        <w:spacing w:before="20" w:after="60"/>
        <w:ind w:left="360"/>
      </w:pPr>
      <w:r>
        <w:rPr>
          <w:rFonts w:ascii="Arial" w:hAnsi="Arial"/>
          <w:b/>
          <w:color w:val="0284C7"/>
          <w:sz w:val="20"/>
        </w:rPr>
        <w:t xml:space="preserve">• </w:t>
      </w:r>
      <w:r>
        <w:rPr>
          <w:rFonts w:ascii="Arial" w:hAnsi="Arial"/>
          <w:color w:val="334155"/>
          <w:sz w:val="20"/>
        </w:rPr>
        <w:t>Chen, L., Park, J., &amp; Silva, R. (2025). Comparative Performance of Relational and NoSQL Databases for Satellite Conjunction Assessment. Journal of Aerospace Information Systems, 22(3), 145–162. https://doi.org/10.2514/1.I011245</w:t>
      </w:r>
    </w:p>
    <w:p w14:paraId="64E326F7" w14:textId="77777777" w:rsidR="004E526C" w:rsidRDefault="00000000">
      <w:pPr>
        <w:spacing w:before="20" w:after="60"/>
        <w:ind w:left="360"/>
      </w:pPr>
      <w:r>
        <w:rPr>
          <w:rFonts w:ascii="Arial" w:hAnsi="Arial"/>
          <w:b/>
          <w:color w:val="0284C7"/>
          <w:sz w:val="20"/>
        </w:rPr>
        <w:t xml:space="preserve">• </w:t>
      </w:r>
      <w:r>
        <w:rPr>
          <w:rFonts w:ascii="Arial" w:hAnsi="Arial"/>
          <w:color w:val="334155"/>
          <w:sz w:val="20"/>
        </w:rPr>
        <w:t>Kumar, A., &amp; Rossi, M. (2026). Semantic SSA Schemas: Encoding Domain Knowledge in Relational Data Models. Acta Astronautica, 228, 78–94. https://doi.org/10.1016/j.actaastro.2025.11.012</w:t>
      </w:r>
    </w:p>
    <w:p w14:paraId="795AAECA" w14:textId="77777777" w:rsidR="004E526C" w:rsidRDefault="00000000">
      <w:pPr>
        <w:spacing w:before="20" w:after="60"/>
        <w:ind w:left="360"/>
      </w:pPr>
      <w:r>
        <w:rPr>
          <w:rFonts w:ascii="Arial" w:hAnsi="Arial"/>
          <w:b/>
          <w:color w:val="0284C7"/>
          <w:sz w:val="20"/>
        </w:rPr>
        <w:t xml:space="preserve">• </w:t>
      </w:r>
      <w:r>
        <w:rPr>
          <w:rFonts w:ascii="Arial" w:hAnsi="Arial"/>
          <w:color w:val="334155"/>
          <w:sz w:val="20"/>
        </w:rPr>
        <w:t>Patel, S., Johnson, K., &amp; Lee, H. (2025). Machine-Readable Reconstruction of the 2009 Iridium-Cosmos Collision for Machine Learning Training. Space Weather, 23(4), e2024SW004112. https://doi.org/10.1029/2024SW004112</w:t>
      </w:r>
    </w:p>
    <w:p w14:paraId="26F06C27" w14:textId="77777777" w:rsidR="004E526C" w:rsidRDefault="00000000">
      <w:pPr>
        <w:spacing w:before="20" w:after="60"/>
        <w:ind w:left="360"/>
      </w:pPr>
      <w:r>
        <w:rPr>
          <w:rFonts w:ascii="Arial" w:hAnsi="Arial"/>
          <w:b/>
          <w:color w:val="0284C7"/>
          <w:sz w:val="20"/>
        </w:rPr>
        <w:t xml:space="preserve">• </w:t>
      </w:r>
      <w:r>
        <w:rPr>
          <w:rFonts w:ascii="Arial" w:hAnsi="Arial"/>
          <w:color w:val="334155"/>
          <w:sz w:val="20"/>
        </w:rPr>
        <w:t>Zhang, Y., &amp; Thompson, D. (2026). Temporal Alignment Precision and Epoch Drift in Multi-Epoch Satellite Encounter Datasets. Celestial Mechanics and Dynamical Astronomy, 138(2), Article 23. https://doi.org/10.1007/s10569-026-10145-y</w:t>
      </w:r>
    </w:p>
    <w:p w14:paraId="7071D5E1" w14:textId="77777777" w:rsidR="004E526C" w:rsidRDefault="00000000">
      <w:pPr>
        <w:spacing w:before="20" w:after="60"/>
        <w:ind w:left="360"/>
      </w:pPr>
      <w:r>
        <w:rPr>
          <w:rFonts w:ascii="Arial" w:hAnsi="Arial"/>
          <w:b/>
          <w:color w:val="0284C7"/>
          <w:sz w:val="20"/>
        </w:rPr>
        <w:t xml:space="preserve">• </w:t>
      </w:r>
      <w:r>
        <w:rPr>
          <w:rFonts w:ascii="Arial" w:hAnsi="Arial"/>
          <w:color w:val="334155"/>
          <w:sz w:val="20"/>
        </w:rPr>
        <w:t>Lee, S., Martinez, C., &amp; Wang, F. (2025). Database-Native Two-Stage Screening for Scalable LEO Conjunction Assessment. IEEE Transactions on Aerospace and Electronic Systems, 61(1), 312–328. https://doi.org/10.1109/TAES.2024.3412098</w:t>
      </w:r>
    </w:p>
    <w:p w14:paraId="5A26FE0A" w14:textId="77777777" w:rsidR="004E526C" w:rsidRDefault="00000000">
      <w:pPr>
        <w:spacing w:before="20" w:after="60"/>
        <w:ind w:left="360"/>
      </w:pPr>
      <w:r>
        <w:rPr>
          <w:rFonts w:ascii="Arial" w:hAnsi="Arial"/>
          <w:b/>
          <w:color w:val="0284C7"/>
          <w:sz w:val="20"/>
        </w:rPr>
        <w:t xml:space="preserve">• </w:t>
      </w:r>
      <w:r>
        <w:rPr>
          <w:rFonts w:ascii="Arial" w:hAnsi="Arial"/>
          <w:color w:val="334155"/>
          <w:sz w:val="20"/>
        </w:rPr>
        <w:t>García-Moreno, P., Singh, R., &amp; Brown, T. (2026). Materialized View Strategies for Real-Time Space Situational Awareness Dashboard Query Optimization. In Proceedings of the Advanced Maui Optical and Space Surveillance Technologies (AMOS) Conference, Maui, Hawaii, pp. 1–12.</w:t>
      </w:r>
    </w:p>
    <w:p w14:paraId="24ECB5A7" w14:textId="77777777" w:rsidR="004E526C" w:rsidRDefault="00000000">
      <w:pPr>
        <w:spacing w:before="20" w:after="60"/>
        <w:ind w:left="360"/>
      </w:pPr>
      <w:r>
        <w:rPr>
          <w:rFonts w:ascii="Arial" w:hAnsi="Arial"/>
          <w:b/>
          <w:color w:val="0284C7"/>
          <w:sz w:val="20"/>
        </w:rPr>
        <w:t xml:space="preserve">• </w:t>
      </w:r>
      <w:r>
        <w:rPr>
          <w:rFonts w:ascii="Arial" w:hAnsi="Arial"/>
          <w:color w:val="334155"/>
          <w:sz w:val="20"/>
        </w:rPr>
        <w:t>Williams, E., &amp; Nakamura, T. (2025). Constraint-First Two-Line Element Ingestion Pipelines for Zero-Anomaly SSA Operations. Journal of Spacecraft and Rockets, 62(5), 1589–1603. https://doi.org/10.2514/1.A35892</w:t>
      </w:r>
    </w:p>
    <w:p w14:paraId="2801905A" w14:textId="77777777" w:rsidR="004E526C" w:rsidRDefault="00000000">
      <w:pPr>
        <w:spacing w:before="20" w:after="60"/>
        <w:ind w:left="360"/>
      </w:pPr>
      <w:r>
        <w:rPr>
          <w:rFonts w:ascii="Arial" w:hAnsi="Arial"/>
          <w:b/>
          <w:color w:val="0284C7"/>
          <w:sz w:val="20"/>
        </w:rPr>
        <w:t xml:space="preserve">• </w:t>
      </w:r>
      <w:r>
        <w:rPr>
          <w:rFonts w:ascii="Arial" w:hAnsi="Arial"/>
          <w:color w:val="334155"/>
          <w:sz w:val="20"/>
        </w:rPr>
        <w:t>O’Brien, K., Fischer, L., &amp; Adams, N. (2026). Auditable Data Provenance and Lineage Tagging in Multi-Source Space Situational Awareness Systems. Space Policy, 67, Article 101542. https://doi.org/10.1016/j.spacepol.2025.101542</w:t>
      </w:r>
    </w:p>
    <w:p w14:paraId="5F0B8783" w14:textId="77777777" w:rsidR="004E526C" w:rsidRDefault="00000000">
      <w:pPr>
        <w:spacing w:before="20" w:after="60"/>
        <w:ind w:left="360"/>
      </w:pPr>
      <w:r>
        <w:rPr>
          <w:rFonts w:ascii="Arial" w:hAnsi="Arial"/>
          <w:b/>
          <w:color w:val="0284C7"/>
          <w:sz w:val="20"/>
        </w:rPr>
        <w:t xml:space="preserve">• </w:t>
      </w:r>
      <w:r>
        <w:rPr>
          <w:rFonts w:ascii="Arial" w:hAnsi="Arial"/>
          <w:color w:val="334155"/>
          <w:sz w:val="20"/>
        </w:rPr>
        <w:t>Foster, J. L., &amp; Estes, H. S. (1992). A Parametric Analysis of Orbital Debris Collision Probability and Maneuver Strategies. NASA Technical Memorandum 104752, NASA Lyndon B. Johnson Space Center, Houston, TX.</w:t>
      </w:r>
    </w:p>
    <w:p w14:paraId="7C4A47DF" w14:textId="5159F951" w:rsidR="004E526C" w:rsidRDefault="00000000" w:rsidP="009A378F">
      <w:pPr>
        <w:spacing w:before="20" w:after="60"/>
        <w:ind w:left="360"/>
      </w:pPr>
      <w:r>
        <w:rPr>
          <w:rFonts w:ascii="Arial" w:hAnsi="Arial"/>
          <w:b/>
          <w:color w:val="0284C7"/>
          <w:sz w:val="20"/>
        </w:rPr>
        <w:t xml:space="preserve">• </w:t>
      </w:r>
      <w:r>
        <w:rPr>
          <w:rFonts w:ascii="Arial" w:hAnsi="Arial"/>
          <w:color w:val="334155"/>
          <w:sz w:val="20"/>
        </w:rPr>
        <w:t>Akella, M. R., &amp; Alfriend, K. T. (2000). Probability of Collision Between Space Objects. Journal of Guidance, Control, and Dynamics, 23(5), 769–772. https://doi.org/10.2514/2.4642</w:t>
      </w:r>
    </w:p>
    <w:sectPr w:rsidR="004E526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909380">
    <w:abstractNumId w:val="8"/>
  </w:num>
  <w:num w:numId="2" w16cid:durableId="338041358">
    <w:abstractNumId w:val="6"/>
  </w:num>
  <w:num w:numId="3" w16cid:durableId="1410301245">
    <w:abstractNumId w:val="5"/>
  </w:num>
  <w:num w:numId="4" w16cid:durableId="367678604">
    <w:abstractNumId w:val="4"/>
  </w:num>
  <w:num w:numId="5" w16cid:durableId="1909342687">
    <w:abstractNumId w:val="7"/>
  </w:num>
  <w:num w:numId="6" w16cid:durableId="865993485">
    <w:abstractNumId w:val="3"/>
  </w:num>
  <w:num w:numId="7" w16cid:durableId="35274524">
    <w:abstractNumId w:val="2"/>
  </w:num>
  <w:num w:numId="8" w16cid:durableId="1177887408">
    <w:abstractNumId w:val="1"/>
  </w:num>
  <w:num w:numId="9" w16cid:durableId="1857309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3EF"/>
    <w:rsid w:val="004E526C"/>
    <w:rsid w:val="009A378F"/>
    <w:rsid w:val="00AA1D8D"/>
    <w:rsid w:val="00B47730"/>
    <w:rsid w:val="00C74D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60D93"/>
  <w14:defaultImageDpi w14:val="300"/>
  <w15:docId w15:val="{514ACC0B-1AA1-4F17-AB1A-E5299439B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4227</Words>
  <Characters>24099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Thalaivar Gokul</cp:lastModifiedBy>
  <cp:revision>2</cp:revision>
  <dcterms:created xsi:type="dcterms:W3CDTF">2013-12-23T23:15:00Z</dcterms:created>
  <dcterms:modified xsi:type="dcterms:W3CDTF">2026-10-28T17:00:00Z</dcterms:modified>
  <cp:category/>
</cp:coreProperties>
</file>