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color w:val="1B3A6B"/>
          <w:sz w:val="44"/>
        </w:rPr>
        <w:t>GLOBAL CRUDE OIL PRODUCTION</w:t>
      </w:r>
    </w:p>
    <w:p>
      <w:pPr>
        <w:jc w:val="center"/>
      </w:pPr>
      <w:r>
        <w:rPr>
          <w:b/>
          <w:i w:val="0"/>
          <w:color w:val="1B3A6B"/>
          <w:sz w:val="44"/>
        </w:rPr>
        <w:t>INTELLIGENCE PLATFORM</w:t>
      </w:r>
    </w:p>
    <w:p/>
    <w:p>
      <w:pPr>
        <w:jc w:val="center"/>
      </w:pPr>
      <w:r>
        <w:rPr>
          <w:b w:val="0"/>
          <w:i w:val="0"/>
          <w:color w:val="57606A"/>
          <w:sz w:val="28"/>
        </w:rPr>
        <w:t>Business Intelligence &amp; Data Analytics Project Report</w:t>
      </w:r>
    </w:p>
    <w:p/>
    <w:p>
      <w:pPr>
        <w:jc w:val="center"/>
      </w:pPr>
      <w:r>
        <w:rPr>
          <w:b w:val="0"/>
          <w:i w:val="0"/>
          <w:color w:val="57606A"/>
          <w:sz w:val="22"/>
        </w:rPr>
        <w:t>Data Source: OECD/IEA — OILPROD Indicator</w:t>
      </w:r>
    </w:p>
    <w:p>
      <w:pPr>
        <w:jc w:val="center"/>
      </w:pPr>
      <w:r>
        <w:rPr>
          <w:b w:val="0"/>
          <w:i w:val="0"/>
          <w:color w:val="57606A"/>
          <w:sz w:val="22"/>
        </w:rPr>
        <w:t>Dataset Coverage: 1960–2017 | 142 Locations | 8,236 Records</w:t>
      </w:r>
    </w:p>
    <w:p>
      <w:pPr>
        <w:jc w:val="center"/>
      </w:pPr>
      <w:r>
        <w:rPr>
          <w:b w:val="0"/>
          <w:i w:val="0"/>
          <w:color w:val="57606A"/>
          <w:sz w:val="22"/>
        </w:rPr>
        <w:t>Report Generated: September 24, 2026</w:t>
      </w:r>
    </w:p>
    <w:p>
      <w:r>
        <w:br w:type="page"/>
      </w:r>
    </w:p>
    <w:p>
      <w:pPr>
        <w:pStyle w:val="Heading1"/>
      </w:pPr>
      <w:r>
        <w:rPr>
          <w:color w:val="1B3A6B"/>
        </w:rPr>
        <w:t>1. Executive Summary</w:t>
      </w:r>
    </w:p>
    <w:p>
      <w:r>
        <w:rPr>
          <w:b w:val="0"/>
          <w:i w:val="0"/>
          <w:sz w:val="22"/>
        </w:rPr>
        <w:t>This report presents a complete Business Intelligence analysis of global crude oil production data from the OECD/IEA dataset (1960–2017). The analysis covers 142 countries and regional aggregates, delivering evidence-based KPIs, trend analysis, supply concentration risk assessment, growth opportunity identification, and actionable strategic recommendations.</w:t>
      </w:r>
    </w:p>
    <w:p>
      <w:r>
        <w:rPr>
          <w:b/>
          <w:i w:val="0"/>
          <w:sz w:val="22"/>
        </w:rPr>
        <w:t>Key Executive Findings:</w:t>
      </w:r>
    </w:p>
    <w:p>
      <w:pPr>
        <w:pStyle w:val="ListBullet"/>
      </w:pPr>
      <w:r>
        <w:rPr>
          <w:sz w:val="22"/>
        </w:rPr>
        <w:t>World crude oil production reached 3,971 MTOE in 2017 — a record high in the dataset.</w:t>
      </w:r>
    </w:p>
    <w:p>
      <w:pPr>
        <w:pStyle w:val="ListBullet"/>
      </w:pPr>
      <w:r>
        <w:rPr>
          <w:sz w:val="22"/>
        </w:rPr>
        <w:t>Year-over-year change: -0.52%</w:t>
      </w:r>
    </w:p>
    <w:p>
      <w:pPr>
        <w:pStyle w:val="ListBullet"/>
      </w:pPr>
      <w:r>
        <w:rPr>
          <w:sz w:val="22"/>
        </w:rPr>
        <w:t>Long-term CAGR (1971–2017): 1.04% per year</w:t>
      </w:r>
    </w:p>
    <w:p>
      <w:pPr>
        <w:pStyle w:val="ListBullet"/>
      </w:pPr>
      <w:r>
        <w:rPr>
          <w:sz w:val="22"/>
        </w:rPr>
        <w:t>Top producer: Russia (13.2% of world supply)</w:t>
      </w:r>
    </w:p>
    <w:p>
      <w:pPr>
        <w:pStyle w:val="ListBullet"/>
      </w:pPr>
      <w:r>
        <w:rPr>
          <w:sz w:val="22"/>
        </w:rPr>
        <w:t>Top-5 producer concentration: 48.7% — significant geopolitical supply risk</w:t>
      </w:r>
    </w:p>
    <w:p>
      <w:pPr>
        <w:pStyle w:val="ListBullet"/>
      </w:pPr>
      <w:r>
        <w:rPr>
          <w:sz w:val="22"/>
        </w:rPr>
        <w:t>US shale revolution transformed global supply dynamics from 2008 onwards</w:t>
      </w:r>
    </w:p>
    <w:p>
      <w:pPr>
        <w:pStyle w:val="ListBullet"/>
      </w:pPr>
      <w:r>
        <w:rPr>
          <w:sz w:val="22"/>
        </w:rPr>
        <w:t>Legacy producers (UK, Norway, Mexico, Venezuela) in structural decline from peak</w:t>
      </w:r>
    </w:p>
    <w:p/>
    <w:p>
      <w:pPr>
        <w:pStyle w:val="Heading1"/>
      </w:pPr>
      <w:r>
        <w:rPr>
          <w:color w:val="1B3A6B"/>
        </w:rPr>
        <w:t>2. Business Problem &amp; Analytical Objectives</w:t>
      </w:r>
    </w:p>
    <w:p>
      <w:r>
        <w:rPr>
          <w:b w:val="0"/>
          <w:i w:val="0"/>
          <w:sz w:val="22"/>
        </w:rPr>
        <w:t>Global crude oil markets face persistent structural questions that this analysis addresses:</w:t>
      </w:r>
    </w:p>
    <w:p>
      <w:pPr>
        <w:pStyle w:val="ListNumber"/>
      </w:pPr>
      <w:r>
        <w:rPr>
          <w:sz w:val="22"/>
        </w:rPr>
        <w:t>How has global oil production evolved over six decades?</w:t>
      </w:r>
    </w:p>
    <w:p>
      <w:pPr>
        <w:pStyle w:val="ListNumber"/>
      </w:pPr>
      <w:r>
        <w:rPr>
          <w:sz w:val="22"/>
        </w:rPr>
        <w:t>Which countries and regions dominate supply and what is their trajectory?</w:t>
      </w:r>
    </w:p>
    <w:p>
      <w:pPr>
        <w:pStyle w:val="ListNumber"/>
      </w:pPr>
      <w:r>
        <w:rPr>
          <w:sz w:val="22"/>
        </w:rPr>
        <w:t>What supply concentration risks exist and how have they changed?</w:t>
      </w:r>
    </w:p>
    <w:p>
      <w:pPr>
        <w:pStyle w:val="ListNumber"/>
      </w:pPr>
      <w:r>
        <w:rPr>
          <w:sz w:val="22"/>
        </w:rPr>
        <w:t>Which producers are growing and which are in decline?</w:t>
      </w:r>
    </w:p>
    <w:p>
      <w:pPr>
        <w:pStyle w:val="ListNumber"/>
      </w:pPr>
      <w:r>
        <w:rPr>
          <w:sz w:val="22"/>
        </w:rPr>
        <w:t>What are the emerging supply opportunities for the next decade?</w:t>
      </w:r>
    </w:p>
    <w:p>
      <w:pPr>
        <w:pStyle w:val="ListNumber"/>
      </w:pPr>
      <w:r>
        <w:rPr>
          <w:sz w:val="22"/>
        </w:rPr>
        <w:t>What strategic actions should energy analysts and policy makers consider?</w:t>
      </w:r>
    </w:p>
    <w:p/>
    <w:p>
      <w:pPr>
        <w:pStyle w:val="Heading1"/>
      </w:pPr>
      <w:r>
        <w:rPr>
          <w:color w:val="1B3A6B"/>
        </w:rPr>
        <w:t>3. Dataset Overview</w:t>
      </w:r>
    </w:p>
    <w:tbl>
      <w:tblPr>
        <w:tblStyle w:val="TableGrid"/>
        <w:tblW w:type="auto" w:w="0"/>
        <w:tblLook w:firstColumn="1" w:firstRow="1" w:lastColumn="0" w:lastRow="0" w:noHBand="0" w:noVBand="1" w:val="04A0"/>
      </w:tblPr>
      <w:tblGrid>
        <w:gridCol w:w="4680"/>
        <w:gridCol w:w="4680"/>
      </w:tblGrid>
      <w:tr>
        <w:tc>
          <w:tcPr>
            <w:tcW w:type="dxa" w:w="4680"/>
            <w:shd w:val="clear" w:color="auto" w:fill="2D5F8A"/>
          </w:tcPr>
          <w:p>
            <w:pPr>
              <w:jc w:val="center"/>
            </w:pPr>
            <w:r>
              <w:rPr>
                <w:b/>
                <w:color w:val="FFFFFF"/>
                <w:sz w:val="20"/>
              </w:rPr>
              <w:t>Attribute</w:t>
            </w:r>
          </w:p>
        </w:tc>
        <w:tc>
          <w:tcPr>
            <w:tcW w:type="dxa" w:w="4680"/>
            <w:shd w:val="clear" w:color="auto" w:fill="2D5F8A"/>
          </w:tcPr>
          <w:p>
            <w:pPr>
              <w:jc w:val="center"/>
            </w:pPr>
            <w:r>
              <w:rPr>
                <w:b/>
                <w:color w:val="FFFFFF"/>
                <w:sz w:val="20"/>
              </w:rPr>
              <w:t>Value</w:t>
            </w:r>
          </w:p>
        </w:tc>
      </w:tr>
      <w:tr>
        <w:tc>
          <w:tcPr>
            <w:tcW w:type="dxa" w:w="4680"/>
            <w:shd w:val="clear" w:color="auto" w:fill="EDF2F8"/>
          </w:tcPr>
          <w:p>
            <w:r>
              <w:rPr>
                <w:sz w:val="18"/>
              </w:rPr>
              <w:t>File Name</w:t>
            </w:r>
          </w:p>
        </w:tc>
        <w:tc>
          <w:tcPr>
            <w:tcW w:type="dxa" w:w="4680"/>
            <w:shd w:val="clear" w:color="auto" w:fill="EDF2F8"/>
          </w:tcPr>
          <w:p>
            <w:r>
              <w:rPr>
                <w:sz w:val="18"/>
              </w:rPr>
              <w:t>Crude_oil_Value.csv</w:t>
            </w:r>
          </w:p>
        </w:tc>
      </w:tr>
      <w:tr>
        <w:tc>
          <w:tcPr>
            <w:tcW w:type="dxa" w:w="4680"/>
            <w:shd w:val="clear" w:color="auto" w:fill="FFFFFF"/>
          </w:tcPr>
          <w:p>
            <w:r>
              <w:rPr>
                <w:sz w:val="18"/>
              </w:rPr>
              <w:t>Source</w:t>
            </w:r>
          </w:p>
        </w:tc>
        <w:tc>
          <w:tcPr>
            <w:tcW w:type="dxa" w:w="4680"/>
            <w:shd w:val="clear" w:color="auto" w:fill="FFFFFF"/>
          </w:tcPr>
          <w:p>
            <w:r>
              <w:rPr>
                <w:sz w:val="18"/>
              </w:rPr>
              <w:t>OECD/IEA (via OECD.Stat Energy Statistics)</w:t>
            </w:r>
          </w:p>
        </w:tc>
      </w:tr>
      <w:tr>
        <w:tc>
          <w:tcPr>
            <w:tcW w:type="dxa" w:w="4680"/>
            <w:shd w:val="clear" w:color="auto" w:fill="EDF2F8"/>
          </w:tcPr>
          <w:p>
            <w:r>
              <w:rPr>
                <w:sz w:val="18"/>
              </w:rPr>
              <w:t>Indicator</w:t>
            </w:r>
          </w:p>
        </w:tc>
        <w:tc>
          <w:tcPr>
            <w:tcW w:type="dxa" w:w="4680"/>
            <w:shd w:val="clear" w:color="auto" w:fill="EDF2F8"/>
          </w:tcPr>
          <w:p>
            <w:r>
              <w:rPr>
                <w:sz w:val="18"/>
              </w:rPr>
              <w:t>OILPROD (Crude Oil Production)</w:t>
            </w:r>
          </w:p>
        </w:tc>
      </w:tr>
      <w:tr>
        <w:tc>
          <w:tcPr>
            <w:tcW w:type="dxa" w:w="4680"/>
            <w:shd w:val="clear" w:color="auto" w:fill="FFFFFF"/>
          </w:tcPr>
          <w:p>
            <w:r>
              <w:rPr>
                <w:sz w:val="18"/>
              </w:rPr>
              <w:t>Subject</w:t>
            </w:r>
          </w:p>
        </w:tc>
        <w:tc>
          <w:tcPr>
            <w:tcW w:type="dxa" w:w="4680"/>
            <w:shd w:val="clear" w:color="auto" w:fill="FFFFFF"/>
          </w:tcPr>
          <w:p>
            <w:r>
              <w:rPr>
                <w:sz w:val="18"/>
              </w:rPr>
              <w:t>TOT (Total — no sub-breakdowns)</w:t>
            </w:r>
          </w:p>
        </w:tc>
      </w:tr>
      <w:tr>
        <w:tc>
          <w:tcPr>
            <w:tcW w:type="dxa" w:w="4680"/>
            <w:shd w:val="clear" w:color="auto" w:fill="EDF2F8"/>
          </w:tcPr>
          <w:p>
            <w:r>
              <w:rPr>
                <w:sz w:val="18"/>
              </w:rPr>
              <w:t>Measure</w:t>
            </w:r>
          </w:p>
        </w:tc>
        <w:tc>
          <w:tcPr>
            <w:tcW w:type="dxa" w:w="4680"/>
            <w:shd w:val="clear" w:color="auto" w:fill="EDF2F8"/>
          </w:tcPr>
          <w:p>
            <w:r>
              <w:rPr>
                <w:sz w:val="18"/>
              </w:rPr>
              <w:t>KTOE (Kilotonnes of Oil Equivalent)</w:t>
            </w:r>
          </w:p>
        </w:tc>
      </w:tr>
      <w:tr>
        <w:tc>
          <w:tcPr>
            <w:tcW w:type="dxa" w:w="4680"/>
            <w:shd w:val="clear" w:color="auto" w:fill="FFFFFF"/>
          </w:tcPr>
          <w:p>
            <w:r>
              <w:rPr>
                <w:sz w:val="18"/>
              </w:rPr>
              <w:t>Frequency</w:t>
            </w:r>
          </w:p>
        </w:tc>
        <w:tc>
          <w:tcPr>
            <w:tcW w:type="dxa" w:w="4680"/>
            <w:shd w:val="clear" w:color="auto" w:fill="FFFFFF"/>
          </w:tcPr>
          <w:p>
            <w:r>
              <w:rPr>
                <w:sz w:val="18"/>
              </w:rPr>
              <w:t>Annual (A)</w:t>
            </w:r>
          </w:p>
        </w:tc>
      </w:tr>
      <w:tr>
        <w:tc>
          <w:tcPr>
            <w:tcW w:type="dxa" w:w="4680"/>
            <w:shd w:val="clear" w:color="auto" w:fill="EDF2F8"/>
          </w:tcPr>
          <w:p>
            <w:r>
              <w:rPr>
                <w:sz w:val="18"/>
              </w:rPr>
              <w:t>Total Records</w:t>
            </w:r>
          </w:p>
        </w:tc>
        <w:tc>
          <w:tcPr>
            <w:tcW w:type="dxa" w:w="4680"/>
            <w:shd w:val="clear" w:color="auto" w:fill="EDF2F8"/>
          </w:tcPr>
          <w:p>
            <w:r>
              <w:rPr>
                <w:sz w:val="18"/>
              </w:rPr>
              <w:t>8,236</w:t>
            </w:r>
          </w:p>
        </w:tc>
      </w:tr>
      <w:tr>
        <w:tc>
          <w:tcPr>
            <w:tcW w:type="dxa" w:w="4680"/>
            <w:shd w:val="clear" w:color="auto" w:fill="FFFFFF"/>
          </w:tcPr>
          <w:p>
            <w:r>
              <w:rPr>
                <w:sz w:val="18"/>
              </w:rPr>
              <w:t>Unique Locations</w:t>
            </w:r>
          </w:p>
        </w:tc>
        <w:tc>
          <w:tcPr>
            <w:tcW w:type="dxa" w:w="4680"/>
            <w:shd w:val="clear" w:color="auto" w:fill="FFFFFF"/>
          </w:tcPr>
          <w:p>
            <w:r>
              <w:rPr>
                <w:sz w:val="18"/>
              </w:rPr>
              <w:t>142</w:t>
            </w:r>
          </w:p>
        </w:tc>
      </w:tr>
      <w:tr>
        <w:tc>
          <w:tcPr>
            <w:tcW w:type="dxa" w:w="4680"/>
            <w:shd w:val="clear" w:color="auto" w:fill="EDF2F8"/>
          </w:tcPr>
          <w:p>
            <w:r>
              <w:rPr>
                <w:sz w:val="18"/>
              </w:rPr>
              <w:t>Year Range</w:t>
            </w:r>
          </w:p>
        </w:tc>
        <w:tc>
          <w:tcPr>
            <w:tcW w:type="dxa" w:w="4680"/>
            <w:shd w:val="clear" w:color="auto" w:fill="EDF2F8"/>
          </w:tcPr>
          <w:p>
            <w:r>
              <w:rPr>
                <w:sz w:val="18"/>
              </w:rPr>
              <w:t>1960–2017</w:t>
            </w:r>
          </w:p>
        </w:tc>
      </w:tr>
      <w:tr>
        <w:tc>
          <w:tcPr>
            <w:tcW w:type="dxa" w:w="4680"/>
            <w:shd w:val="clear" w:color="auto" w:fill="FFFFFF"/>
          </w:tcPr>
          <w:p>
            <w:r>
              <w:rPr>
                <w:sz w:val="18"/>
              </w:rPr>
              <w:t>Missing Values</w:t>
            </w:r>
          </w:p>
        </w:tc>
        <w:tc>
          <w:tcPr>
            <w:tcW w:type="dxa" w:w="4680"/>
            <w:shd w:val="clear" w:color="auto" w:fill="FFFFFF"/>
          </w:tcPr>
          <w:p>
            <w:r>
              <w:rPr>
                <w:sz w:val="18"/>
              </w:rPr>
              <w:t>2,132 (25.9%)</w:t>
            </w:r>
          </w:p>
        </w:tc>
      </w:tr>
      <w:tr>
        <w:tc>
          <w:tcPr>
            <w:tcW w:type="dxa" w:w="4680"/>
            <w:shd w:val="clear" w:color="auto" w:fill="EDF2F8"/>
          </w:tcPr>
          <w:p>
            <w:r>
              <w:rPr>
                <w:sz w:val="18"/>
              </w:rPr>
              <w:t>Duplicate Rows</w:t>
            </w:r>
          </w:p>
        </w:tc>
        <w:tc>
          <w:tcPr>
            <w:tcW w:type="dxa" w:w="4680"/>
            <w:shd w:val="clear" w:color="auto" w:fill="EDF2F8"/>
          </w:tcPr>
          <w:p>
            <w:r>
              <w:rPr>
                <w:sz w:val="18"/>
              </w:rPr>
              <w:t>0</w:t>
            </w:r>
          </w:p>
        </w:tc>
      </w:tr>
      <w:tr>
        <w:tc>
          <w:tcPr>
            <w:tcW w:type="dxa" w:w="4680"/>
            <w:shd w:val="clear" w:color="auto" w:fill="FFFFFF"/>
          </w:tcPr>
          <w:p>
            <w:r>
              <w:rPr>
                <w:sz w:val="18"/>
              </w:rPr>
              <w:t>Flag Codes</w:t>
            </w:r>
          </w:p>
        </w:tc>
        <w:tc>
          <w:tcPr>
            <w:tcW w:type="dxa" w:w="4680"/>
            <w:shd w:val="clear" w:color="auto" w:fill="FFFFFF"/>
          </w:tcPr>
          <w:p>
            <w:r>
              <w:rPr>
                <w:sz w:val="18"/>
              </w:rPr>
              <w:t>L = Limited/Estimated; blank = Actual reported value</w:t>
            </w:r>
          </w:p>
        </w:tc>
      </w:tr>
    </w:tbl>
    <w:p/>
    <w:p>
      <w:pPr>
        <w:pStyle w:val="Heading1"/>
      </w:pPr>
      <w:r>
        <w:rPr>
          <w:color w:val="1B3A6B"/>
        </w:rPr>
        <w:t>4. Data Dictionary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D5F8A"/>
          </w:tcPr>
          <w:p>
            <w:pPr>
              <w:jc w:val="center"/>
            </w:pPr>
            <w:r>
              <w:rPr>
                <w:b/>
                <w:color w:val="FFFFFF"/>
                <w:sz w:val="20"/>
              </w:rPr>
              <w:t>Column</w:t>
            </w:r>
          </w:p>
        </w:tc>
        <w:tc>
          <w:tcPr>
            <w:tcW w:type="dxa" w:w="1872"/>
            <w:shd w:val="clear" w:color="auto" w:fill="2D5F8A"/>
          </w:tcPr>
          <w:p>
            <w:pPr>
              <w:jc w:val="center"/>
            </w:pPr>
            <w:r>
              <w:rPr>
                <w:b/>
                <w:color w:val="FFFFFF"/>
                <w:sz w:val="20"/>
              </w:rPr>
              <w:t>Type</w:t>
            </w:r>
          </w:p>
        </w:tc>
        <w:tc>
          <w:tcPr>
            <w:tcW w:type="dxa" w:w="1872"/>
            <w:shd w:val="clear" w:color="auto" w:fill="2D5F8A"/>
          </w:tcPr>
          <w:p>
            <w:pPr>
              <w:jc w:val="center"/>
            </w:pPr>
            <w:r>
              <w:rPr>
                <w:b/>
                <w:color w:val="FFFFFF"/>
                <w:sz w:val="20"/>
              </w:rPr>
              <w:t>Business Meaning</w:t>
            </w:r>
          </w:p>
        </w:tc>
        <w:tc>
          <w:tcPr>
            <w:tcW w:type="dxa" w:w="1872"/>
            <w:shd w:val="clear" w:color="auto" w:fill="2D5F8A"/>
          </w:tcPr>
          <w:p>
            <w:pPr>
              <w:jc w:val="center"/>
            </w:pPr>
            <w:r>
              <w:rPr>
                <w:b/>
                <w:color w:val="FFFFFF"/>
                <w:sz w:val="20"/>
              </w:rPr>
              <w:t>Analytical Role</w:t>
            </w:r>
          </w:p>
        </w:tc>
        <w:tc>
          <w:tcPr>
            <w:tcW w:type="dxa" w:w="1872"/>
            <w:shd w:val="clear" w:color="auto" w:fill="2D5F8A"/>
          </w:tcPr>
          <w:p>
            <w:pPr>
              <w:jc w:val="center"/>
            </w:pPr>
            <w:r>
              <w:rPr>
                <w:b/>
                <w:color w:val="FFFFFF"/>
                <w:sz w:val="20"/>
              </w:rPr>
              <w:t>Notes</w:t>
            </w:r>
          </w:p>
        </w:tc>
      </w:tr>
      <w:tr>
        <w:tc>
          <w:tcPr>
            <w:tcW w:type="dxa" w:w="1872"/>
            <w:shd w:val="clear" w:color="auto" w:fill="EDF2F8"/>
          </w:tcPr>
          <w:p>
            <w:r>
              <w:rPr>
                <w:sz w:val="18"/>
              </w:rPr>
              <w:t>LOCATION</w:t>
            </w:r>
          </w:p>
        </w:tc>
        <w:tc>
          <w:tcPr>
            <w:tcW w:type="dxa" w:w="1872"/>
            <w:shd w:val="clear" w:color="auto" w:fill="EDF2F8"/>
          </w:tcPr>
          <w:p>
            <w:r>
              <w:rPr>
                <w:sz w:val="18"/>
              </w:rPr>
              <w:t>String (ISO-3)</w:t>
            </w:r>
          </w:p>
        </w:tc>
        <w:tc>
          <w:tcPr>
            <w:tcW w:type="dxa" w:w="1872"/>
            <w:shd w:val="clear" w:color="auto" w:fill="EDF2F8"/>
          </w:tcPr>
          <w:p>
            <w:r>
              <w:rPr>
                <w:sz w:val="18"/>
              </w:rPr>
              <w:t>Country/Region code</w:t>
            </w:r>
          </w:p>
        </w:tc>
        <w:tc>
          <w:tcPr>
            <w:tcW w:type="dxa" w:w="1872"/>
            <w:shd w:val="clear" w:color="auto" w:fill="EDF2F8"/>
          </w:tcPr>
          <w:p>
            <w:r>
              <w:rPr>
                <w:sz w:val="18"/>
              </w:rPr>
              <w:t>Primary Dimension</w:t>
            </w:r>
          </w:p>
        </w:tc>
        <w:tc>
          <w:tcPr>
            <w:tcW w:type="dxa" w:w="1872"/>
            <w:shd w:val="clear" w:color="auto" w:fill="EDF2F8"/>
          </w:tcPr>
          <w:p>
            <w:r>
              <w:rPr>
                <w:sz w:val="18"/>
              </w:rPr>
              <w:t>142 unique values; includes aggregates WLD, OECD, G20</w:t>
            </w:r>
          </w:p>
        </w:tc>
      </w:tr>
      <w:tr>
        <w:tc>
          <w:tcPr>
            <w:tcW w:type="dxa" w:w="1872"/>
            <w:shd w:val="clear" w:color="auto" w:fill="FFFFFF"/>
          </w:tcPr>
          <w:p>
            <w:r>
              <w:rPr>
                <w:sz w:val="18"/>
              </w:rPr>
              <w:t>INDICATOR</w:t>
            </w:r>
          </w:p>
        </w:tc>
        <w:tc>
          <w:tcPr>
            <w:tcW w:type="dxa" w:w="1872"/>
            <w:shd w:val="clear" w:color="auto" w:fill="FFFFFF"/>
          </w:tcPr>
          <w:p>
            <w:r>
              <w:rPr>
                <w:sz w:val="18"/>
              </w:rPr>
              <w:t>String</w:t>
            </w:r>
          </w:p>
        </w:tc>
        <w:tc>
          <w:tcPr>
            <w:tcW w:type="dxa" w:w="1872"/>
            <w:shd w:val="clear" w:color="auto" w:fill="FFFFFF"/>
          </w:tcPr>
          <w:p>
            <w:r>
              <w:rPr>
                <w:sz w:val="18"/>
              </w:rPr>
              <w:t>Dataset indicator type</w:t>
            </w:r>
          </w:p>
        </w:tc>
        <w:tc>
          <w:tcPr>
            <w:tcW w:type="dxa" w:w="1872"/>
            <w:shd w:val="clear" w:color="auto" w:fill="FFFFFF"/>
          </w:tcPr>
          <w:p>
            <w:r>
              <w:rPr>
                <w:sz w:val="18"/>
              </w:rPr>
              <w:t>Constant Filter</w:t>
            </w:r>
          </w:p>
        </w:tc>
        <w:tc>
          <w:tcPr>
            <w:tcW w:type="dxa" w:w="1872"/>
            <w:shd w:val="clear" w:color="auto" w:fill="FFFFFF"/>
          </w:tcPr>
          <w:p>
            <w:r>
              <w:rPr>
                <w:sz w:val="18"/>
              </w:rPr>
              <w:t>Always OILPROD; single-value column</w:t>
            </w:r>
          </w:p>
        </w:tc>
      </w:tr>
      <w:tr>
        <w:tc>
          <w:tcPr>
            <w:tcW w:type="dxa" w:w="1872"/>
            <w:shd w:val="clear" w:color="auto" w:fill="EDF2F8"/>
          </w:tcPr>
          <w:p>
            <w:r>
              <w:rPr>
                <w:sz w:val="18"/>
              </w:rPr>
              <w:t>SUBJECT</w:t>
            </w:r>
          </w:p>
        </w:tc>
        <w:tc>
          <w:tcPr>
            <w:tcW w:type="dxa" w:w="1872"/>
            <w:shd w:val="clear" w:color="auto" w:fill="EDF2F8"/>
          </w:tcPr>
          <w:p>
            <w:r>
              <w:rPr>
                <w:sz w:val="18"/>
              </w:rPr>
              <w:t>String</w:t>
            </w:r>
          </w:p>
        </w:tc>
        <w:tc>
          <w:tcPr>
            <w:tcW w:type="dxa" w:w="1872"/>
            <w:shd w:val="clear" w:color="auto" w:fill="EDF2F8"/>
          </w:tcPr>
          <w:p>
            <w:r>
              <w:rPr>
                <w:sz w:val="18"/>
              </w:rPr>
              <w:t>Subject breakdown</w:t>
            </w:r>
          </w:p>
        </w:tc>
        <w:tc>
          <w:tcPr>
            <w:tcW w:type="dxa" w:w="1872"/>
            <w:shd w:val="clear" w:color="auto" w:fill="EDF2F8"/>
          </w:tcPr>
          <w:p>
            <w:r>
              <w:rPr>
                <w:sz w:val="18"/>
              </w:rPr>
              <w:t>Constant Filter</w:t>
            </w:r>
          </w:p>
        </w:tc>
        <w:tc>
          <w:tcPr>
            <w:tcW w:type="dxa" w:w="1872"/>
            <w:shd w:val="clear" w:color="auto" w:fill="EDF2F8"/>
          </w:tcPr>
          <w:p>
            <w:r>
              <w:rPr>
                <w:sz w:val="18"/>
              </w:rPr>
              <w:t>Always TOT; no sub-breakdowns available</w:t>
            </w:r>
          </w:p>
        </w:tc>
      </w:tr>
      <w:tr>
        <w:tc>
          <w:tcPr>
            <w:tcW w:type="dxa" w:w="1872"/>
            <w:shd w:val="clear" w:color="auto" w:fill="FFFFFF"/>
          </w:tcPr>
          <w:p>
            <w:r>
              <w:rPr>
                <w:sz w:val="18"/>
              </w:rPr>
              <w:t>MEASURE</w:t>
            </w:r>
          </w:p>
        </w:tc>
        <w:tc>
          <w:tcPr>
            <w:tcW w:type="dxa" w:w="1872"/>
            <w:shd w:val="clear" w:color="auto" w:fill="FFFFFF"/>
          </w:tcPr>
          <w:p>
            <w:r>
              <w:rPr>
                <w:sz w:val="18"/>
              </w:rPr>
              <w:t>String</w:t>
            </w:r>
          </w:p>
        </w:tc>
        <w:tc>
          <w:tcPr>
            <w:tcW w:type="dxa" w:w="1872"/>
            <w:shd w:val="clear" w:color="auto" w:fill="FFFFFF"/>
          </w:tcPr>
          <w:p>
            <w:r>
              <w:rPr>
                <w:sz w:val="18"/>
              </w:rPr>
              <w:t>Unit of measurement</w:t>
            </w:r>
          </w:p>
        </w:tc>
        <w:tc>
          <w:tcPr>
            <w:tcW w:type="dxa" w:w="1872"/>
            <w:shd w:val="clear" w:color="auto" w:fill="FFFFFF"/>
          </w:tcPr>
          <w:p>
            <w:r>
              <w:rPr>
                <w:sz w:val="18"/>
              </w:rPr>
              <w:t>Metadata</w:t>
            </w:r>
          </w:p>
        </w:tc>
        <w:tc>
          <w:tcPr>
            <w:tcW w:type="dxa" w:w="1872"/>
            <w:shd w:val="clear" w:color="auto" w:fill="FFFFFF"/>
          </w:tcPr>
          <w:p>
            <w:r>
              <w:rPr>
                <w:sz w:val="18"/>
              </w:rPr>
              <w:t>KTOE = Kilotonnes of Oil Equivalent</w:t>
            </w:r>
          </w:p>
        </w:tc>
      </w:tr>
      <w:tr>
        <w:tc>
          <w:tcPr>
            <w:tcW w:type="dxa" w:w="1872"/>
            <w:shd w:val="clear" w:color="auto" w:fill="EDF2F8"/>
          </w:tcPr>
          <w:p>
            <w:r>
              <w:rPr>
                <w:sz w:val="18"/>
              </w:rPr>
              <w:t>FREQUENCY</w:t>
            </w:r>
          </w:p>
        </w:tc>
        <w:tc>
          <w:tcPr>
            <w:tcW w:type="dxa" w:w="1872"/>
            <w:shd w:val="clear" w:color="auto" w:fill="EDF2F8"/>
          </w:tcPr>
          <w:p>
            <w:r>
              <w:rPr>
                <w:sz w:val="18"/>
              </w:rPr>
              <w:t>String</w:t>
            </w:r>
          </w:p>
        </w:tc>
        <w:tc>
          <w:tcPr>
            <w:tcW w:type="dxa" w:w="1872"/>
            <w:shd w:val="clear" w:color="auto" w:fill="EDF2F8"/>
          </w:tcPr>
          <w:p>
            <w:r>
              <w:rPr>
                <w:sz w:val="18"/>
              </w:rPr>
              <w:t>Reporting frequency</w:t>
            </w:r>
          </w:p>
        </w:tc>
        <w:tc>
          <w:tcPr>
            <w:tcW w:type="dxa" w:w="1872"/>
            <w:shd w:val="clear" w:color="auto" w:fill="EDF2F8"/>
          </w:tcPr>
          <w:p>
            <w:r>
              <w:rPr>
                <w:sz w:val="18"/>
              </w:rPr>
              <w:t>Metadata</w:t>
            </w:r>
          </w:p>
        </w:tc>
        <w:tc>
          <w:tcPr>
            <w:tcW w:type="dxa" w:w="1872"/>
            <w:shd w:val="clear" w:color="auto" w:fill="EDF2F8"/>
          </w:tcPr>
          <w:p>
            <w:r>
              <w:rPr>
                <w:sz w:val="18"/>
              </w:rPr>
              <w:t>Always A (Annual); no sub-annual data</w:t>
            </w:r>
          </w:p>
        </w:tc>
      </w:tr>
      <w:tr>
        <w:tc>
          <w:tcPr>
            <w:tcW w:type="dxa" w:w="1872"/>
            <w:shd w:val="clear" w:color="auto" w:fill="FFFFFF"/>
          </w:tcPr>
          <w:p>
            <w:r>
              <w:rPr>
                <w:sz w:val="18"/>
              </w:rPr>
              <w:t>TIME</w:t>
            </w:r>
          </w:p>
        </w:tc>
        <w:tc>
          <w:tcPr>
            <w:tcW w:type="dxa" w:w="1872"/>
            <w:shd w:val="clear" w:color="auto" w:fill="FFFFFF"/>
          </w:tcPr>
          <w:p>
            <w:r>
              <w:rPr>
                <w:sz w:val="18"/>
              </w:rPr>
              <w:t>Integer</w:t>
            </w:r>
          </w:p>
        </w:tc>
        <w:tc>
          <w:tcPr>
            <w:tcW w:type="dxa" w:w="1872"/>
            <w:shd w:val="clear" w:color="auto" w:fill="FFFFFF"/>
          </w:tcPr>
          <w:p>
            <w:r>
              <w:rPr>
                <w:sz w:val="18"/>
              </w:rPr>
              <w:t>Observation year</w:t>
            </w:r>
          </w:p>
        </w:tc>
        <w:tc>
          <w:tcPr>
            <w:tcW w:type="dxa" w:w="1872"/>
            <w:shd w:val="clear" w:color="auto" w:fill="FFFFFF"/>
          </w:tcPr>
          <w:p>
            <w:r>
              <w:rPr>
                <w:sz w:val="18"/>
              </w:rPr>
              <w:t>Time Dimension</w:t>
            </w:r>
          </w:p>
        </w:tc>
        <w:tc>
          <w:tcPr>
            <w:tcW w:type="dxa" w:w="1872"/>
            <w:shd w:val="clear" w:color="auto" w:fill="FFFFFF"/>
          </w:tcPr>
          <w:p>
            <w:r>
              <w:rPr>
                <w:sz w:val="18"/>
              </w:rPr>
              <w:t>1960–2017; basis for all trend and CAGR analysis</w:t>
            </w:r>
          </w:p>
        </w:tc>
      </w:tr>
      <w:tr>
        <w:tc>
          <w:tcPr>
            <w:tcW w:type="dxa" w:w="1872"/>
            <w:shd w:val="clear" w:color="auto" w:fill="EDF2F8"/>
          </w:tcPr>
          <w:p>
            <w:r>
              <w:rPr>
                <w:sz w:val="18"/>
              </w:rPr>
              <w:t>Value</w:t>
            </w:r>
          </w:p>
        </w:tc>
        <w:tc>
          <w:tcPr>
            <w:tcW w:type="dxa" w:w="1872"/>
            <w:shd w:val="clear" w:color="auto" w:fill="EDF2F8"/>
          </w:tcPr>
          <w:p>
            <w:r>
              <w:rPr>
                <w:sz w:val="18"/>
              </w:rPr>
              <w:t>Float</w:t>
            </w:r>
          </w:p>
        </w:tc>
        <w:tc>
          <w:tcPr>
            <w:tcW w:type="dxa" w:w="1872"/>
            <w:shd w:val="clear" w:color="auto" w:fill="EDF2F8"/>
          </w:tcPr>
          <w:p>
            <w:r>
              <w:rPr>
                <w:sz w:val="18"/>
              </w:rPr>
              <w:t>Annual production in KTOE</w:t>
            </w:r>
          </w:p>
        </w:tc>
        <w:tc>
          <w:tcPr>
            <w:tcW w:type="dxa" w:w="1872"/>
            <w:shd w:val="clear" w:color="auto" w:fill="EDF2F8"/>
          </w:tcPr>
          <w:p>
            <w:r>
              <w:rPr>
                <w:sz w:val="18"/>
              </w:rPr>
              <w:t>Primary KPI Measure</w:t>
            </w:r>
          </w:p>
        </w:tc>
        <w:tc>
          <w:tcPr>
            <w:tcW w:type="dxa" w:w="1872"/>
            <w:shd w:val="clear" w:color="auto" w:fill="EDF2F8"/>
          </w:tcPr>
          <w:p>
            <w:r>
              <w:rPr>
                <w:sz w:val="18"/>
              </w:rPr>
              <w:t>Core metric; null where flag='L' (estimated/limited)</w:t>
            </w:r>
          </w:p>
        </w:tc>
      </w:tr>
      <w:tr>
        <w:tc>
          <w:tcPr>
            <w:tcW w:type="dxa" w:w="1872"/>
            <w:shd w:val="clear" w:color="auto" w:fill="FFFFFF"/>
          </w:tcPr>
          <w:p>
            <w:r>
              <w:rPr>
                <w:sz w:val="18"/>
              </w:rPr>
              <w:t>Flag Codes</w:t>
            </w:r>
          </w:p>
        </w:tc>
        <w:tc>
          <w:tcPr>
            <w:tcW w:type="dxa" w:w="1872"/>
            <w:shd w:val="clear" w:color="auto" w:fill="FFFFFF"/>
          </w:tcPr>
          <w:p>
            <w:r>
              <w:rPr>
                <w:sz w:val="18"/>
              </w:rPr>
              <w:t>String</w:t>
            </w:r>
          </w:p>
        </w:tc>
        <w:tc>
          <w:tcPr>
            <w:tcW w:type="dxa" w:w="1872"/>
            <w:shd w:val="clear" w:color="auto" w:fill="FFFFFF"/>
          </w:tcPr>
          <w:p>
            <w:r>
              <w:rPr>
                <w:sz w:val="18"/>
              </w:rPr>
              <w:t>Data quality flag</w:t>
            </w:r>
          </w:p>
        </w:tc>
        <w:tc>
          <w:tcPr>
            <w:tcW w:type="dxa" w:w="1872"/>
            <w:shd w:val="clear" w:color="auto" w:fill="FFFFFF"/>
          </w:tcPr>
          <w:p>
            <w:r>
              <w:rPr>
                <w:sz w:val="18"/>
              </w:rPr>
              <w:t>Quality Indicator</w:t>
            </w:r>
          </w:p>
        </w:tc>
        <w:tc>
          <w:tcPr>
            <w:tcW w:type="dxa" w:w="1872"/>
            <w:shd w:val="clear" w:color="auto" w:fill="FFFFFF"/>
          </w:tcPr>
          <w:p>
            <w:r>
              <w:rPr>
                <w:sz w:val="18"/>
              </w:rPr>
              <w:t>L = limited data (2,132 rows); blank = actual (6,104 rows)</w:t>
            </w:r>
          </w:p>
        </w:tc>
      </w:tr>
    </w:tbl>
    <w:p/>
    <w:p>
      <w:pPr>
        <w:pStyle w:val="Heading1"/>
      </w:pPr>
      <w:r>
        <w:rPr>
          <w:color w:val="1B3A6B"/>
        </w:rPr>
        <w:t>5. Data Quality Assessment</w:t>
      </w:r>
    </w:p>
    <w:p>
      <w:r>
        <w:rPr>
          <w:b w:val="0"/>
          <w:i w:val="0"/>
          <w:sz w:val="22"/>
        </w:rPr>
        <w:t>A complete data quality assessment was performed prior to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D5F8A"/>
          </w:tcPr>
          <w:p>
            <w:pPr>
              <w:jc w:val="center"/>
            </w:pPr>
            <w:r>
              <w:rPr>
                <w:b/>
                <w:color w:val="FFFFFF"/>
                <w:sz w:val="20"/>
              </w:rPr>
              <w:t>Check</w:t>
            </w:r>
          </w:p>
        </w:tc>
        <w:tc>
          <w:tcPr>
            <w:tcW w:type="dxa" w:w="2340"/>
            <w:shd w:val="clear" w:color="auto" w:fill="2D5F8A"/>
          </w:tcPr>
          <w:p>
            <w:pPr>
              <w:jc w:val="center"/>
            </w:pPr>
            <w:r>
              <w:rPr>
                <w:b/>
                <w:color w:val="FFFFFF"/>
                <w:sz w:val="20"/>
              </w:rPr>
              <w:t>Result</w:t>
            </w:r>
          </w:p>
        </w:tc>
        <w:tc>
          <w:tcPr>
            <w:tcW w:type="dxa" w:w="2340"/>
            <w:shd w:val="clear" w:color="auto" w:fill="2D5F8A"/>
          </w:tcPr>
          <w:p>
            <w:pPr>
              <w:jc w:val="center"/>
            </w:pPr>
            <w:r>
              <w:rPr>
                <w:b/>
                <w:color w:val="FFFFFF"/>
                <w:sz w:val="20"/>
              </w:rPr>
              <w:t>Status</w:t>
            </w:r>
          </w:p>
        </w:tc>
        <w:tc>
          <w:tcPr>
            <w:tcW w:type="dxa" w:w="2340"/>
            <w:shd w:val="clear" w:color="auto" w:fill="2D5F8A"/>
          </w:tcPr>
          <w:p>
            <w:pPr>
              <w:jc w:val="center"/>
            </w:pPr>
            <w:r>
              <w:rPr>
                <w:b/>
                <w:color w:val="FFFFFF"/>
                <w:sz w:val="20"/>
              </w:rPr>
              <w:t>Handling</w:t>
            </w:r>
          </w:p>
        </w:tc>
      </w:tr>
      <w:tr>
        <w:tc>
          <w:tcPr>
            <w:tcW w:type="dxa" w:w="2340"/>
            <w:shd w:val="clear" w:color="auto" w:fill="EDF2F8"/>
          </w:tcPr>
          <w:p>
            <w:r>
              <w:rPr>
                <w:sz w:val="18"/>
              </w:rPr>
              <w:t>Missing production values</w:t>
            </w:r>
          </w:p>
        </w:tc>
        <w:tc>
          <w:tcPr>
            <w:tcW w:type="dxa" w:w="2340"/>
            <w:shd w:val="clear" w:color="auto" w:fill="EDF2F8"/>
          </w:tcPr>
          <w:p>
            <w:r>
              <w:rPr>
                <w:sz w:val="18"/>
              </w:rPr>
              <w:t>2,132 (25.9%)</w:t>
            </w:r>
          </w:p>
        </w:tc>
        <w:tc>
          <w:tcPr>
            <w:tcW w:type="dxa" w:w="2340"/>
            <w:shd w:val="clear" w:color="auto" w:fill="EDF2F8"/>
          </w:tcPr>
          <w:p>
            <w:r>
              <w:rPr>
                <w:sz w:val="18"/>
              </w:rPr>
              <w:t>⚠️ Note</w:t>
            </w:r>
          </w:p>
        </w:tc>
        <w:tc>
          <w:tcPr>
            <w:tcW w:type="dxa" w:w="2340"/>
            <w:shd w:val="clear" w:color="auto" w:fill="EDF2F8"/>
          </w:tcPr>
          <w:p>
            <w:r>
              <w:rPr>
                <w:sz w:val="18"/>
              </w:rPr>
              <w:t>Flagged rows excluded from KPI &amp; trend calculations; included in raw explorer</w:t>
            </w:r>
          </w:p>
        </w:tc>
      </w:tr>
      <w:tr>
        <w:tc>
          <w:tcPr>
            <w:tcW w:type="dxa" w:w="2340"/>
            <w:shd w:val="clear" w:color="auto" w:fill="FFFFFF"/>
          </w:tcPr>
          <w:p>
            <w:r>
              <w:rPr>
                <w:sz w:val="18"/>
              </w:rPr>
              <w:t>Flag L (estimated)</w:t>
            </w:r>
          </w:p>
        </w:tc>
        <w:tc>
          <w:tcPr>
            <w:tcW w:type="dxa" w:w="2340"/>
            <w:shd w:val="clear" w:color="auto" w:fill="FFFFFF"/>
          </w:tcPr>
          <w:p>
            <w:r>
              <w:rPr>
                <w:sz w:val="18"/>
              </w:rPr>
              <w:t>2,132 rows</w:t>
            </w:r>
          </w:p>
        </w:tc>
        <w:tc>
          <w:tcPr>
            <w:tcW w:type="dxa" w:w="2340"/>
            <w:shd w:val="clear" w:color="auto" w:fill="FFFFFF"/>
          </w:tcPr>
          <w:p>
            <w:r>
              <w:rPr>
                <w:sz w:val="18"/>
              </w:rPr>
              <w:t>⚠️ Note</w:t>
            </w:r>
          </w:p>
        </w:tc>
        <w:tc>
          <w:tcPr>
            <w:tcW w:type="dxa" w:w="2340"/>
            <w:shd w:val="clear" w:color="auto" w:fill="FFFFFF"/>
          </w:tcPr>
          <w:p>
            <w:r>
              <w:rPr>
                <w:sz w:val="18"/>
              </w:rPr>
              <w:t>Predominantly pre-1971 and small nations; treated as data gap</w:t>
            </w:r>
          </w:p>
        </w:tc>
      </w:tr>
      <w:tr>
        <w:tc>
          <w:tcPr>
            <w:tcW w:type="dxa" w:w="2340"/>
            <w:shd w:val="clear" w:color="auto" w:fill="EDF2F8"/>
          </w:tcPr>
          <w:p>
            <w:r>
              <w:rPr>
                <w:sz w:val="18"/>
              </w:rPr>
              <w:t>Duplicate rows</w:t>
            </w:r>
          </w:p>
        </w:tc>
        <w:tc>
          <w:tcPr>
            <w:tcW w:type="dxa" w:w="2340"/>
            <w:shd w:val="clear" w:color="auto" w:fill="EDF2F8"/>
          </w:tcPr>
          <w:p>
            <w:r>
              <w:rPr>
                <w:sz w:val="18"/>
              </w:rPr>
              <w:t>0</w:t>
            </w:r>
          </w:p>
        </w:tc>
        <w:tc>
          <w:tcPr>
            <w:tcW w:type="dxa" w:w="2340"/>
            <w:shd w:val="clear" w:color="auto" w:fill="EDF2F8"/>
          </w:tcPr>
          <w:p>
            <w:r>
              <w:rPr>
                <w:sz w:val="18"/>
              </w:rPr>
              <w:t>✅ Clean</w:t>
            </w:r>
          </w:p>
        </w:tc>
        <w:tc>
          <w:tcPr>
            <w:tcW w:type="dxa" w:w="2340"/>
            <w:shd w:val="clear" w:color="auto" w:fill="EDF2F8"/>
          </w:tcPr>
          <w:p>
            <w:r>
              <w:rPr>
                <w:sz w:val="18"/>
              </w:rPr>
              <w:t>No action required</w:t>
            </w:r>
          </w:p>
        </w:tc>
      </w:tr>
      <w:tr>
        <w:tc>
          <w:tcPr>
            <w:tcW w:type="dxa" w:w="2340"/>
            <w:shd w:val="clear" w:color="auto" w:fill="FFFFFF"/>
          </w:tcPr>
          <w:p>
            <w:r>
              <w:rPr>
                <w:sz w:val="18"/>
              </w:rPr>
              <w:t>Zero production</w:t>
            </w:r>
          </w:p>
        </w:tc>
        <w:tc>
          <w:tcPr>
            <w:tcW w:type="dxa" w:w="2340"/>
            <w:shd w:val="clear" w:color="auto" w:fill="FFFFFF"/>
          </w:tcPr>
          <w:p>
            <w:r>
              <w:rPr>
                <w:sz w:val="18"/>
              </w:rPr>
              <w:t>Present</w:t>
            </w:r>
          </w:p>
        </w:tc>
        <w:tc>
          <w:tcPr>
            <w:tcW w:type="dxa" w:w="2340"/>
            <w:shd w:val="clear" w:color="auto" w:fill="FFFFFF"/>
          </w:tcPr>
          <w:p>
            <w:r>
              <w:rPr>
                <w:sz w:val="18"/>
              </w:rPr>
              <w:t>ℹ️ Info</w:t>
            </w:r>
          </w:p>
        </w:tc>
        <w:tc>
          <w:tcPr>
            <w:tcW w:type="dxa" w:w="2340"/>
            <w:shd w:val="clear" w:color="auto" w:fill="FFFFFF"/>
          </w:tcPr>
          <w:p>
            <w:r>
              <w:rPr>
                <w:sz w:val="18"/>
              </w:rPr>
              <w:t>Valid (country produced no oil); retained as-is</w:t>
            </w:r>
          </w:p>
        </w:tc>
      </w:tr>
      <w:tr>
        <w:tc>
          <w:tcPr>
            <w:tcW w:type="dxa" w:w="2340"/>
            <w:shd w:val="clear" w:color="auto" w:fill="EDF2F8"/>
          </w:tcPr>
          <w:p>
            <w:r>
              <w:rPr>
                <w:sz w:val="18"/>
              </w:rPr>
              <w:t>Data type errors</w:t>
            </w:r>
          </w:p>
        </w:tc>
        <w:tc>
          <w:tcPr>
            <w:tcW w:type="dxa" w:w="2340"/>
            <w:shd w:val="clear" w:color="auto" w:fill="EDF2F8"/>
          </w:tcPr>
          <w:p>
            <w:r>
              <w:rPr>
                <w:sz w:val="18"/>
              </w:rPr>
              <w:t>None</w:t>
            </w:r>
          </w:p>
        </w:tc>
        <w:tc>
          <w:tcPr>
            <w:tcW w:type="dxa" w:w="2340"/>
            <w:shd w:val="clear" w:color="auto" w:fill="EDF2F8"/>
          </w:tcPr>
          <w:p>
            <w:r>
              <w:rPr>
                <w:sz w:val="18"/>
              </w:rPr>
              <w:t>✅ Clean</w:t>
            </w:r>
          </w:p>
        </w:tc>
        <w:tc>
          <w:tcPr>
            <w:tcW w:type="dxa" w:w="2340"/>
            <w:shd w:val="clear" w:color="auto" w:fill="EDF2F8"/>
          </w:tcPr>
          <w:p>
            <w:r>
              <w:rPr>
                <w:sz w:val="18"/>
              </w:rPr>
              <w:t>Year and Value converted to numeric types</w:t>
            </w:r>
          </w:p>
        </w:tc>
      </w:tr>
      <w:tr>
        <w:tc>
          <w:tcPr>
            <w:tcW w:type="dxa" w:w="2340"/>
            <w:shd w:val="clear" w:color="auto" w:fill="FFFFFF"/>
          </w:tcPr>
          <w:p>
            <w:r>
              <w:rPr>
                <w:sz w:val="18"/>
              </w:rPr>
              <w:t>Outlier values</w:t>
            </w:r>
          </w:p>
        </w:tc>
        <w:tc>
          <w:tcPr>
            <w:tcW w:type="dxa" w:w="2340"/>
            <w:shd w:val="clear" w:color="auto" w:fill="FFFFFF"/>
          </w:tcPr>
          <w:p>
            <w:r>
              <w:rPr>
                <w:sz w:val="18"/>
              </w:rPr>
              <w:t>None beyond expected</w:t>
            </w:r>
          </w:p>
        </w:tc>
        <w:tc>
          <w:tcPr>
            <w:tcW w:type="dxa" w:w="2340"/>
            <w:shd w:val="clear" w:color="auto" w:fill="FFFFFF"/>
          </w:tcPr>
          <w:p>
            <w:r>
              <w:rPr>
                <w:sz w:val="18"/>
              </w:rPr>
              <w:t>✅ Clean</w:t>
            </w:r>
          </w:p>
        </w:tc>
        <w:tc>
          <w:tcPr>
            <w:tcW w:type="dxa" w:w="2340"/>
            <w:shd w:val="clear" w:color="auto" w:fill="FFFFFF"/>
          </w:tcPr>
          <w:p>
            <w:r>
              <w:rPr>
                <w:sz w:val="18"/>
              </w:rPr>
              <w:t>Large KTOE values for world aggregates expected and valid</w:t>
            </w:r>
          </w:p>
        </w:tc>
      </w:tr>
      <w:tr>
        <w:tc>
          <w:tcPr>
            <w:tcW w:type="dxa" w:w="2340"/>
            <w:shd w:val="clear" w:color="auto" w:fill="EDF2F8"/>
          </w:tcPr>
          <w:p>
            <w:r>
              <w:rPr>
                <w:sz w:val="18"/>
              </w:rPr>
              <w:t>Column naming</w:t>
            </w:r>
          </w:p>
        </w:tc>
        <w:tc>
          <w:tcPr>
            <w:tcW w:type="dxa" w:w="2340"/>
            <w:shd w:val="clear" w:color="auto" w:fill="EDF2F8"/>
          </w:tcPr>
          <w:p>
            <w:r>
              <w:rPr>
                <w:sz w:val="18"/>
              </w:rPr>
              <w:t>Standardised</w:t>
            </w:r>
          </w:p>
        </w:tc>
        <w:tc>
          <w:tcPr>
            <w:tcW w:type="dxa" w:w="2340"/>
            <w:shd w:val="clear" w:color="auto" w:fill="EDF2F8"/>
          </w:tcPr>
          <w:p>
            <w:r>
              <w:rPr>
                <w:sz w:val="18"/>
              </w:rPr>
              <w:t>✅ Fixed</w:t>
            </w:r>
          </w:p>
        </w:tc>
        <w:tc>
          <w:tcPr>
            <w:tcW w:type="dxa" w:w="2340"/>
            <w:shd w:val="clear" w:color="auto" w:fill="EDF2F8"/>
          </w:tcPr>
          <w:p>
            <w:r>
              <w:rPr>
                <w:sz w:val="18"/>
              </w:rPr>
              <w:t>Spaces stripped; renamed for clarity in code</w:t>
            </w:r>
          </w:p>
        </w:tc>
      </w:tr>
      <w:tr>
        <w:tc>
          <w:tcPr>
            <w:tcW w:type="dxa" w:w="2340"/>
            <w:shd w:val="clear" w:color="auto" w:fill="FFFFFF"/>
          </w:tcPr>
          <w:p>
            <w:r>
              <w:rPr>
                <w:sz w:val="18"/>
              </w:rPr>
              <w:t>Constant columns (INDICATOR, SUBJECT, etc.)</w:t>
            </w:r>
          </w:p>
        </w:tc>
        <w:tc>
          <w:tcPr>
            <w:tcW w:type="dxa" w:w="2340"/>
            <w:shd w:val="clear" w:color="auto" w:fill="FFFFFF"/>
          </w:tcPr>
          <w:p>
            <w:r>
              <w:rPr>
                <w:sz w:val="18"/>
              </w:rPr>
              <w:t>3 columns</w:t>
            </w:r>
          </w:p>
        </w:tc>
        <w:tc>
          <w:tcPr>
            <w:tcW w:type="dxa" w:w="2340"/>
            <w:shd w:val="clear" w:color="auto" w:fill="FFFFFF"/>
          </w:tcPr>
          <w:p>
            <w:r>
              <w:rPr>
                <w:sz w:val="18"/>
              </w:rPr>
              <w:t>ℹ️ Info</w:t>
            </w:r>
          </w:p>
        </w:tc>
        <w:tc>
          <w:tcPr>
            <w:tcW w:type="dxa" w:w="2340"/>
            <w:shd w:val="clear" w:color="auto" w:fill="FFFFFF"/>
          </w:tcPr>
          <w:p>
            <w:r>
              <w:rPr>
                <w:sz w:val="18"/>
              </w:rPr>
              <w:t>Retained for provenance; excluded from analytical grouping</w:t>
            </w:r>
          </w:p>
        </w:tc>
      </w:tr>
    </w:tbl>
    <w:p/>
    <w:p>
      <w:pPr>
        <w:pStyle w:val="Heading1"/>
      </w:pPr>
      <w:r>
        <w:rPr>
          <w:color w:val="1B3A6B"/>
        </w:rPr>
        <w:t>6. KPI Definitions &amp; Current Values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D5F8A"/>
          </w:tcPr>
          <w:p>
            <w:pPr>
              <w:jc w:val="center"/>
            </w:pPr>
            <w:r>
              <w:rPr>
                <w:b/>
                <w:color w:val="FFFFFF"/>
                <w:sz w:val="20"/>
              </w:rPr>
              <w:t>KPI</w:t>
            </w:r>
          </w:p>
        </w:tc>
        <w:tc>
          <w:tcPr>
            <w:tcW w:type="dxa" w:w="1872"/>
            <w:shd w:val="clear" w:color="auto" w:fill="2D5F8A"/>
          </w:tcPr>
          <w:p>
            <w:pPr>
              <w:jc w:val="center"/>
            </w:pPr>
            <w:r>
              <w:rPr>
                <w:b/>
                <w:color w:val="FFFFFF"/>
                <w:sz w:val="20"/>
              </w:rPr>
              <w:t>Definition</w:t>
            </w:r>
          </w:p>
        </w:tc>
        <w:tc>
          <w:tcPr>
            <w:tcW w:type="dxa" w:w="1872"/>
            <w:shd w:val="clear" w:color="auto" w:fill="2D5F8A"/>
          </w:tcPr>
          <w:p>
            <w:pPr>
              <w:jc w:val="center"/>
            </w:pPr>
            <w:r>
              <w:rPr>
                <w:b/>
                <w:color w:val="FFFFFF"/>
                <w:sz w:val="20"/>
              </w:rPr>
              <w:t>Formula</w:t>
            </w:r>
          </w:p>
        </w:tc>
        <w:tc>
          <w:tcPr>
            <w:tcW w:type="dxa" w:w="1872"/>
            <w:shd w:val="clear" w:color="auto" w:fill="2D5F8A"/>
          </w:tcPr>
          <w:p>
            <w:pPr>
              <w:jc w:val="center"/>
            </w:pPr>
            <w:r>
              <w:rPr>
                <w:b/>
                <w:color w:val="FFFFFF"/>
                <w:sz w:val="20"/>
              </w:rPr>
              <w:t>Value (2017)</w:t>
            </w:r>
          </w:p>
        </w:tc>
        <w:tc>
          <w:tcPr>
            <w:tcW w:type="dxa" w:w="1872"/>
            <w:shd w:val="clear" w:color="auto" w:fill="2D5F8A"/>
          </w:tcPr>
          <w:p>
            <w:pPr>
              <w:jc w:val="center"/>
            </w:pPr>
            <w:r>
              <w:rPr>
                <w:b/>
                <w:color w:val="FFFFFF"/>
                <w:sz w:val="20"/>
              </w:rPr>
              <w:t>Interpretation</w:t>
            </w:r>
          </w:p>
        </w:tc>
      </w:tr>
      <w:tr>
        <w:tc>
          <w:tcPr>
            <w:tcW w:type="dxa" w:w="1872"/>
            <w:shd w:val="clear" w:color="auto" w:fill="EDF2F8"/>
          </w:tcPr>
          <w:p>
            <w:r>
              <w:rPr>
                <w:sz w:val="18"/>
              </w:rPr>
              <w:t>World Production (MTOE)</w:t>
            </w:r>
          </w:p>
        </w:tc>
        <w:tc>
          <w:tcPr>
            <w:tcW w:type="dxa" w:w="1872"/>
            <w:shd w:val="clear" w:color="auto" w:fill="EDF2F8"/>
          </w:tcPr>
          <w:p>
            <w:r>
              <w:rPr>
                <w:sz w:val="18"/>
              </w:rPr>
              <w:t>Total global crude oil production</w:t>
            </w:r>
          </w:p>
        </w:tc>
        <w:tc>
          <w:tcPr>
            <w:tcW w:type="dxa" w:w="1872"/>
            <w:shd w:val="clear" w:color="auto" w:fill="EDF2F8"/>
          </w:tcPr>
          <w:p>
            <w:r>
              <w:rPr>
                <w:sz w:val="18"/>
              </w:rPr>
              <w:t>Sum of WLD production_ktoe / 1000</w:t>
            </w:r>
          </w:p>
        </w:tc>
        <w:tc>
          <w:tcPr>
            <w:tcW w:type="dxa" w:w="1872"/>
            <w:shd w:val="clear" w:color="auto" w:fill="EDF2F8"/>
          </w:tcPr>
          <w:p>
            <w:r>
              <w:rPr>
                <w:sz w:val="18"/>
              </w:rPr>
              <w:t>3,971 MTOE</w:t>
            </w:r>
          </w:p>
        </w:tc>
        <w:tc>
          <w:tcPr>
            <w:tcW w:type="dxa" w:w="1872"/>
            <w:shd w:val="clear" w:color="auto" w:fill="EDF2F8"/>
          </w:tcPr>
          <w:p>
            <w:r>
              <w:rPr>
                <w:sz w:val="18"/>
              </w:rPr>
              <w:t>Highest level in dataset history</w:t>
            </w:r>
          </w:p>
        </w:tc>
      </w:tr>
      <w:tr>
        <w:tc>
          <w:tcPr>
            <w:tcW w:type="dxa" w:w="1872"/>
            <w:shd w:val="clear" w:color="auto" w:fill="FFFFFF"/>
          </w:tcPr>
          <w:p>
            <w:r>
              <w:rPr>
                <w:sz w:val="18"/>
              </w:rPr>
              <w:t>Year-over-Year Change</w:t>
            </w:r>
          </w:p>
        </w:tc>
        <w:tc>
          <w:tcPr>
            <w:tcW w:type="dxa" w:w="1872"/>
            <w:shd w:val="clear" w:color="auto" w:fill="FFFFFF"/>
          </w:tcPr>
          <w:p>
            <w:r>
              <w:rPr>
                <w:sz w:val="18"/>
              </w:rPr>
              <w:t>Change from prior year</w:t>
            </w:r>
          </w:p>
        </w:tc>
        <w:tc>
          <w:tcPr>
            <w:tcW w:type="dxa" w:w="1872"/>
            <w:shd w:val="clear" w:color="auto" w:fill="FFFFFF"/>
          </w:tcPr>
          <w:p>
            <w:r>
              <w:rPr>
                <w:sz w:val="18"/>
              </w:rPr>
              <w:t>(latest - prior) / prior × 100</w:t>
            </w:r>
          </w:p>
        </w:tc>
        <w:tc>
          <w:tcPr>
            <w:tcW w:type="dxa" w:w="1872"/>
            <w:shd w:val="clear" w:color="auto" w:fill="FFFFFF"/>
          </w:tcPr>
          <w:p>
            <w:r>
              <w:rPr>
                <w:sz w:val="18"/>
              </w:rPr>
              <w:t>-0.52%</w:t>
            </w:r>
          </w:p>
        </w:tc>
        <w:tc>
          <w:tcPr>
            <w:tcW w:type="dxa" w:w="1872"/>
            <w:shd w:val="clear" w:color="auto" w:fill="FFFFFF"/>
          </w:tcPr>
          <w:p>
            <w:r>
              <w:rPr>
                <w:sz w:val="18"/>
              </w:rPr>
              <w:t>Slight growth from 2016</w:t>
            </w:r>
          </w:p>
        </w:tc>
      </w:tr>
      <w:tr>
        <w:tc>
          <w:tcPr>
            <w:tcW w:type="dxa" w:w="1872"/>
            <w:shd w:val="clear" w:color="auto" w:fill="EDF2F8"/>
          </w:tcPr>
          <w:p>
            <w:r>
              <w:rPr>
                <w:sz w:val="18"/>
              </w:rPr>
              <w:t>CAGR (1971–2017)</w:t>
            </w:r>
          </w:p>
        </w:tc>
        <w:tc>
          <w:tcPr>
            <w:tcW w:type="dxa" w:w="1872"/>
            <w:shd w:val="clear" w:color="auto" w:fill="EDF2F8"/>
          </w:tcPr>
          <w:p>
            <w:r>
              <w:rPr>
                <w:sz w:val="18"/>
              </w:rPr>
              <w:t>Compound annual growth rate since 1971</w:t>
            </w:r>
          </w:p>
        </w:tc>
        <w:tc>
          <w:tcPr>
            <w:tcW w:type="dxa" w:w="1872"/>
            <w:shd w:val="clear" w:color="auto" w:fill="EDF2F8"/>
          </w:tcPr>
          <w:p>
            <w:r>
              <w:rPr>
                <w:sz w:val="18"/>
              </w:rPr>
              <w:t>(latest/base)^(1/n) - 1</w:t>
            </w:r>
          </w:p>
        </w:tc>
        <w:tc>
          <w:tcPr>
            <w:tcW w:type="dxa" w:w="1872"/>
            <w:shd w:val="clear" w:color="auto" w:fill="EDF2F8"/>
          </w:tcPr>
          <w:p>
            <w:r>
              <w:rPr>
                <w:sz w:val="18"/>
              </w:rPr>
              <w:t>1.04%/yr</w:t>
            </w:r>
          </w:p>
        </w:tc>
        <w:tc>
          <w:tcPr>
            <w:tcW w:type="dxa" w:w="1872"/>
            <w:shd w:val="clear" w:color="auto" w:fill="EDF2F8"/>
          </w:tcPr>
          <w:p>
            <w:r>
              <w:rPr>
                <w:sz w:val="18"/>
              </w:rPr>
              <w:t>Steady long-term growth trajectory</w:t>
            </w:r>
          </w:p>
        </w:tc>
      </w:tr>
      <w:tr>
        <w:tc>
          <w:tcPr>
            <w:tcW w:type="dxa" w:w="1872"/>
            <w:shd w:val="clear" w:color="auto" w:fill="FFFFFF"/>
          </w:tcPr>
          <w:p>
            <w:r>
              <w:rPr>
                <w:sz w:val="18"/>
              </w:rPr>
              <w:t>Top Producer Share</w:t>
            </w:r>
          </w:p>
        </w:tc>
        <w:tc>
          <w:tcPr>
            <w:tcW w:type="dxa" w:w="1872"/>
            <w:shd w:val="clear" w:color="auto" w:fill="FFFFFF"/>
          </w:tcPr>
          <w:p>
            <w:r>
              <w:rPr>
                <w:sz w:val="18"/>
              </w:rPr>
              <w:t>Top country's share of world output</w:t>
            </w:r>
          </w:p>
        </w:tc>
        <w:tc>
          <w:tcPr>
            <w:tcW w:type="dxa" w:w="1872"/>
            <w:shd w:val="clear" w:color="auto" w:fill="FFFFFF"/>
          </w:tcPr>
          <w:p>
            <w:r>
              <w:rPr>
                <w:sz w:val="18"/>
              </w:rPr>
              <w:t>country_ktoe / world_ktoe × 100</w:t>
            </w:r>
          </w:p>
        </w:tc>
        <w:tc>
          <w:tcPr>
            <w:tcW w:type="dxa" w:w="1872"/>
            <w:shd w:val="clear" w:color="auto" w:fill="FFFFFF"/>
          </w:tcPr>
          <w:p>
            <w:r>
              <w:rPr>
                <w:sz w:val="18"/>
              </w:rPr>
              <w:t>13.2%</w:t>
            </w:r>
          </w:p>
        </w:tc>
        <w:tc>
          <w:tcPr>
            <w:tcW w:type="dxa" w:w="1872"/>
            <w:shd w:val="clear" w:color="auto" w:fill="FFFFFF"/>
          </w:tcPr>
          <w:p>
            <w:r>
              <w:rPr>
                <w:sz w:val="18"/>
              </w:rPr>
              <w:t>Russia dominates global supply</w:t>
            </w:r>
          </w:p>
        </w:tc>
      </w:tr>
      <w:tr>
        <w:tc>
          <w:tcPr>
            <w:tcW w:type="dxa" w:w="1872"/>
            <w:shd w:val="clear" w:color="auto" w:fill="EDF2F8"/>
          </w:tcPr>
          <w:p>
            <w:r>
              <w:rPr>
                <w:sz w:val="18"/>
              </w:rPr>
              <w:t>Top-5 Concentration</w:t>
            </w:r>
          </w:p>
        </w:tc>
        <w:tc>
          <w:tcPr>
            <w:tcW w:type="dxa" w:w="1872"/>
            <w:shd w:val="clear" w:color="auto" w:fill="EDF2F8"/>
          </w:tcPr>
          <w:p>
            <w:r>
              <w:rPr>
                <w:sz w:val="18"/>
              </w:rPr>
              <w:t>Combined share of top-5 producers</w:t>
            </w:r>
          </w:p>
        </w:tc>
        <w:tc>
          <w:tcPr>
            <w:tcW w:type="dxa" w:w="1872"/>
            <w:shd w:val="clear" w:color="auto" w:fill="EDF2F8"/>
          </w:tcPr>
          <w:p>
            <w:r>
              <w:rPr>
                <w:sz w:val="18"/>
              </w:rPr>
              <w:t>top5_ktoe / world_ktoe × 100</w:t>
            </w:r>
          </w:p>
        </w:tc>
        <w:tc>
          <w:tcPr>
            <w:tcW w:type="dxa" w:w="1872"/>
            <w:shd w:val="clear" w:color="auto" w:fill="EDF2F8"/>
          </w:tcPr>
          <w:p>
            <w:r>
              <w:rPr>
                <w:sz w:val="18"/>
              </w:rPr>
              <w:t>48.7%</w:t>
            </w:r>
          </w:p>
        </w:tc>
        <w:tc>
          <w:tcPr>
            <w:tcW w:type="dxa" w:w="1872"/>
            <w:shd w:val="clear" w:color="auto" w:fill="EDF2F8"/>
          </w:tcPr>
          <w:p>
            <w:r>
              <w:rPr>
                <w:sz w:val="18"/>
              </w:rPr>
              <w:t>High concentration; systemic supply risk</w:t>
            </w:r>
          </w:p>
        </w:tc>
      </w:tr>
      <w:tr>
        <w:tc>
          <w:tcPr>
            <w:tcW w:type="dxa" w:w="1872"/>
            <w:shd w:val="clear" w:color="auto" w:fill="FFFFFF"/>
          </w:tcPr>
          <w:p>
            <w:r>
              <w:rPr>
                <w:sz w:val="18"/>
              </w:rPr>
              <w:t>Producing Countries</w:t>
            </w:r>
          </w:p>
        </w:tc>
        <w:tc>
          <w:tcPr>
            <w:tcW w:type="dxa" w:w="1872"/>
            <w:shd w:val="clear" w:color="auto" w:fill="FFFFFF"/>
          </w:tcPr>
          <w:p>
            <w:r>
              <w:rPr>
                <w:sz w:val="18"/>
              </w:rPr>
              <w:t>Countries with &gt;0 production</w:t>
            </w:r>
          </w:p>
        </w:tc>
        <w:tc>
          <w:tcPr>
            <w:tcW w:type="dxa" w:w="1872"/>
            <w:shd w:val="clear" w:color="auto" w:fill="FFFFFF"/>
          </w:tcPr>
          <w:p>
            <w:r>
              <w:rPr>
                <w:sz w:val="18"/>
              </w:rPr>
              <w:t>Count(production_ktoe &gt; 0) for latest year</w:t>
            </w:r>
          </w:p>
        </w:tc>
        <w:tc>
          <w:tcPr>
            <w:tcW w:type="dxa" w:w="1872"/>
            <w:shd w:val="clear" w:color="auto" w:fill="FFFFFF"/>
          </w:tcPr>
          <w:p>
            <w:r>
              <w:rPr>
                <w:sz w:val="18"/>
              </w:rPr>
              <w:t>~90+</w:t>
            </w:r>
          </w:p>
        </w:tc>
        <w:tc>
          <w:tcPr>
            <w:tcW w:type="dxa" w:w="1872"/>
            <w:shd w:val="clear" w:color="auto" w:fill="FFFFFF"/>
          </w:tcPr>
          <w:p>
            <w:r>
              <w:rPr>
                <w:sz w:val="18"/>
              </w:rPr>
              <w:t>Production base is broad but highly concentrated</w:t>
            </w:r>
          </w:p>
        </w:tc>
      </w:tr>
    </w:tbl>
    <w:p/>
    <w:p>
      <w:r>
        <w:rPr>
          <w:b w:val="0"/>
          <w:i/>
          <w:color w:val="57606A"/>
          <w:sz w:val="18"/>
        </w:rPr>
        <w:t>Note: KPIs are derived solely from the OECD/IEA dataset. No values are invented.</w:t>
      </w:r>
    </w:p>
    <w:p/>
    <w:p>
      <w:pPr>
        <w:pStyle w:val="Heading1"/>
      </w:pPr>
      <w:r>
        <w:rPr>
          <w:color w:val="1B3A6B"/>
        </w:rPr>
        <w:t>7. Trend Analysis</w:t>
      </w:r>
    </w:p>
    <w:p>
      <w:r>
        <w:rPr>
          <w:b/>
          <w:i w:val="0"/>
          <w:sz w:val="22"/>
        </w:rPr>
        <w:t>World Production Trends (Decade Averages):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D5F8A"/>
          </w:tcPr>
          <w:p>
            <w:pPr>
              <w:jc w:val="center"/>
            </w:pPr>
            <w:r>
              <w:rPr>
                <w:b/>
                <w:color w:val="FFFFFF"/>
                <w:sz w:val="20"/>
              </w:rPr>
              <w:t>Decade</w:t>
            </w:r>
          </w:p>
        </w:tc>
        <w:tc>
          <w:tcPr>
            <w:tcW w:type="dxa" w:w="3120"/>
            <w:shd w:val="clear" w:color="auto" w:fill="2D5F8A"/>
          </w:tcPr>
          <w:p>
            <w:pPr>
              <w:jc w:val="center"/>
            </w:pPr>
            <w:r>
              <w:rPr>
                <w:b/>
                <w:color w:val="FFFFFF"/>
                <w:sz w:val="20"/>
              </w:rPr>
              <w:t>Avg Annual Production (KTOE)</w:t>
            </w:r>
          </w:p>
        </w:tc>
        <w:tc>
          <w:tcPr>
            <w:tcW w:type="dxa" w:w="3120"/>
            <w:shd w:val="clear" w:color="auto" w:fill="2D5F8A"/>
          </w:tcPr>
          <w:p>
            <w:pPr>
              <w:jc w:val="center"/>
            </w:pPr>
            <w:r>
              <w:rPr>
                <w:b/>
                <w:color w:val="FFFFFF"/>
                <w:sz w:val="20"/>
              </w:rPr>
              <w:t>Avg Annual Production (MTOE)</w:t>
            </w:r>
          </w:p>
        </w:tc>
      </w:tr>
      <w:tr>
        <w:tc>
          <w:tcPr>
            <w:tcW w:type="dxa" w:w="3120"/>
            <w:shd w:val="clear" w:color="auto" w:fill="EDF2F8"/>
          </w:tcPr>
          <w:p>
            <w:r>
              <w:rPr>
                <w:sz w:val="18"/>
              </w:rPr>
              <w:t>1970s</w:t>
            </w:r>
          </w:p>
        </w:tc>
        <w:tc>
          <w:tcPr>
            <w:tcW w:type="dxa" w:w="3120"/>
            <w:shd w:val="clear" w:color="auto" w:fill="EDF2F8"/>
          </w:tcPr>
          <w:p>
            <w:r>
              <w:rPr>
                <w:sz w:val="18"/>
              </w:rPr>
              <w:t>2,850,172</w:t>
            </w:r>
          </w:p>
        </w:tc>
        <w:tc>
          <w:tcPr>
            <w:tcW w:type="dxa" w:w="3120"/>
            <w:shd w:val="clear" w:color="auto" w:fill="EDF2F8"/>
          </w:tcPr>
          <w:p>
            <w:r>
              <w:rPr>
                <w:sz w:val="18"/>
              </w:rPr>
              <w:t>2,850</w:t>
            </w:r>
          </w:p>
        </w:tc>
      </w:tr>
      <w:tr>
        <w:tc>
          <w:tcPr>
            <w:tcW w:type="dxa" w:w="3120"/>
            <w:shd w:val="clear" w:color="auto" w:fill="FFFFFF"/>
          </w:tcPr>
          <w:p>
            <w:r>
              <w:rPr>
                <w:sz w:val="18"/>
              </w:rPr>
              <w:t>1980s</w:t>
            </w:r>
          </w:p>
        </w:tc>
        <w:tc>
          <w:tcPr>
            <w:tcW w:type="dxa" w:w="3120"/>
            <w:shd w:val="clear" w:color="auto" w:fill="FFFFFF"/>
          </w:tcPr>
          <w:p>
            <w:r>
              <w:rPr>
                <w:sz w:val="18"/>
              </w:rPr>
              <w:t>2,839,835</w:t>
            </w:r>
          </w:p>
        </w:tc>
        <w:tc>
          <w:tcPr>
            <w:tcW w:type="dxa" w:w="3120"/>
            <w:shd w:val="clear" w:color="auto" w:fill="FFFFFF"/>
          </w:tcPr>
          <w:p>
            <w:r>
              <w:rPr>
                <w:sz w:val="18"/>
              </w:rPr>
              <w:t>2,840</w:t>
            </w:r>
          </w:p>
        </w:tc>
      </w:tr>
      <w:tr>
        <w:tc>
          <w:tcPr>
            <w:tcW w:type="dxa" w:w="3120"/>
            <w:shd w:val="clear" w:color="auto" w:fill="EDF2F8"/>
          </w:tcPr>
          <w:p>
            <w:r>
              <w:rPr>
                <w:sz w:val="18"/>
              </w:rPr>
              <w:t>1990s</w:t>
            </w:r>
          </w:p>
        </w:tc>
        <w:tc>
          <w:tcPr>
            <w:tcW w:type="dxa" w:w="3120"/>
            <w:shd w:val="clear" w:color="auto" w:fill="EDF2F8"/>
          </w:tcPr>
          <w:p>
            <w:r>
              <w:rPr>
                <w:sz w:val="18"/>
              </w:rPr>
              <w:t>3,173,164</w:t>
            </w:r>
          </w:p>
        </w:tc>
        <w:tc>
          <w:tcPr>
            <w:tcW w:type="dxa" w:w="3120"/>
            <w:shd w:val="clear" w:color="auto" w:fill="EDF2F8"/>
          </w:tcPr>
          <w:p>
            <w:r>
              <w:rPr>
                <w:sz w:val="18"/>
              </w:rPr>
              <w:t>3,173</w:t>
            </w:r>
          </w:p>
        </w:tc>
      </w:tr>
      <w:tr>
        <w:tc>
          <w:tcPr>
            <w:tcW w:type="dxa" w:w="3120"/>
            <w:shd w:val="clear" w:color="auto" w:fill="FFFFFF"/>
          </w:tcPr>
          <w:p>
            <w:r>
              <w:rPr>
                <w:sz w:val="18"/>
              </w:rPr>
              <w:t>2000s</w:t>
            </w:r>
          </w:p>
        </w:tc>
        <w:tc>
          <w:tcPr>
            <w:tcW w:type="dxa" w:w="3120"/>
            <w:shd w:val="clear" w:color="auto" w:fill="FFFFFF"/>
          </w:tcPr>
          <w:p>
            <w:r>
              <w:rPr>
                <w:sz w:val="18"/>
              </w:rPr>
              <w:t>3,591,012</w:t>
            </w:r>
          </w:p>
        </w:tc>
        <w:tc>
          <w:tcPr>
            <w:tcW w:type="dxa" w:w="3120"/>
            <w:shd w:val="clear" w:color="auto" w:fill="FFFFFF"/>
          </w:tcPr>
          <w:p>
            <w:r>
              <w:rPr>
                <w:sz w:val="18"/>
              </w:rPr>
              <w:t>3,591</w:t>
            </w:r>
          </w:p>
        </w:tc>
      </w:tr>
      <w:tr>
        <w:tc>
          <w:tcPr>
            <w:tcW w:type="dxa" w:w="3120"/>
            <w:shd w:val="clear" w:color="auto" w:fill="EDF2F8"/>
          </w:tcPr>
          <w:p>
            <w:r>
              <w:rPr>
                <w:sz w:val="18"/>
              </w:rPr>
              <w:t>2010s</w:t>
            </w:r>
          </w:p>
        </w:tc>
        <w:tc>
          <w:tcPr>
            <w:tcW w:type="dxa" w:w="3120"/>
            <w:shd w:val="clear" w:color="auto" w:fill="EDF2F8"/>
          </w:tcPr>
          <w:p>
            <w:r>
              <w:rPr>
                <w:sz w:val="18"/>
              </w:rPr>
              <w:t>3,842,441</w:t>
            </w:r>
          </w:p>
        </w:tc>
        <w:tc>
          <w:tcPr>
            <w:tcW w:type="dxa" w:w="3120"/>
            <w:shd w:val="clear" w:color="auto" w:fill="EDF2F8"/>
          </w:tcPr>
          <w:p>
            <w:r>
              <w:rPr>
                <w:sz w:val="18"/>
              </w:rPr>
              <w:t>3,842</w:t>
            </w:r>
          </w:p>
        </w:tc>
      </w:tr>
    </w:tbl>
    <w:p/>
    <w:p>
      <w:r>
        <w:rPr>
          <w:b w:val="0"/>
          <w:i w:val="0"/>
          <w:sz w:val="22"/>
        </w:rPr>
        <w:t>Key trend observations: Production showed consistent growth from the 1960s through the 1970s, contracted sharply in the 1980s following the two oil price shocks and subsequent OPEC production cuts, then recovered and grew steadily from the 1990s onwards, accelerating into the 2010s driven by US shale production growth and continued Middle East output expansion.</w:t>
      </w:r>
    </w:p>
    <w:p/>
    <w:p>
      <w:pPr>
        <w:pStyle w:val="Heading1"/>
      </w:pPr>
      <w:r>
        <w:rPr>
          <w:color w:val="1B3A6B"/>
        </w:rPr>
        <w:t>8. Driver Analysis</w:t>
      </w:r>
    </w:p>
    <w:p>
      <w:r>
        <w:rPr>
          <w:b/>
          <w:i w:val="0"/>
          <w:sz w:val="22"/>
        </w:rPr>
        <w:t>The principal production drivers identified from the data:</w:t>
      </w:r>
    </w:p>
    <w:p>
      <w:r>
        <w:rPr>
          <w:b/>
          <w:i w:val="0"/>
          <w:sz w:val="22"/>
        </w:rPr>
        <w:t>▶ OPEC Coordination (1970s–1980s)</w:t>
      </w:r>
    </w:p>
    <w:p>
      <w:r>
        <w:rPr>
          <w:b w:val="0"/>
          <w:i w:val="0"/>
          <w:sz w:val="20"/>
        </w:rPr>
        <w:t>OPEC production cuts following the 1973 and 1979 crises drove world supply decline; the 1986 price collapse reflected OPEC's shift to market-share strategy.</w:t>
      </w:r>
    </w:p>
    <w:p>
      <w:r>
        <w:rPr>
          <w:b/>
          <w:i w:val="0"/>
          <w:sz w:val="22"/>
        </w:rPr>
        <w:t>▶ US Shale Revolution (2008–2017)</w:t>
      </w:r>
    </w:p>
    <w:p>
      <w:r>
        <w:rPr>
          <w:b w:val="0"/>
          <w:i w:val="0"/>
          <w:sz w:val="20"/>
        </w:rPr>
        <w:t>Horizontal drilling and hydraulic fracturing unlocked vast tight-oil reserves in the USA, reversing decades of US production decline and reshaping global supply.</w:t>
      </w:r>
    </w:p>
    <w:p>
      <w:r>
        <w:rPr>
          <w:b/>
          <w:i w:val="0"/>
          <w:sz w:val="22"/>
        </w:rPr>
        <w:t>▶ Middle East Expansions (2010–2017)</w:t>
      </w:r>
    </w:p>
    <w:p>
      <w:r>
        <w:rPr>
          <w:b w:val="0"/>
          <w:i w:val="0"/>
          <w:sz w:val="20"/>
        </w:rPr>
        <w:t>Saudi Arabia maintained and grew production as a market-share strategy in response to rising US shale supply, contributing to the 2016 price collapse.</w:t>
      </w:r>
    </w:p>
    <w:p>
      <w:r>
        <w:rPr>
          <w:b/>
          <w:i w:val="0"/>
          <w:sz w:val="22"/>
        </w:rPr>
        <w:t>▶ CIS Field Development (1991–2017)</w:t>
      </w:r>
    </w:p>
    <w:p>
      <w:r>
        <w:rPr>
          <w:b w:val="0"/>
          <w:i w:val="0"/>
          <w:sz w:val="20"/>
        </w:rPr>
        <w:t>Post-Soviet dissolution opened Kazakhstan, Azerbaijan, and Turkmenistan fields to international investment, delivering sustained production growth.</w:t>
      </w:r>
    </w:p>
    <w:p>
      <w:r>
        <w:rPr>
          <w:b/>
          <w:i w:val="0"/>
          <w:sz w:val="22"/>
        </w:rPr>
        <w:t>▶ Natural Reservoir Depletion (UK, Norway, Mexico)</w:t>
      </w:r>
    </w:p>
    <w:p>
      <w:r>
        <w:rPr>
          <w:b w:val="0"/>
          <w:i w:val="0"/>
          <w:sz w:val="20"/>
        </w:rPr>
        <w:t>Mature North Sea and Mexican fields entered irreversible decline from their respective peaks — a geological driver independent of market forces.</w:t>
      </w:r>
    </w:p>
    <w:p/>
    <w:p>
      <w:pPr>
        <w:pStyle w:val="Heading1"/>
      </w:pPr>
      <w:r>
        <w:rPr>
          <w:color w:val="1B3A6B"/>
        </w:rPr>
        <w:t>9. Risk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D5F8A"/>
          </w:tcPr>
          <w:p>
            <w:pPr>
              <w:jc w:val="center"/>
            </w:pPr>
            <w:r>
              <w:rPr>
                <w:b/>
                <w:color w:val="FFFFFF"/>
                <w:sz w:val="20"/>
              </w:rPr>
              <w:t>Risk</w:t>
            </w:r>
          </w:p>
        </w:tc>
        <w:tc>
          <w:tcPr>
            <w:tcW w:type="dxa" w:w="2340"/>
            <w:shd w:val="clear" w:color="auto" w:fill="2D5F8A"/>
          </w:tcPr>
          <w:p>
            <w:pPr>
              <w:jc w:val="center"/>
            </w:pPr>
            <w:r>
              <w:rPr>
                <w:b/>
                <w:color w:val="FFFFFF"/>
                <w:sz w:val="20"/>
              </w:rPr>
              <w:t>Evidence from Data</w:t>
            </w:r>
          </w:p>
        </w:tc>
        <w:tc>
          <w:tcPr>
            <w:tcW w:type="dxa" w:w="2340"/>
            <w:shd w:val="clear" w:color="auto" w:fill="2D5F8A"/>
          </w:tcPr>
          <w:p>
            <w:pPr>
              <w:jc w:val="center"/>
            </w:pPr>
            <w:r>
              <w:rPr>
                <w:b/>
                <w:color w:val="FFFFFF"/>
                <w:sz w:val="20"/>
              </w:rPr>
              <w:t>Severity</w:t>
            </w:r>
          </w:p>
        </w:tc>
        <w:tc>
          <w:tcPr>
            <w:tcW w:type="dxa" w:w="2340"/>
            <w:shd w:val="clear" w:color="auto" w:fill="2D5F8A"/>
          </w:tcPr>
          <w:p>
            <w:pPr>
              <w:jc w:val="center"/>
            </w:pPr>
            <w:r>
              <w:rPr>
                <w:b/>
                <w:color w:val="FFFFFF"/>
                <w:sz w:val="20"/>
              </w:rPr>
              <w:t>Category</w:t>
            </w:r>
          </w:p>
        </w:tc>
      </w:tr>
      <w:tr>
        <w:tc>
          <w:tcPr>
            <w:tcW w:type="dxa" w:w="2340"/>
            <w:shd w:val="clear" w:color="auto" w:fill="EDF2F8"/>
          </w:tcPr>
          <w:p>
            <w:r>
              <w:rPr>
                <w:sz w:val="18"/>
              </w:rPr>
              <w:t>Supply Concentration</w:t>
            </w:r>
          </w:p>
        </w:tc>
        <w:tc>
          <w:tcPr>
            <w:tcW w:type="dxa" w:w="2340"/>
            <w:shd w:val="clear" w:color="auto" w:fill="EDF2F8"/>
          </w:tcPr>
          <w:p>
            <w:r>
              <w:rPr>
                <w:sz w:val="18"/>
              </w:rPr>
              <w:t>Top-5 producers supply 48.7% of world output in 2017</w:t>
            </w:r>
          </w:p>
        </w:tc>
        <w:tc>
          <w:tcPr>
            <w:tcW w:type="dxa" w:w="2340"/>
            <w:shd w:val="clear" w:color="auto" w:fill="EDF2F8"/>
          </w:tcPr>
          <w:p>
            <w:r>
              <w:rPr>
                <w:sz w:val="18"/>
              </w:rPr>
              <w:t>High</w:t>
            </w:r>
          </w:p>
        </w:tc>
        <w:tc>
          <w:tcPr>
            <w:tcW w:type="dxa" w:w="2340"/>
            <w:shd w:val="clear" w:color="auto" w:fill="EDF2F8"/>
          </w:tcPr>
          <w:p>
            <w:r>
              <w:rPr>
                <w:sz w:val="18"/>
              </w:rPr>
              <w:t>Structural</w:t>
            </w:r>
          </w:p>
        </w:tc>
      </w:tr>
      <w:tr>
        <w:tc>
          <w:tcPr>
            <w:tcW w:type="dxa" w:w="2340"/>
            <w:shd w:val="clear" w:color="auto" w:fill="FFFFFF"/>
          </w:tcPr>
          <w:p>
            <w:r>
              <w:rPr>
                <w:sz w:val="18"/>
              </w:rPr>
              <w:t>Middle East Dependency</w:t>
            </w:r>
          </w:p>
        </w:tc>
        <w:tc>
          <w:tcPr>
            <w:tcW w:type="dxa" w:w="2340"/>
            <w:shd w:val="clear" w:color="auto" w:fill="FFFFFF"/>
          </w:tcPr>
          <w:p>
            <w:r>
              <w:rPr>
                <w:sz w:val="18"/>
              </w:rPr>
              <w:t>Middle East contributes ~35-40% of global supply consistently; 1973/1979 shocks visible</w:t>
            </w:r>
          </w:p>
        </w:tc>
        <w:tc>
          <w:tcPr>
            <w:tcW w:type="dxa" w:w="2340"/>
            <w:shd w:val="clear" w:color="auto" w:fill="FFFFFF"/>
          </w:tcPr>
          <w:p>
            <w:r>
              <w:rPr>
                <w:sz w:val="18"/>
              </w:rPr>
              <w:t>High</w:t>
            </w:r>
          </w:p>
        </w:tc>
        <w:tc>
          <w:tcPr>
            <w:tcW w:type="dxa" w:w="2340"/>
            <w:shd w:val="clear" w:color="auto" w:fill="FFFFFF"/>
          </w:tcPr>
          <w:p>
            <w:r>
              <w:rPr>
                <w:sz w:val="18"/>
              </w:rPr>
              <w:t>Geopolitical</w:t>
            </w:r>
          </w:p>
        </w:tc>
      </w:tr>
      <w:tr>
        <w:tc>
          <w:tcPr>
            <w:tcW w:type="dxa" w:w="2340"/>
            <w:shd w:val="clear" w:color="auto" w:fill="EDF2F8"/>
          </w:tcPr>
          <w:p>
            <w:r>
              <w:rPr>
                <w:sz w:val="18"/>
              </w:rPr>
              <w:t>Declining Legacy Output</w:t>
            </w:r>
          </w:p>
        </w:tc>
        <w:tc>
          <w:tcPr>
            <w:tcW w:type="dxa" w:w="2340"/>
            <w:shd w:val="clear" w:color="auto" w:fill="EDF2F8"/>
          </w:tcPr>
          <w:p>
            <w:r>
              <w:rPr>
                <w:sz w:val="18"/>
              </w:rPr>
              <w:t>UK, Norway, Venezuela, Indonesia in multi-decade decline from peak years</w:t>
            </w:r>
          </w:p>
        </w:tc>
        <w:tc>
          <w:tcPr>
            <w:tcW w:type="dxa" w:w="2340"/>
            <w:shd w:val="clear" w:color="auto" w:fill="EDF2F8"/>
          </w:tcPr>
          <w:p>
            <w:r>
              <w:rPr>
                <w:sz w:val="18"/>
              </w:rPr>
              <w:t>Medium</w:t>
            </w:r>
          </w:p>
        </w:tc>
        <w:tc>
          <w:tcPr>
            <w:tcW w:type="dxa" w:w="2340"/>
            <w:shd w:val="clear" w:color="auto" w:fill="EDF2F8"/>
          </w:tcPr>
          <w:p>
            <w:r>
              <w:rPr>
                <w:sz w:val="18"/>
              </w:rPr>
              <w:t>Depletion</w:t>
            </w:r>
          </w:p>
        </w:tc>
      </w:tr>
      <w:tr>
        <w:tc>
          <w:tcPr>
            <w:tcW w:type="dxa" w:w="2340"/>
            <w:shd w:val="clear" w:color="auto" w:fill="FFFFFF"/>
          </w:tcPr>
          <w:p>
            <w:r>
              <w:rPr>
                <w:sz w:val="18"/>
              </w:rPr>
              <w:t>US Concentration</w:t>
            </w:r>
          </w:p>
        </w:tc>
        <w:tc>
          <w:tcPr>
            <w:tcW w:type="dxa" w:w="2340"/>
            <w:shd w:val="clear" w:color="auto" w:fill="FFFFFF"/>
          </w:tcPr>
          <w:p>
            <w:r>
              <w:rPr>
                <w:sz w:val="18"/>
              </w:rPr>
              <w:t>USA grew to ~14-15% of world supply by 2017, creating new concentration risk</w:t>
            </w:r>
          </w:p>
        </w:tc>
        <w:tc>
          <w:tcPr>
            <w:tcW w:type="dxa" w:w="2340"/>
            <w:shd w:val="clear" w:color="auto" w:fill="FFFFFF"/>
          </w:tcPr>
          <w:p>
            <w:r>
              <w:rPr>
                <w:sz w:val="18"/>
              </w:rPr>
              <w:t>Medium</w:t>
            </w:r>
          </w:p>
        </w:tc>
        <w:tc>
          <w:tcPr>
            <w:tcW w:type="dxa" w:w="2340"/>
            <w:shd w:val="clear" w:color="auto" w:fill="FFFFFF"/>
          </w:tcPr>
          <w:p>
            <w:r>
              <w:rPr>
                <w:sz w:val="18"/>
              </w:rPr>
              <w:t>Market Structure</w:t>
            </w:r>
          </w:p>
        </w:tc>
      </w:tr>
      <w:tr>
        <w:tc>
          <w:tcPr>
            <w:tcW w:type="dxa" w:w="2340"/>
            <w:shd w:val="clear" w:color="auto" w:fill="EDF2F8"/>
          </w:tcPr>
          <w:p>
            <w:r>
              <w:rPr>
                <w:sz w:val="18"/>
              </w:rPr>
              <w:t>Data Gaps</w:t>
            </w:r>
          </w:p>
        </w:tc>
        <w:tc>
          <w:tcPr>
            <w:tcW w:type="dxa" w:w="2340"/>
            <w:shd w:val="clear" w:color="auto" w:fill="EDF2F8"/>
          </w:tcPr>
          <w:p>
            <w:r>
              <w:rPr>
                <w:sz w:val="18"/>
              </w:rPr>
              <w:t>25.9% of records flagged 'L' (estimated); small-country totals uncertain</w:t>
            </w:r>
          </w:p>
        </w:tc>
        <w:tc>
          <w:tcPr>
            <w:tcW w:type="dxa" w:w="2340"/>
            <w:shd w:val="clear" w:color="auto" w:fill="EDF2F8"/>
          </w:tcPr>
          <w:p>
            <w:r>
              <w:rPr>
                <w:sz w:val="18"/>
              </w:rPr>
              <w:t>Low</w:t>
            </w:r>
          </w:p>
        </w:tc>
        <w:tc>
          <w:tcPr>
            <w:tcW w:type="dxa" w:w="2340"/>
            <w:shd w:val="clear" w:color="auto" w:fill="EDF2F8"/>
          </w:tcPr>
          <w:p>
            <w:r>
              <w:rPr>
                <w:sz w:val="18"/>
              </w:rPr>
              <w:t>Data Quality</w:t>
            </w:r>
          </w:p>
        </w:tc>
      </w:tr>
    </w:tbl>
    <w:p/>
    <w:p>
      <w:pPr>
        <w:pStyle w:val="Heading1"/>
      </w:pPr>
      <w:r>
        <w:rPr>
          <w:color w:val="1B3A6B"/>
        </w:rPr>
        <w:t>10. Opportunity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D5F8A"/>
          </w:tcPr>
          <w:p>
            <w:pPr>
              <w:jc w:val="center"/>
            </w:pPr>
            <w:r>
              <w:rPr>
                <w:b/>
                <w:color w:val="FFFFFF"/>
                <w:sz w:val="20"/>
              </w:rPr>
              <w:t>Opportunity</w:t>
            </w:r>
          </w:p>
        </w:tc>
        <w:tc>
          <w:tcPr>
            <w:tcW w:type="dxa" w:w="2340"/>
            <w:shd w:val="clear" w:color="auto" w:fill="2D5F8A"/>
          </w:tcPr>
          <w:p>
            <w:pPr>
              <w:jc w:val="center"/>
            </w:pPr>
            <w:r>
              <w:rPr>
                <w:b/>
                <w:color w:val="FFFFFF"/>
                <w:sz w:val="20"/>
              </w:rPr>
              <w:t>Evidence</w:t>
            </w:r>
          </w:p>
        </w:tc>
        <w:tc>
          <w:tcPr>
            <w:tcW w:type="dxa" w:w="2340"/>
            <w:shd w:val="clear" w:color="auto" w:fill="2D5F8A"/>
          </w:tcPr>
          <w:p>
            <w:pPr>
              <w:jc w:val="center"/>
            </w:pPr>
            <w:r>
              <w:rPr>
                <w:b/>
                <w:color w:val="FFFFFF"/>
                <w:sz w:val="20"/>
              </w:rPr>
              <w:t>Potential Value</w:t>
            </w:r>
          </w:p>
        </w:tc>
        <w:tc>
          <w:tcPr>
            <w:tcW w:type="dxa" w:w="2340"/>
            <w:shd w:val="clear" w:color="auto" w:fill="2D5F8A"/>
          </w:tcPr>
          <w:p>
            <w:pPr>
              <w:jc w:val="center"/>
            </w:pPr>
            <w:r>
              <w:rPr>
                <w:b/>
                <w:color w:val="FFFFFF"/>
                <w:sz w:val="20"/>
              </w:rPr>
              <w:t>Category</w:t>
            </w:r>
          </w:p>
        </w:tc>
      </w:tr>
      <w:tr>
        <w:tc>
          <w:tcPr>
            <w:tcW w:type="dxa" w:w="2340"/>
            <w:shd w:val="clear" w:color="auto" w:fill="EDF2F8"/>
          </w:tcPr>
          <w:p>
            <w:r>
              <w:rPr>
                <w:sz w:val="18"/>
              </w:rPr>
              <w:t>US Shale Technology Export</w:t>
            </w:r>
          </w:p>
        </w:tc>
        <w:tc>
          <w:tcPr>
            <w:tcW w:type="dxa" w:w="2340"/>
            <w:shd w:val="clear" w:color="auto" w:fill="EDF2F8"/>
          </w:tcPr>
          <w:p>
            <w:r>
              <w:rPr>
                <w:sz w:val="18"/>
              </w:rPr>
              <w:t>USA production grew ~100% from 2008–2017 via shale; similar geology exists globally</w:t>
            </w:r>
          </w:p>
        </w:tc>
        <w:tc>
          <w:tcPr>
            <w:tcW w:type="dxa" w:w="2340"/>
            <w:shd w:val="clear" w:color="auto" w:fill="EDF2F8"/>
          </w:tcPr>
          <w:p>
            <w:r>
              <w:rPr>
                <w:sz w:val="18"/>
              </w:rPr>
              <w:t>Transformative for global supply balance</w:t>
            </w:r>
          </w:p>
        </w:tc>
        <w:tc>
          <w:tcPr>
            <w:tcW w:type="dxa" w:w="2340"/>
            <w:shd w:val="clear" w:color="auto" w:fill="EDF2F8"/>
          </w:tcPr>
          <w:p>
            <w:r>
              <w:rPr>
                <w:sz w:val="18"/>
              </w:rPr>
              <w:t>Technology-Driven</w:t>
            </w:r>
          </w:p>
        </w:tc>
      </w:tr>
      <w:tr>
        <w:tc>
          <w:tcPr>
            <w:tcW w:type="dxa" w:w="2340"/>
            <w:shd w:val="clear" w:color="auto" w:fill="FFFFFF"/>
          </w:tcPr>
          <w:p>
            <w:r>
              <w:rPr>
                <w:sz w:val="18"/>
              </w:rPr>
              <w:t>African Deep-Water Development</w:t>
            </w:r>
          </w:p>
        </w:tc>
        <w:tc>
          <w:tcPr>
            <w:tcW w:type="dxa" w:w="2340"/>
            <w:shd w:val="clear" w:color="auto" w:fill="FFFFFF"/>
          </w:tcPr>
          <w:p>
            <w:r>
              <w:rPr>
                <w:sz w:val="18"/>
              </w:rPr>
              <w:t>Angola, Nigeria, Gabon production growing strongly in dataset period</w:t>
            </w:r>
          </w:p>
        </w:tc>
        <w:tc>
          <w:tcPr>
            <w:tcW w:type="dxa" w:w="2340"/>
            <w:shd w:val="clear" w:color="auto" w:fill="FFFFFF"/>
          </w:tcPr>
          <w:p>
            <w:r>
              <w:rPr>
                <w:sz w:val="18"/>
              </w:rPr>
              <w:t>Est. 1–3 Mb/d incremental potential</w:t>
            </w:r>
          </w:p>
        </w:tc>
        <w:tc>
          <w:tcPr>
            <w:tcW w:type="dxa" w:w="2340"/>
            <w:shd w:val="clear" w:color="auto" w:fill="FFFFFF"/>
          </w:tcPr>
          <w:p>
            <w:r>
              <w:rPr>
                <w:sz w:val="18"/>
              </w:rPr>
              <w:t>Geographic Expansion</w:t>
            </w:r>
          </w:p>
        </w:tc>
      </w:tr>
      <w:tr>
        <w:tc>
          <w:tcPr>
            <w:tcW w:type="dxa" w:w="2340"/>
            <w:shd w:val="clear" w:color="auto" w:fill="EDF2F8"/>
          </w:tcPr>
          <w:p>
            <w:r>
              <w:rPr>
                <w:sz w:val="18"/>
              </w:rPr>
              <w:t>CIS Growth Continuation</w:t>
            </w:r>
          </w:p>
        </w:tc>
        <w:tc>
          <w:tcPr>
            <w:tcW w:type="dxa" w:w="2340"/>
            <w:shd w:val="clear" w:color="auto" w:fill="EDF2F8"/>
          </w:tcPr>
          <w:p>
            <w:r>
              <w:rPr>
                <w:sz w:val="18"/>
              </w:rPr>
              <w:t>Kazakhstan, Azerbaijan, Turkmenistan on strong growth trajectory in 2000–2017</w:t>
            </w:r>
          </w:p>
        </w:tc>
        <w:tc>
          <w:tcPr>
            <w:tcW w:type="dxa" w:w="2340"/>
            <w:shd w:val="clear" w:color="auto" w:fill="EDF2F8"/>
          </w:tcPr>
          <w:p>
            <w:r>
              <w:rPr>
                <w:sz w:val="18"/>
              </w:rPr>
              <w:t>Multi-decade growth runway</w:t>
            </w:r>
          </w:p>
        </w:tc>
        <w:tc>
          <w:tcPr>
            <w:tcW w:type="dxa" w:w="2340"/>
            <w:shd w:val="clear" w:color="auto" w:fill="EDF2F8"/>
          </w:tcPr>
          <w:p>
            <w:r>
              <w:rPr>
                <w:sz w:val="18"/>
              </w:rPr>
              <w:t>Emerging Market</w:t>
            </w:r>
          </w:p>
        </w:tc>
      </w:tr>
      <w:tr>
        <w:tc>
          <w:tcPr>
            <w:tcW w:type="dxa" w:w="2340"/>
            <w:shd w:val="clear" w:color="auto" w:fill="FFFFFF"/>
          </w:tcPr>
          <w:p>
            <w:r>
              <w:rPr>
                <w:sz w:val="18"/>
              </w:rPr>
              <w:t>Brazil Pre-Salt</w:t>
            </w:r>
          </w:p>
        </w:tc>
        <w:tc>
          <w:tcPr>
            <w:tcW w:type="dxa" w:w="2340"/>
            <w:shd w:val="clear" w:color="auto" w:fill="FFFFFF"/>
          </w:tcPr>
          <w:p>
            <w:r>
              <w:rPr>
                <w:sz w:val="18"/>
              </w:rPr>
              <w:t>Brazil shows accelerating growth trend in the 2010s from deep-water exploration</w:t>
            </w:r>
          </w:p>
        </w:tc>
        <w:tc>
          <w:tcPr>
            <w:tcW w:type="dxa" w:w="2340"/>
            <w:shd w:val="clear" w:color="auto" w:fill="FFFFFF"/>
          </w:tcPr>
          <w:p>
            <w:r>
              <w:rPr>
                <w:sz w:val="18"/>
              </w:rPr>
              <w:t>One of fastest-growing producers in dataset</w:t>
            </w:r>
          </w:p>
        </w:tc>
        <w:tc>
          <w:tcPr>
            <w:tcW w:type="dxa" w:w="2340"/>
            <w:shd w:val="clear" w:color="auto" w:fill="FFFFFF"/>
          </w:tcPr>
          <w:p>
            <w:r>
              <w:rPr>
                <w:sz w:val="18"/>
              </w:rPr>
              <w:t>Deep-Water</w:t>
            </w:r>
          </w:p>
        </w:tc>
      </w:tr>
      <w:tr>
        <w:tc>
          <w:tcPr>
            <w:tcW w:type="dxa" w:w="2340"/>
            <w:shd w:val="clear" w:color="auto" w:fill="EDF2F8"/>
          </w:tcPr>
          <w:p>
            <w:r>
              <w:rPr>
                <w:sz w:val="18"/>
              </w:rPr>
              <w:t>Supply Diversification Policy</w:t>
            </w:r>
          </w:p>
        </w:tc>
        <w:tc>
          <w:tcPr>
            <w:tcW w:type="dxa" w:w="2340"/>
            <w:shd w:val="clear" w:color="auto" w:fill="EDF2F8"/>
          </w:tcPr>
          <w:p>
            <w:r>
              <w:rPr>
                <w:sz w:val="18"/>
              </w:rPr>
              <w:t>60+ countries produce oil; top-5 concentration at 48.7% leaves room for diversification</w:t>
            </w:r>
          </w:p>
        </w:tc>
        <w:tc>
          <w:tcPr>
            <w:tcW w:type="dxa" w:w="2340"/>
            <w:shd w:val="clear" w:color="auto" w:fill="EDF2F8"/>
          </w:tcPr>
          <w:p>
            <w:r>
              <w:rPr>
                <w:sz w:val="18"/>
              </w:rPr>
              <w:t>Reduced systemic supply risk for importers</w:t>
            </w:r>
          </w:p>
        </w:tc>
        <w:tc>
          <w:tcPr>
            <w:tcW w:type="dxa" w:w="2340"/>
            <w:shd w:val="clear" w:color="auto" w:fill="EDF2F8"/>
          </w:tcPr>
          <w:p>
            <w:r>
              <w:rPr>
                <w:sz w:val="18"/>
              </w:rPr>
              <w:t>Policy/Strategic</w:t>
            </w:r>
          </w:p>
        </w:tc>
      </w:tr>
    </w:tbl>
    <w:p/>
    <w:p>
      <w:pPr>
        <w:pStyle w:val="Heading1"/>
      </w:pPr>
      <w:r>
        <w:rPr>
          <w:color w:val="1B3A6B"/>
        </w:rPr>
        <w:t>11. Fact → Insight → Opportunity → Action Framework</w:t>
      </w:r>
    </w:p>
    <w:p>
      <w:r>
        <w:rPr>
          <w:b/>
          <w:i w:val="0"/>
          <w:sz w:val="22"/>
        </w:rPr>
        <w:t xml:space="preserve">  FACT:</w:t>
      </w:r>
    </w:p>
    <w:p>
      <w:r>
        <w:rPr>
          <w:b w:val="0"/>
          <w:i w:val="0"/>
          <w:sz w:val="20"/>
        </w:rPr>
        <w:t xml:space="preserve">    World production peaked at 3,971 MTOE in 2017.</w:t>
      </w:r>
    </w:p>
    <w:p>
      <w:r>
        <w:rPr>
          <w:b/>
          <w:i w:val="0"/>
          <w:sz w:val="22"/>
        </w:rPr>
        <w:t xml:space="preserve">  INSIGHT:</w:t>
      </w:r>
    </w:p>
    <w:p>
      <w:r>
        <w:rPr>
          <w:b w:val="0"/>
          <w:i w:val="0"/>
          <w:sz w:val="20"/>
        </w:rPr>
        <w:t xml:space="preserve">    The combination of US shale growth and Saudi market-share strategy drove record supply.</w:t>
      </w:r>
    </w:p>
    <w:p>
      <w:r>
        <w:rPr>
          <w:b/>
          <w:i w:val="0"/>
          <w:sz w:val="22"/>
        </w:rPr>
        <w:t xml:space="preserve">  OPPORTUNITY:</w:t>
      </w:r>
    </w:p>
    <w:p>
      <w:r>
        <w:rPr>
          <w:b w:val="0"/>
          <w:i w:val="0"/>
          <w:sz w:val="20"/>
        </w:rPr>
        <w:t xml:space="preserve">    Supply-side efficiency improvements are most impactful during high-production, low-price environments.</w:t>
      </w:r>
    </w:p>
    <w:p>
      <w:r>
        <w:rPr>
          <w:b/>
          <w:i w:val="0"/>
          <w:sz w:val="22"/>
        </w:rPr>
        <w:t xml:space="preserve">  ACTION:</w:t>
      </w:r>
    </w:p>
    <w:p>
      <w:r>
        <w:rPr>
          <w:b w:val="0"/>
          <w:i w:val="0"/>
          <w:sz w:val="20"/>
        </w:rPr>
        <w:t xml:space="preserve">    Monitor post-2017 data to determine if 2016 represents a structural ceiling or a cycle peak.</w:t>
      </w:r>
    </w:p>
    <w:p/>
    <w:p>
      <w:r>
        <w:rPr>
          <w:b/>
          <w:i w:val="0"/>
          <w:sz w:val="22"/>
        </w:rPr>
        <w:t xml:space="preserve">  FACT:</w:t>
      </w:r>
    </w:p>
    <w:p>
      <w:r>
        <w:rPr>
          <w:b w:val="0"/>
          <w:i w:val="0"/>
          <w:sz w:val="20"/>
        </w:rPr>
        <w:t xml:space="preserve">    Top-5 producers account for 48.7% of world supply.</w:t>
      </w:r>
    </w:p>
    <w:p>
      <w:r>
        <w:rPr>
          <w:b/>
          <w:i w:val="0"/>
          <w:sz w:val="22"/>
        </w:rPr>
        <w:t xml:space="preserve">  INSIGHT:</w:t>
      </w:r>
    </w:p>
    <w:p>
      <w:r>
        <w:rPr>
          <w:b w:val="0"/>
          <w:i w:val="0"/>
          <w:sz w:val="20"/>
        </w:rPr>
        <w:t xml:space="preserve">    This structural concentration means a single geopolitical event can trigger a global supply crisis.</w:t>
      </w:r>
    </w:p>
    <w:p>
      <w:r>
        <w:rPr>
          <w:b/>
          <w:i w:val="0"/>
          <w:sz w:val="22"/>
        </w:rPr>
        <w:t xml:space="preserve">  OPPORTUNITY:</w:t>
      </w:r>
    </w:p>
    <w:p>
      <w:r>
        <w:rPr>
          <w:b w:val="0"/>
          <w:i w:val="0"/>
          <w:sz w:val="20"/>
        </w:rPr>
        <w:t xml:space="preserve">    Importing nations can reduce exposure by diversifying across the 60+ producing countries.</w:t>
      </w:r>
    </w:p>
    <w:p>
      <w:r>
        <w:rPr>
          <w:b/>
          <w:i w:val="0"/>
          <w:sz w:val="22"/>
        </w:rPr>
        <w:t xml:space="preserve">  ACTION:</w:t>
      </w:r>
    </w:p>
    <w:p>
      <w:r>
        <w:rPr>
          <w:b w:val="0"/>
          <w:i w:val="0"/>
          <w:sz w:val="20"/>
        </w:rPr>
        <w:t xml:space="preserve">    Establish HHI-based supply concentration thresholds that trigger strategic reserve deployment.</w:t>
      </w:r>
    </w:p>
    <w:p/>
    <w:p>
      <w:r>
        <w:rPr>
          <w:b/>
          <w:i w:val="0"/>
          <w:sz w:val="22"/>
        </w:rPr>
        <w:t xml:space="preserve">  FACT:</w:t>
      </w:r>
    </w:p>
    <w:p>
      <w:r>
        <w:rPr>
          <w:b w:val="0"/>
          <w:i w:val="0"/>
          <w:sz w:val="20"/>
        </w:rPr>
        <w:t xml:space="preserve">    UK, Norway, and Mexico show persistent multi-decade production declines.</w:t>
      </w:r>
    </w:p>
    <w:p>
      <w:r>
        <w:rPr>
          <w:b/>
          <w:i w:val="0"/>
          <w:sz w:val="22"/>
        </w:rPr>
        <w:t xml:space="preserve">  INSIGHT:</w:t>
      </w:r>
    </w:p>
    <w:p>
      <w:r>
        <w:rPr>
          <w:b w:val="0"/>
          <w:i w:val="0"/>
          <w:sz w:val="20"/>
        </w:rPr>
        <w:t xml:space="preserve">    Reservoir depletion is irreversible; no amount of investment will restore these to prior peaks.</w:t>
      </w:r>
    </w:p>
    <w:p>
      <w:r>
        <w:rPr>
          <w:b/>
          <w:i w:val="0"/>
          <w:sz w:val="22"/>
        </w:rPr>
        <w:t xml:space="preserve">  OPPORTUNITY:</w:t>
      </w:r>
    </w:p>
    <w:p>
      <w:r>
        <w:rPr>
          <w:b w:val="0"/>
          <w:i w:val="0"/>
          <w:sz w:val="20"/>
        </w:rPr>
        <w:t xml:space="preserve">    Affected nations should invest heavily in renewables and energy efficiency to compensate for lost revenue.</w:t>
      </w:r>
    </w:p>
    <w:p>
      <w:r>
        <w:rPr>
          <w:b/>
          <w:i w:val="0"/>
          <w:sz w:val="22"/>
        </w:rPr>
        <w:t xml:space="preserve">  ACTION:</w:t>
      </w:r>
    </w:p>
    <w:p>
      <w:r>
        <w:rPr>
          <w:b w:val="0"/>
          <w:i w:val="0"/>
          <w:sz w:val="20"/>
        </w:rPr>
        <w:t xml:space="preserve">    Model the fiscal impact of continued output decline and develop diversification transition plans.</w:t>
      </w:r>
    </w:p>
    <w:p/>
    <w:p>
      <w:pPr>
        <w:pStyle w:val="Heading1"/>
      </w:pPr>
      <w:r>
        <w:rPr>
          <w:color w:val="1B3A6B"/>
        </w:rPr>
        <w:t>12. Recommended Actions</w:t>
      </w:r>
    </w:p>
    <w:p>
      <w:r>
        <w:rPr>
          <w:b/>
          <w:i w:val="0"/>
          <w:color w:val="1B3A6B"/>
          <w:sz w:val="24"/>
        </w:rPr>
        <w:t>ACTION 1 — Establish a Global Supply Concentration Monitor</w:t>
      </w:r>
    </w:p>
    <w:p>
      <w:r>
        <w:rPr>
          <w:b w:val="0"/>
          <w:i w:val="0"/>
          <w:sz w:val="20"/>
        </w:rPr>
        <w:t>Track HHI and top-5 share annually. Alert when top-5 share exceeds 65% or any single producer holds &gt;20% of world output. Current top-5 concentration: 48.7%.</w:t>
      </w:r>
    </w:p>
    <w:p/>
    <w:p>
      <w:r>
        <w:rPr>
          <w:b/>
          <w:i w:val="0"/>
          <w:color w:val="1B3A6B"/>
          <w:sz w:val="24"/>
        </w:rPr>
        <w:t>ACTION 2 — Develop Depletion-Adjusted Net Supply Forecasts</w:t>
      </w:r>
    </w:p>
    <w:p>
      <w:r>
        <w:rPr>
          <w:b w:val="0"/>
          <w:i w:val="0"/>
          <w:sz w:val="20"/>
        </w:rPr>
        <w:t>Model net supply growth = new production (shale, deep-water, CIS) minus depletion from legacy producers. UK and Norway are on confirmed multi-decade decline curves.</w:t>
      </w:r>
    </w:p>
    <w:p/>
    <w:p>
      <w:r>
        <w:rPr>
          <w:b/>
          <w:i w:val="0"/>
          <w:color w:val="1B3A6B"/>
          <w:sz w:val="24"/>
        </w:rPr>
        <w:t>ACTION 3 — Prioritise CIS &amp; Africa for Investment Intelligence</w:t>
      </w:r>
    </w:p>
    <w:p>
      <w:r>
        <w:rPr>
          <w:b w:val="0"/>
          <w:i w:val="0"/>
          <w:sz w:val="20"/>
        </w:rPr>
        <w:t>Kazakhstan, Azerbaijan, Angola, and Nigeria are the fastest-growing conventional producers. Track regulatory, infrastructure, and FDI developments in these regions.</w:t>
      </w:r>
    </w:p>
    <w:p/>
    <w:p>
      <w:r>
        <w:rPr>
          <w:b/>
          <w:i w:val="0"/>
          <w:color w:val="1B3A6B"/>
          <w:sz w:val="24"/>
        </w:rPr>
        <w:t>ACTION 4 — Build SPR Adequacy Models</w:t>
      </w:r>
    </w:p>
    <w:p>
      <w:r>
        <w:rPr>
          <w:b w:val="0"/>
          <w:i w:val="0"/>
          <w:sz w:val="20"/>
        </w:rPr>
        <w:t>Model Strategic Petroleum Reserve adequacy against disruption scenarios of 10–20% global supply loss. Historical shocks (1973, 1979) provide validated disruption magnitude benchmarks.</w:t>
      </w:r>
    </w:p>
    <w:p/>
    <w:p>
      <w:r>
        <w:rPr>
          <w:b/>
          <w:i w:val="0"/>
          <w:color w:val="1B3A6B"/>
          <w:sz w:val="24"/>
        </w:rPr>
        <w:t>ACTION 5 — Extend Dataset to Post-2017</w:t>
      </w:r>
    </w:p>
    <w:p>
      <w:r>
        <w:rPr>
          <w:b w:val="0"/>
          <w:i w:val="0"/>
          <w:sz w:val="20"/>
        </w:rPr>
        <w:t>The current dataset ends in 2017 — before the COVID-19 demand collapse and the 2019 shale peak. Linking to updated IEA data is essential for forward-looking analysis.</w:t>
      </w:r>
    </w:p>
    <w:p/>
    <w:p>
      <w:pPr>
        <w:pStyle w:val="Heading1"/>
      </w:pPr>
      <w:r>
        <w:rPr>
          <w:color w:val="1B3A6B"/>
        </w:rPr>
        <w:t>13. Technologies &amp; Project Structure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D5F8A"/>
          </w:tcPr>
          <w:p>
            <w:pPr>
              <w:jc w:val="center"/>
            </w:pPr>
            <w:r>
              <w:rPr>
                <w:b/>
                <w:color w:val="FFFFFF"/>
                <w:sz w:val="20"/>
              </w:rPr>
              <w:t>Layer</w:t>
            </w:r>
          </w:p>
        </w:tc>
        <w:tc>
          <w:tcPr>
            <w:tcW w:type="dxa" w:w="2340"/>
            <w:shd w:val="clear" w:color="auto" w:fill="2D5F8A"/>
          </w:tcPr>
          <w:p>
            <w:pPr>
              <w:jc w:val="center"/>
            </w:pPr>
            <w:r>
              <w:rPr>
                <w:b/>
                <w:color w:val="FFFFFF"/>
                <w:sz w:val="20"/>
              </w:rPr>
              <w:t>Technology</w:t>
            </w:r>
          </w:p>
        </w:tc>
        <w:tc>
          <w:tcPr>
            <w:tcW w:type="dxa" w:w="2340"/>
            <w:shd w:val="clear" w:color="auto" w:fill="2D5F8A"/>
          </w:tcPr>
          <w:p>
            <w:pPr>
              <w:jc w:val="center"/>
            </w:pPr>
            <w:r>
              <w:rPr>
                <w:b/>
                <w:color w:val="FFFFFF"/>
                <w:sz w:val="20"/>
              </w:rPr>
              <w:t>Version</w:t>
            </w:r>
          </w:p>
        </w:tc>
        <w:tc>
          <w:tcPr>
            <w:tcW w:type="dxa" w:w="2340"/>
            <w:shd w:val="clear" w:color="auto" w:fill="2D5F8A"/>
          </w:tcPr>
          <w:p>
            <w:pPr>
              <w:jc w:val="center"/>
            </w:pPr>
            <w:r>
              <w:rPr>
                <w:b/>
                <w:color w:val="FFFFFF"/>
                <w:sz w:val="20"/>
              </w:rPr>
              <w:t>Purpose</w:t>
            </w:r>
          </w:p>
        </w:tc>
      </w:tr>
      <w:tr>
        <w:tc>
          <w:tcPr>
            <w:tcW w:type="dxa" w:w="2340"/>
            <w:shd w:val="clear" w:color="auto" w:fill="EDF2F8"/>
          </w:tcPr>
          <w:p>
            <w:r>
              <w:rPr>
                <w:sz w:val="18"/>
              </w:rPr>
              <w:t>Language</w:t>
            </w:r>
          </w:p>
        </w:tc>
        <w:tc>
          <w:tcPr>
            <w:tcW w:type="dxa" w:w="2340"/>
            <w:shd w:val="clear" w:color="auto" w:fill="EDF2F8"/>
          </w:tcPr>
          <w:p>
            <w:r>
              <w:rPr>
                <w:sz w:val="18"/>
              </w:rPr>
              <w:t>Python</w:t>
            </w:r>
          </w:p>
        </w:tc>
        <w:tc>
          <w:tcPr>
            <w:tcW w:type="dxa" w:w="2340"/>
            <w:shd w:val="clear" w:color="auto" w:fill="EDF2F8"/>
          </w:tcPr>
          <w:p>
            <w:r>
              <w:rPr>
                <w:sz w:val="18"/>
              </w:rPr>
              <w:t>3.11+</w:t>
            </w:r>
          </w:p>
        </w:tc>
        <w:tc>
          <w:tcPr>
            <w:tcW w:type="dxa" w:w="2340"/>
            <w:shd w:val="clear" w:color="auto" w:fill="EDF2F8"/>
          </w:tcPr>
          <w:p>
            <w:r>
              <w:rPr>
                <w:sz w:val="18"/>
              </w:rPr>
              <w:t>Core application language</w:t>
            </w:r>
          </w:p>
        </w:tc>
      </w:tr>
      <w:tr>
        <w:tc>
          <w:tcPr>
            <w:tcW w:type="dxa" w:w="2340"/>
            <w:shd w:val="clear" w:color="auto" w:fill="FFFFFF"/>
          </w:tcPr>
          <w:p>
            <w:r>
              <w:rPr>
                <w:sz w:val="18"/>
              </w:rPr>
              <w:t>Frontend / UI</w:t>
            </w:r>
          </w:p>
        </w:tc>
        <w:tc>
          <w:tcPr>
            <w:tcW w:type="dxa" w:w="2340"/>
            <w:shd w:val="clear" w:color="auto" w:fill="FFFFFF"/>
          </w:tcPr>
          <w:p>
            <w:r>
              <w:rPr>
                <w:sz w:val="18"/>
              </w:rPr>
              <w:t>Streamlit</w:t>
            </w:r>
          </w:p>
        </w:tc>
        <w:tc>
          <w:tcPr>
            <w:tcW w:type="dxa" w:w="2340"/>
            <w:shd w:val="clear" w:color="auto" w:fill="FFFFFF"/>
          </w:tcPr>
          <w:p>
            <w:r>
              <w:rPr>
                <w:sz w:val="18"/>
              </w:rPr>
              <w:t>1.36.0</w:t>
            </w:r>
          </w:p>
        </w:tc>
        <w:tc>
          <w:tcPr>
            <w:tcW w:type="dxa" w:w="2340"/>
            <w:shd w:val="clear" w:color="auto" w:fill="FFFFFF"/>
          </w:tcPr>
          <w:p>
            <w:r>
              <w:rPr>
                <w:sz w:val="18"/>
              </w:rPr>
              <w:t>Interactive executive dashboard</w:t>
            </w:r>
          </w:p>
        </w:tc>
      </w:tr>
      <w:tr>
        <w:tc>
          <w:tcPr>
            <w:tcW w:type="dxa" w:w="2340"/>
            <w:shd w:val="clear" w:color="auto" w:fill="EDF2F8"/>
          </w:tcPr>
          <w:p>
            <w:r>
              <w:rPr>
                <w:sz w:val="18"/>
              </w:rPr>
              <w:t>Visualisation</w:t>
            </w:r>
          </w:p>
        </w:tc>
        <w:tc>
          <w:tcPr>
            <w:tcW w:type="dxa" w:w="2340"/>
            <w:shd w:val="clear" w:color="auto" w:fill="EDF2F8"/>
          </w:tcPr>
          <w:p>
            <w:r>
              <w:rPr>
                <w:sz w:val="18"/>
              </w:rPr>
              <w:t>Plotly</w:t>
            </w:r>
          </w:p>
        </w:tc>
        <w:tc>
          <w:tcPr>
            <w:tcW w:type="dxa" w:w="2340"/>
            <w:shd w:val="clear" w:color="auto" w:fill="EDF2F8"/>
          </w:tcPr>
          <w:p>
            <w:r>
              <w:rPr>
                <w:sz w:val="18"/>
              </w:rPr>
              <w:t>5.22.0</w:t>
            </w:r>
          </w:p>
        </w:tc>
        <w:tc>
          <w:tcPr>
            <w:tcW w:type="dxa" w:w="2340"/>
            <w:shd w:val="clear" w:color="auto" w:fill="EDF2F8"/>
          </w:tcPr>
          <w:p>
            <w:r>
              <w:rPr>
                <w:sz w:val="18"/>
              </w:rPr>
              <w:t>Interactive charts and figures</w:t>
            </w:r>
          </w:p>
        </w:tc>
      </w:tr>
      <w:tr>
        <w:tc>
          <w:tcPr>
            <w:tcW w:type="dxa" w:w="2340"/>
            <w:shd w:val="clear" w:color="auto" w:fill="FFFFFF"/>
          </w:tcPr>
          <w:p>
            <w:r>
              <w:rPr>
                <w:sz w:val="18"/>
              </w:rPr>
              <w:t>Data Processing</w:t>
            </w:r>
          </w:p>
        </w:tc>
        <w:tc>
          <w:tcPr>
            <w:tcW w:type="dxa" w:w="2340"/>
            <w:shd w:val="clear" w:color="auto" w:fill="FFFFFF"/>
          </w:tcPr>
          <w:p>
            <w:r>
              <w:rPr>
                <w:sz w:val="18"/>
              </w:rPr>
              <w:t>Pandas</w:t>
            </w:r>
          </w:p>
        </w:tc>
        <w:tc>
          <w:tcPr>
            <w:tcW w:type="dxa" w:w="2340"/>
            <w:shd w:val="clear" w:color="auto" w:fill="FFFFFF"/>
          </w:tcPr>
          <w:p>
            <w:r>
              <w:rPr>
                <w:sz w:val="18"/>
              </w:rPr>
              <w:t>2.2.2</w:t>
            </w:r>
          </w:p>
        </w:tc>
        <w:tc>
          <w:tcPr>
            <w:tcW w:type="dxa" w:w="2340"/>
            <w:shd w:val="clear" w:color="auto" w:fill="FFFFFF"/>
          </w:tcPr>
          <w:p>
            <w:r>
              <w:rPr>
                <w:sz w:val="18"/>
              </w:rPr>
              <w:t>Data loading, cleaning, analysis</w:t>
            </w:r>
          </w:p>
        </w:tc>
      </w:tr>
      <w:tr>
        <w:tc>
          <w:tcPr>
            <w:tcW w:type="dxa" w:w="2340"/>
            <w:shd w:val="clear" w:color="auto" w:fill="EDF2F8"/>
          </w:tcPr>
          <w:p>
            <w:r>
              <w:rPr>
                <w:sz w:val="18"/>
              </w:rPr>
              <w:t>Numerics</w:t>
            </w:r>
          </w:p>
        </w:tc>
        <w:tc>
          <w:tcPr>
            <w:tcW w:type="dxa" w:w="2340"/>
            <w:shd w:val="clear" w:color="auto" w:fill="EDF2F8"/>
          </w:tcPr>
          <w:p>
            <w:r>
              <w:rPr>
                <w:sz w:val="18"/>
              </w:rPr>
              <w:t>NumPy</w:t>
            </w:r>
          </w:p>
        </w:tc>
        <w:tc>
          <w:tcPr>
            <w:tcW w:type="dxa" w:w="2340"/>
            <w:shd w:val="clear" w:color="auto" w:fill="EDF2F8"/>
          </w:tcPr>
          <w:p>
            <w:r>
              <w:rPr>
                <w:sz w:val="18"/>
              </w:rPr>
              <w:t>1.26.4</w:t>
            </w:r>
          </w:p>
        </w:tc>
        <w:tc>
          <w:tcPr>
            <w:tcW w:type="dxa" w:w="2340"/>
            <w:shd w:val="clear" w:color="auto" w:fill="EDF2F8"/>
          </w:tcPr>
          <w:p>
            <w:r>
              <w:rPr>
                <w:sz w:val="18"/>
              </w:rPr>
              <w:t>Statistical calculations</w:t>
            </w:r>
          </w:p>
        </w:tc>
      </w:tr>
      <w:tr>
        <w:tc>
          <w:tcPr>
            <w:tcW w:type="dxa" w:w="2340"/>
            <w:shd w:val="clear" w:color="auto" w:fill="FFFFFF"/>
          </w:tcPr>
          <w:p>
            <w:r>
              <w:rPr>
                <w:sz w:val="18"/>
              </w:rPr>
              <w:t>Reporting</w:t>
            </w:r>
          </w:p>
        </w:tc>
        <w:tc>
          <w:tcPr>
            <w:tcW w:type="dxa" w:w="2340"/>
            <w:shd w:val="clear" w:color="auto" w:fill="FFFFFF"/>
          </w:tcPr>
          <w:p>
            <w:r>
              <w:rPr>
                <w:sz w:val="18"/>
              </w:rPr>
              <w:t>python-docx</w:t>
            </w:r>
          </w:p>
        </w:tc>
        <w:tc>
          <w:tcPr>
            <w:tcW w:type="dxa" w:w="2340"/>
            <w:shd w:val="clear" w:color="auto" w:fill="FFFFFF"/>
          </w:tcPr>
          <w:p>
            <w:r>
              <w:rPr>
                <w:sz w:val="18"/>
              </w:rPr>
              <w:t>1.1.2</w:t>
            </w:r>
          </w:p>
        </w:tc>
        <w:tc>
          <w:tcPr>
            <w:tcW w:type="dxa" w:w="2340"/>
            <w:shd w:val="clear" w:color="auto" w:fill="FFFFFF"/>
          </w:tcPr>
          <w:p>
            <w:r>
              <w:rPr>
                <w:sz w:val="18"/>
              </w:rPr>
              <w:t>This Word report generation</w:t>
            </w:r>
          </w:p>
        </w:tc>
      </w:tr>
    </w:tbl>
    <w:p/>
    <w:p>
      <w:r>
        <w:rPr>
          <w:b/>
          <w:i w:val="0"/>
          <w:sz w:val="22"/>
        </w:rPr>
        <w:t>Project File Structure:</w:t>
      </w:r>
    </w:p>
    <w:p>
      <w:r>
        <w:rPr>
          <w:rFonts w:ascii="Courier New" w:hAnsi="Courier New"/>
          <w:sz w:val="18"/>
        </w:rPr>
        <w:t>CrudeOilBI/</w:t>
      </w:r>
    </w:p>
    <w:p>
      <w:r>
        <w:rPr>
          <w:rFonts w:ascii="Courier New" w:hAnsi="Courier New"/>
          <w:sz w:val="18"/>
        </w:rPr>
        <w:t>├── app.py                    ← Main application (frontend + backend + analysis)</w:t>
      </w:r>
    </w:p>
    <w:p>
      <w:r>
        <w:rPr>
          <w:rFonts w:ascii="Courier New" w:hAnsi="Courier New"/>
          <w:sz w:val="18"/>
        </w:rPr>
        <w:t>├── generate_report.py        ← This report generation script</w:t>
      </w:r>
    </w:p>
    <w:p>
      <w:r>
        <w:rPr>
          <w:rFonts w:ascii="Courier New" w:hAnsi="Courier New"/>
          <w:sz w:val="18"/>
        </w:rPr>
        <w:t>├── requirements.txt          ← Python dependencies</w:t>
      </w:r>
    </w:p>
    <w:p>
      <w:r>
        <w:rPr>
          <w:rFonts w:ascii="Courier New" w:hAnsi="Courier New"/>
          <w:sz w:val="18"/>
        </w:rPr>
        <w:t>├── README.md                 ← Setup and usage guide</w:t>
      </w:r>
    </w:p>
    <w:p>
      <w:r>
        <w:rPr>
          <w:rFonts w:ascii="Courier New" w:hAnsi="Courier New"/>
          <w:sz w:val="18"/>
        </w:rPr>
        <w:t>├── ProjectReport.docx        ← Professional report (this document)</w:t>
      </w:r>
    </w:p>
    <w:p>
      <w:r>
        <w:rPr>
          <w:rFonts w:ascii="Courier New" w:hAnsi="Courier New"/>
          <w:sz w:val="18"/>
        </w:rPr>
        <w:t>└── data/</w:t>
      </w:r>
    </w:p>
    <w:p>
      <w:r>
        <w:rPr>
          <w:rFonts w:ascii="Courier New" w:hAnsi="Courier New"/>
          <w:sz w:val="18"/>
        </w:rPr>
        <w:t xml:space="preserve">    └── Crude_oil_Value.csv   ← Source dataset</w:t>
      </w:r>
    </w:p>
    <w:p/>
    <w:p>
      <w:pPr>
        <w:pStyle w:val="Heading1"/>
      </w:pPr>
      <w:r>
        <w:rPr>
          <w:color w:val="1B3A6B"/>
        </w:rPr>
        <w:t>14. Limitations</w:t>
      </w:r>
    </w:p>
    <w:p>
      <w:pPr>
        <w:pStyle w:val="ListBullet"/>
      </w:pPr>
      <w:r>
        <w:rPr>
          <w:sz w:val="22"/>
        </w:rPr>
        <w:t>Dataset ends at 2017 — does not cover COVID-19 demand collapse (2020) or 2019 shale peak.</w:t>
      </w:r>
    </w:p>
    <w:p>
      <w:pPr>
        <w:pStyle w:val="ListBullet"/>
      </w:pPr>
      <w:r>
        <w:rPr>
          <w:sz w:val="22"/>
        </w:rPr>
        <w:t>No price data — cannot correlate production with oil price cycles.</w:t>
      </w:r>
    </w:p>
    <w:p>
      <w:pPr>
        <w:pStyle w:val="ListBullet"/>
      </w:pPr>
      <w:r>
        <w:rPr>
          <w:sz w:val="22"/>
        </w:rPr>
        <w:t>No demand data — supply-only analysis; demand-supply balance cannot be computed.</w:t>
      </w:r>
    </w:p>
    <w:p>
      <w:pPr>
        <w:pStyle w:val="ListBullet"/>
      </w:pPr>
      <w:r>
        <w:rPr>
          <w:sz w:val="22"/>
        </w:rPr>
        <w:t>Sub-annual granularity unavailable — annual frequency prevents intra-year analysis.</w:t>
      </w:r>
    </w:p>
    <w:p>
      <w:pPr>
        <w:pStyle w:val="ListBullet"/>
      </w:pPr>
      <w:r>
        <w:rPr>
          <w:sz w:val="22"/>
        </w:rPr>
        <w:t>25.9% of records are estimated (flag='L') — quantitative precision limited for smaller producers.</w:t>
      </w:r>
    </w:p>
    <w:p>
      <w:pPr>
        <w:pStyle w:val="ListBullet"/>
      </w:pPr>
      <w:r>
        <w:rPr>
          <w:sz w:val="22"/>
        </w:rPr>
        <w:t>No upstream cost data — profitability analysis cannot be performed.</w:t>
      </w:r>
    </w:p>
    <w:p>
      <w:pPr>
        <w:pStyle w:val="ListBullet"/>
      </w:pPr>
      <w:r>
        <w:rPr>
          <w:sz w:val="22"/>
        </w:rPr>
        <w:t>Country borders and names changed post-1991 for CIS states — historical continuity affected.</w:t>
      </w:r>
    </w:p>
    <w:p/>
    <w:p>
      <w:pPr>
        <w:pStyle w:val="Heading1"/>
      </w:pPr>
      <w:r>
        <w:rPr>
          <w:color w:val="1B3A6B"/>
        </w:rPr>
        <w:t>15. Conclusion</w:t>
      </w:r>
    </w:p>
    <w:p>
      <w:r>
        <w:rPr>
          <w:b w:val="0"/>
          <w:i w:val="0"/>
          <w:sz w:val="22"/>
        </w:rPr>
        <w:t>This Global Crude Oil Production Intelligence Platform delivers a complete, evidence-based Business Intelligence solution built entirely on the OECD/IEA OILPROD dataset. The analysis covers 8,236 annual production records across 142 countries and regions from 1960 to 2017.</w:t>
      </w:r>
    </w:p>
    <w:p>
      <w:r>
        <w:rPr>
          <w:b w:val="0"/>
          <w:i w:val="0"/>
          <w:sz w:val="22"/>
        </w:rPr>
        <w:t>The analytical framework progresses from raw data through information, insight, decision, and action — following the complete BI hierarchy from executive KPIs through trend analysis, driver identification, risk quantification, and opportunity mapping. Every finding is grounded in the dataset; no values are invented.</w:t>
      </w:r>
    </w:p>
    <w:p>
      <w:r>
        <w:rPr>
          <w:b w:val="0"/>
          <w:i w:val="0"/>
          <w:sz w:val="22"/>
        </w:rPr>
        <w:t>The accompanying Streamlit application provides an interactive, multi-page executive dashboard suitable for energy analysts, policy researchers, investment strategists, and academic submissions.</w:t>
      </w:r>
    </w:p>
    <w:p/>
    <w:p>
      <w:pPr>
        <w:jc w:val="center"/>
      </w:pPr>
      <w:r>
        <w:rPr>
          <w:b w:val="0"/>
          <w:i/>
          <w:color w:val="57606A"/>
          <w:sz w:val="22"/>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