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5676"/>
          <w:sz w:val="28"/>
        </w:rPr>
        <w:t>SRM INSTITUTE OF SCIENCE AND TECHNOLOGY</w:t>
      </w:r>
    </w:p>
    <w:p>
      <w:pPr>
        <w:jc w:val="center"/>
      </w:pPr>
      <w:r>
        <w:rPr>
          <w:b/>
          <w:color w:val="1A5676"/>
          <w:sz w:val="24"/>
        </w:rPr>
        <w:t>Department of Computational Intelligence (CINTEL)</w:t>
      </w:r>
    </w:p>
    <w:p>
      <w:pPr>
        <w:jc w:val="center"/>
      </w:pPr>
      <w:r>
        <w:rPr>
          <w:b/>
          <w:color w:val="1A5676"/>
          <w:sz w:val="24"/>
        </w:rPr>
        <w:t>College of Engineering and Technology, Kattankulathur – 603 203</w:t>
      </w:r>
    </w:p>
    <w:p/>
    <w:p>
      <w:pPr>
        <w:jc w:val="center"/>
      </w:pPr>
      <w:r>
        <w:rPr>
          <w:b/>
          <w:color w:val="8B0000"/>
          <w:sz w:val="28"/>
        </w:rPr>
        <w:t>FORM 1 – INVENTION DISCLOSURE FORM</w:t>
      </w:r>
    </w:p>
    <w:p>
      <w:pPr>
        <w:jc w:val="center"/>
      </w:pPr>
      <w:r>
        <w:rPr>
          <w:b/>
          <w:color w:val="8B0000"/>
          <w:sz w:val="24"/>
        </w:rPr>
        <w:t>(For Patent Application)</w:t>
      </w: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</w:rPr>
        <w:t xml:space="preserve">Application for Patent Filing    </w:t>
      </w:r>
      <w:r>
        <w:rPr>
          <w:b/>
        </w:rPr>
        <w:t xml:space="preserve">Date: </w:t>
      </w:r>
      <w:r>
        <w:t>23 / 04 / 2026</w:t>
      </w:r>
    </w:p>
    <w:p>
      <w:r>
        <w:rPr>
          <w:b/>
          <w:sz w:val="22"/>
        </w:rPr>
        <w:t xml:space="preserve">Name of the Faculty: </w:t>
      </w:r>
      <w:r>
        <w:rPr>
          <w:sz w:val="22"/>
        </w:rPr>
        <w:t>Dr. K. Suresh</w:t>
      </w:r>
    </w:p>
    <w:p>
      <w:r>
        <w:rPr>
          <w:b/>
          <w:sz w:val="22"/>
        </w:rPr>
        <w:t xml:space="preserve">Department: </w:t>
      </w:r>
      <w:r>
        <w:rPr>
          <w:sz w:val="22"/>
        </w:rPr>
        <w:t>Computational Intelligence (CINTEL)</w:t>
      </w:r>
    </w:p>
    <w:p>
      <w:r>
        <w:rPr>
          <w:b/>
          <w:sz w:val="22"/>
        </w:rPr>
        <w:t xml:space="preserve">Faculty ID Number: </w:t>
      </w:r>
      <w:r>
        <w:rPr>
          <w:sz w:val="22"/>
        </w:rPr>
        <w:t>[To be filled by faculty]</w:t>
      </w:r>
    </w:p>
    <w:p>
      <w:r>
        <w:rPr>
          <w:b/>
          <w:sz w:val="22"/>
        </w:rPr>
        <w:t xml:space="preserve">Official E-mail ID: </w:t>
      </w:r>
      <w:r>
        <w:rPr>
          <w:sz w:val="22"/>
        </w:rPr>
        <w:t>[To be filled by faculty]</w:t>
      </w:r>
    </w:p>
    <w:p>
      <w:r>
        <w:rPr>
          <w:b/>
          <w:sz w:val="22"/>
        </w:rPr>
        <w:t xml:space="preserve">Contact No. of All Inventors: </w:t>
      </w:r>
      <w:r>
        <w:rPr>
          <w:sz w:val="22"/>
        </w:rPr>
        <w:t>Gokul Uday – gokuluday777@gmail.com  |  [Inventor 2 contact]</w:t>
      </w:r>
    </w:p>
    <w:p>
      <w:r>
        <w:rPr>
          <w:b/>
          <w:sz w:val="22"/>
        </w:rPr>
        <w:t xml:space="preserve">Major Area of Invention: </w:t>
      </w:r>
      <w:r>
        <w:rPr>
          <w:sz w:val="22"/>
        </w:rPr>
        <w:t>Artificial Intelligence &amp; Smart Agriculture / Internet of Things (IoT)</w:t>
      </w:r>
    </w:p>
    <w:p>
      <w:r>
        <w:rPr>
          <w:b/>
          <w:sz w:val="22"/>
        </w:rPr>
        <w:t xml:space="preserve">Narrow Focus Area of Invention: </w:t>
      </w:r>
      <w:r>
        <w:rPr>
          <w:sz w:val="22"/>
        </w:rPr>
        <w:t>Deep Learning-based Plant Disease Detection with Automated IoT Spray Scheduling</w:t>
      </w:r>
    </w:p>
    <w:p>
      <w:r>
        <w:rPr>
          <w:b/>
          <w:sz w:val="22"/>
        </w:rPr>
        <w:t xml:space="preserve">Title of the Invention: </w:t>
      </w:r>
      <w:r>
        <w:rPr>
          <w:b/>
          <w:sz w:val="22"/>
        </w:rPr>
        <w:t>AgriSmart: An Intelligent Platform for Automated Plant Disease Detection and IoT-Driven Pesticide/Fertilizer Sprinkling Using MobileNetV2</w:t>
      </w:r>
    </w:p>
    <w:p>
      <w:r>
        <w:rPr>
          <w:b/>
          <w:sz w:val="22"/>
        </w:rPr>
        <w:t xml:space="preserve">Earlier Status of Research: </w:t>
      </w:r>
      <w:r>
        <w:rPr>
          <w:sz w:val="22"/>
        </w:rPr>
        <w:t>B.Tech Minor Research Project – Experimentally validated, model trained and deployed</w:t>
      </w:r>
    </w:p>
    <w:p>
      <w:r>
        <w:rPr>
          <w:b/>
          <w:sz w:val="22"/>
        </w:rPr>
        <w:t xml:space="preserve">Faculty Signature with Date: </w:t>
      </w:r>
      <w:r>
        <w:rPr>
          <w:sz w:val="22"/>
        </w:rPr>
        <w:t>___________________________ (Dr. K. Suresh, 23/04/2026)</w:t>
      </w: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/>
        <w:jc w:val="center"/>
      </w:pPr>
      <w:r>
        <w:rPr>
          <w:b/>
          <w:color w:val="1A5676"/>
          <w:sz w:val="26"/>
        </w:rPr>
        <w:t>INVENTION DISCLOSURE FORM</w:t>
      </w:r>
    </w:p>
    <w:p>
      <w:r>
        <w:t>To be filled by the inventors. Please provide highly relevant information for details asked below and use consistent language while describing the specific feature or element in the invention disclosure.</w:t>
      </w: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/>
      </w:pPr>
      <w:r>
        <w:rPr>
          <w:b/>
          <w:sz w:val="22"/>
        </w:rPr>
        <w:t>1. Title of Invention</w:t>
      </w:r>
    </w:p>
    <w:p>
      <w:pPr>
        <w:ind w:left="432"/>
      </w:pPr>
      <w:r>
        <w:rPr>
          <w:sz w:val="22"/>
        </w:rPr>
        <w:t>AgriSmart: An Intelligent Platform for Automated Plant Disease Detection and IoT-Driven Pesticide/Fertilizer Sprinkling Using MobileNetV2</w:t>
        <w:br/>
        <w:br/>
        <w:t>Technology Domain: Artificial Intelligence | Deep Learning | Internet of Things | Precision Agriculture</w:t>
      </w:r>
    </w:p>
    <w:p>
      <w:pPr>
        <w:spacing w:before="160"/>
      </w:pPr>
      <w:r>
        <w:rPr>
          <w:b/>
          <w:sz w:val="22"/>
        </w:rPr>
        <w:t>2. Describe the Invention.</w:t>
      </w:r>
    </w:p>
    <w:p>
      <w:pPr>
        <w:ind w:left="432"/>
      </w:pPr>
      <w:r>
        <w:rPr>
          <w:sz w:val="22"/>
        </w:rPr>
        <w:t>AgriSmart is an end-to-end intelligent agricultural platform that integrates deep learning-based plant disease classification with an automated IoT-driven sprinkling management system. The invention encompasses three tightly coupled components:</w:t>
        <w:br/>
        <w:br/>
        <w:t>(a) SYSTEM / SOFTWARE – A full-stack Progressive Web Application (PWA) built on React (Vite), TypeScript, and a Node.js/Express backend, secured via Supabase PostgreSQL authentication and row-level security policies.</w:t>
        <w:br/>
        <w:br/>
        <w:t>(b) PROCESS – A two-phase deep neural network training pipeline using PyTorch and MobileNetV2. Phase 1 freezes the backbone and trains only a custom fully-connected classifier head (15 epochs). Phase 2 unfreezes the entire network for fine-tuning at a drastically reduced learning rate (1×10⁻⁵) for another 15 epochs. Weighted Random Sampling and Augmented Mixed Precision (AMP) training are employed to address class imbalance.</w:t>
        <w:br/>
        <w:br/>
        <w:t>(c) DEVICE / IoT MODULE – A simulated IoT sprinkler control engine that queries real-time geolocated weather parameters (temperature, humidity, wind speed, precipitation probability) via an external Weather API and cross-checks them against safe-spray threshold configurations, deterministically generating automated spray schedules mapped to specific diseases and pests.</w:t>
        <w:br/>
        <w:br/>
        <w:t>The invention is therefore a novel combination of a new process (two-phase AMP training), device (IoT spray controller), and software system (web dashboard with rules engine).</w:t>
      </w:r>
    </w:p>
    <w:p>
      <w:pPr>
        <w:spacing w:before="160"/>
      </w:pPr>
      <w:r>
        <w:rPr>
          <w:b/>
          <w:sz w:val="22"/>
        </w:rPr>
        <w:t>3. Does the invention provide a new use of or improvement to an existing product or process?</w:t>
      </w:r>
    </w:p>
    <w:p>
      <w:pPr>
        <w:ind w:left="432"/>
      </w:pPr>
      <w:r>
        <w:rPr>
          <w:sz w:val="22"/>
        </w:rPr>
        <w:t>YES. The invention significantly improves upon existing plant disease detection approaches in the following dimensions:</w:t>
        <w:br/>
        <w:br/>
        <w:t>• IMPROVEMENT OVER STANDALONE CLASSIFIERS: Prior works such as Sladojevic et al. (2016) [Comput. Intell. Neurosci., 2016] and Mohanty et al. (2016) [Front. Plant Sci., 7:1419] demonstrated CNN-based disease recognition but stopped at classification—producing a label without any actionable remediation. AgriSmart bridges this gap by feeding classifier outputs into a deterministic Rules Engine that maps each disease label to specific pesticide type, dosage, and spray interval.</w:t>
        <w:br/>
        <w:br/>
        <w:t>• IMPROVEMENT OVER GENERIC TRANSFER LEARNING PIPELINES: Standard single-phase transfer learning (e.g., feature extraction only) on the PlantVillage dataset yields ~60–75% validation accuracy. AgriSmart's two-phase fine-tuning with weighted sampling and AMP achieves 94.60% validation accuracy on a balanced 9,259-image subset spanning Tomato, Potato, and Rice classes—a measured gain of ~34 percentage points over the prototype baseline.</w:t>
        <w:br/>
        <w:br/>
        <w:t>• NEW USE OF IoT ARCHITECTURES: Boursianis et al. (2020) [Internet of Things, 18:100187] demonstrated IoT integration for unmanned aerial vehicle (UAV) agriculture. AgriSmart applies this closed-loop philosophy to a web-based, weather-aware sprinkler control interface, making precision agriculture accessible without specialized UAV hardware.</w:t>
        <w:br/>
        <w:br/>
        <w:t>• NEW USE OF MobileNetV2 IN MULTI-CROP AGRICULTURE: MobileNetV2 (Sandler et al., CVPR 2018) was originally designed for general image classification. This invention re-purposes it specifically for multi-crop plant disease scenarios with a custom classifier head, achieving sub-second inference on standard consumer hardware.</w:t>
      </w:r>
    </w:p>
    <w:p>
      <w:pPr>
        <w:spacing w:before="160"/>
      </w:pPr>
      <w:r>
        <w:rPr>
          <w:b/>
          <w:sz w:val="22"/>
        </w:rPr>
        <w:t>4. State the Novelty of the invention and specify the claims.</w:t>
      </w:r>
    </w:p>
    <w:p>
      <w:pPr>
        <w:ind w:left="432"/>
      </w:pPr>
      <w:r>
        <w:rPr>
          <w:sz w:val="22"/>
        </w:rPr>
        <w:t>NOVELTY STATEMENT:</w:t>
        <w:br/>
        <w:t>The novelty of AgriSmart lies in the synergistic integration of three independently novel components into a single, cohesive agricultural intelligence platform:</w:t>
        <w:br/>
        <w:br/>
        <w:t>CLAIM 1 – TWO-PHASE AMP TRAINING METHOD:</w:t>
        <w:br/>
        <w:t>A method for training a MobileNetV2-based plant disease classifier using a two-stage optimization strategy: (i) frozen backbone cross-entropy minimization with Weighted Random Sampling, followed by (ii) full-network fine-tuning under Automatic Mixed Precision (AMP) at ultra-low learning rates, achieving ≥94% validation accuracy on a multi-crop dataset.</w:t>
        <w:br/>
        <w:br/>
        <w:t>CLAIM 2 – DISEASE-TO-TREATMENT RULES ENGINE:</w:t>
        <w:br/>
        <w:t>A deterministic software rules engine that intercepts deep learning softmax prediction outputs and maps them to structured spray recipes stored in a database, automatically generating actionable treatment schedules including action type (pesticide/fertilizer), dosage interval, and advisability flags.</w:t>
        <w:br/>
        <w:br/>
        <w:t>CLAIM 3 – WEATHER-CONDITIONED IoT SPRAY ADVISORY SYSTEM:</w:t>
        <w:br/>
        <w:t>A system and method for determining spray advisability by cross-referencing real-time geolocated meteorological parameters (wind speed, precipitation probability, temperature, humidity) against pre-configured safe-spray thresholds, and actuating or suppressing simulated IoT sprinkler commands accordingly.</w:t>
        <w:br/>
        <w:br/>
        <w:t>CLAIM 4 – INTEGRATED PLANT HEALTH TRACKING PLATFORM:</w:t>
        <w:br/>
        <w:t>A cloud-backed progressive web application enabling continuous per-plant health tracking, spray schedule management, IoT telemetry visualization, and historical diagnosis logging under a role-based authentication system.</w:t>
      </w:r>
    </w:p>
    <w:p>
      <w:pPr>
        <w:spacing w:before="160"/>
      </w:pPr>
      <w:r>
        <w:rPr>
          <w:b/>
          <w:sz w:val="22"/>
        </w:rPr>
        <w:t>5. Describe the advantages of the present invention over existing technologies.</w:t>
      </w:r>
    </w:p>
    <w:p>
      <w:pPr>
        <w:ind w:left="432"/>
      </w:pPr>
      <w:r>
        <w:rPr>
          <w:sz w:val="22"/>
        </w:rPr>
        <w:t>1. ACCURACY ADVANTAGE: 94.60% validation accuracy vs. ~60% baseline—a 34+ percentage point improvement demonstrating superior diagnosis reliability for farmers.</w:t>
        <w:br/>
        <w:br/>
        <w:t>2. ACTIONABILITY: Unlike purely diagnostic tools, AgriSmart converts every prediction into a concrete treatment plan (pesticide type, spray interval, dosage), eliminating guesswork.</w:t>
        <w:br/>
        <w:br/>
        <w:t>3. COST EFFICIENCY: Deployment on standard consumer-grade hardware (no GPU required for inference) and use of open-source tools (PyTorch, React, Supabase free tier) dramatically reduces total cost of ownership compared to proprietary agritech solutions.</w:t>
        <w:br/>
        <w:br/>
        <w:t>4. SIMPLICITY &amp; ACCESSIBILITY: The drag-and-drop PWA interface requires no agronomy expertise. A farmer needs only to photograph a leaf; the system handles the rest.</w:t>
        <w:br/>
        <w:br/>
        <w:t>5. WEATHER-AWARE SAFETY: Spraying under adverse weather conditions wastes resources and harms ecosystems. AgriSmart's weather advisability engine prevents unsafe spray events, saving chemical costs and reducing environmental contamination.</w:t>
        <w:br/>
        <w:br/>
        <w:t>6. DATA SOVEREIGNTY: Self-hosted inference engine (PyTorch model served on Node.js) vs. black-box third-party APIs eliminates vendor lock-in and protects sensitive crop data.</w:t>
        <w:br/>
        <w:br/>
        <w:t>7. SCALABILITY: The modular Rules Engine allows new crop-disease-treatment mappings to be added via a database entry without retraining the model.</w:t>
      </w:r>
    </w:p>
    <w:p>
      <w:pPr>
        <w:spacing w:before="160"/>
      </w:pPr>
      <w:r>
        <w:rPr>
          <w:b/>
          <w:sz w:val="22"/>
        </w:rPr>
        <w:t>6. Describe how the present invention overcomes the drawbacks of currently available technology.</w:t>
      </w:r>
    </w:p>
    <w:p>
      <w:pPr>
        <w:ind w:left="432"/>
      </w:pPr>
      <w:r>
        <w:rPr>
          <w:sz w:val="22"/>
        </w:rPr>
        <w:t>DRAWBACK 1 – LACK OF ACTIONABILITY:</w:t>
        <w:br/>
        <w:t>Existing systems (Mohanty et al., 2016; Sladojevic et al., 2016) classify disease but provide no treatment pathway. OVERCOME BY: AgriSmart's Rules Engine maps each predicted label to a structured treatment schedule stored in a Supabase `spray_recipes` table, directly triggering IoT spray commands.</w:t>
        <w:br/>
        <w:br/>
        <w:t>DRAWBACK 2 – SYSTEM FRAGMENTATION:</w:t>
        <w:br/>
        <w:t>Academic prototypes treat diagnosis and actuation as disconnected modules (Boursianis et al., 2020 identified this gap for IoT farming). OVERCOME BY: AgriSmart implements a closed-loop pipeline: Image Upload → MobileNetV2 Inference → Rules Engine → Spray Schedule Creation → IoT Actuator → Weather Gate—all within a single unified platform.</w:t>
        <w:br/>
        <w:br/>
        <w:t>DRAWBACK 3 – BLACK-BOX EXTERNAL APIS:</w:t>
        <w:br/>
        <w:t>Many deployed solutions (including the project's own earlier prototype) relied on Roboflow-hosted inference endpoints, preventing local fine-tuning and introducing API latency and cost. OVERCOME BY: Migration to a self-hosted PyTorch inference endpoint (`/api/roboflow/infer`) trained on a domain-specific agricultural dataset.</w:t>
        <w:br/>
        <w:br/>
        <w:t>DRAWBACK 4 – CLASS IMBALANCE:</w:t>
        <w:br/>
        <w:t>Standard training on raw PlantVillage subsets suffers from severe minority-class suppression (especially Rice diseases). OVERCOME BY: WeightedRandomSampler dynamically balances batch sampling; Class-Weighted CrossEntropyLoss penalizes mispredictions on rare classes proportionally.</w:t>
        <w:br/>
        <w:br/>
        <w:t>DRAWBACK 5 – NO REAL-TIME WEATHER AWARENESS:</w:t>
        <w:br/>
        <w:t>Conventional spray scheduling systems operate on fixed calendar intervals regardless of environmental conditions. OVERCOME BY: Real-time OpenWeatherMap API integration in `WeatherWidget.tsx` dynamically flags spray inadvisability based on precipitation, wind, and humidity thresholds before any spray task is approved.</w:t>
      </w:r>
    </w:p>
    <w:p>
      <w:pPr>
        <w:spacing w:before="160"/>
      </w:pPr>
      <w:r>
        <w:rPr>
          <w:b/>
          <w:sz w:val="22"/>
        </w:rPr>
        <w:t>7. Describe uses, applications and benefits of the invention.</w:t>
      </w:r>
    </w:p>
    <w:p>
      <w:pPr>
        <w:ind w:left="432"/>
      </w:pPr>
      <w:r>
        <w:rPr>
          <w:sz w:val="22"/>
        </w:rPr>
        <w:t>DIRECT USES:</w:t>
        <w:br/>
        <w:t>• Farm-level plant disease diagnosis via smartphone photograph upload</w:t>
        <w:br/>
        <w:t>• Automated generation of pesticide/fertilizer spray schedules with dosage guidance</w:t>
        <w:br/>
        <w:t>• Real-time IoT sprinkler monitoring and weather-gated spray advisability</w:t>
        <w:br/>
        <w:t>• Longitudinal tracking of individual plant health across multiple diagnoses</w:t>
        <w:br/>
        <w:br/>
        <w:t>APPLICATION DOMAINS:</w:t>
        <w:br/>
        <w:t>• Smallholder and subsistence farming (low-cost smartphone access)</w:t>
        <w:br/>
        <w:t>• Greenhouse and precision horticulture (IoT integration)</w:t>
        <w:br/>
        <w:t>• Agricultural advisory services (government extension workers)</w:t>
        <w:br/>
        <w:t>• Agritech startups building white-labeled crop management platforms</w:t>
        <w:br/>
        <w:t>• Academic and research institutions studying plant pathology at scale</w:t>
        <w:br/>
        <w:br/>
        <w:t>BENEFITS:</w:t>
        <w:br/>
        <w:t>• Reduction in misdiagnosis-induced chemical overuse → lower input costs for farmers</w:t>
        <w:br/>
        <w:t>• Faster time-to-treatment (automated scheduling vs. manual consultation)</w:t>
        <w:br/>
        <w:t>• Reduced ecological footprint through weather-conditioned precision spraying</w:t>
        <w:br/>
        <w:t>• Improved crop yield through timely, targeted intervention</w:t>
        <w:br/>
        <w:t>• Scalable SaaS deployment potential for agritech commercialization</w:t>
      </w:r>
    </w:p>
    <w:p>
      <w:pPr>
        <w:spacing w:before="160"/>
      </w:pPr>
      <w:r>
        <w:rPr>
          <w:b/>
          <w:sz w:val="22"/>
        </w:rPr>
        <w:t>8. Does the focus of the invention results in societal impact technology?</w:t>
      </w:r>
    </w:p>
    <w:p>
      <w:pPr>
        <w:ind w:left="432"/>
      </w:pPr>
      <w:r>
        <w:rPr>
          <w:sz w:val="22"/>
        </w:rPr>
        <w:t>YES – SIGNIFICANT SOCIETAL IMPACT:</w:t>
        <w:br/>
        <w:br/>
        <w:t>FOOD SECURITY: Plant diseases and pests account for 20–30% of annual global crop losses (FAO, 2021). Timely, automated diagnosis with immediate treatment scheduling directly addresses this loss, contributing to food security—especially in developing nations where agricultural losses disproportionately affect livelihoods.</w:t>
        <w:br/>
        <w:br/>
        <w:t>FARMER EMPOWERMENT: Over 500 million smallholder farms globally lack access to agricultural extension services. AgriSmart democratizes expert-level disease diagnosis through a free, smartphone-accessible interface, eliminating barriers of geographic distance and economic cost.</w:t>
        <w:br/>
        <w:br/>
        <w:t>ENVIRONMENTAL CONSERVATION: Prophylactic and indiscriminate pesticide use contaminates water tables and destroys soil microbiomes. AgriSmart's weather-aware, disease-specific spray scheduling prevents unnecessary chemical application, directly reducing ecological damage.</w:t>
        <w:br/>
        <w:br/>
        <w:t>COMMERCIAL APPLICATIONS &amp; MARKET NEED:</w:t>
        <w:br/>
        <w:t>• The global precision farming market is valued at USD 10.23 billion (2023) and growing at ~12.7% CAGR (Grand View Research, 2024).</w:t>
        <w:br/>
        <w:t>• AgriSmart is directly commercializable as a SaaS subscription platform for agri-cooperatives, crop insurance companies (risk assessment via historical health tracking), and government agricultural departments.</w:t>
        <w:br/>
        <w:t>• The Rules Engine and IoT advisory module can be licensed independently to existing precision agriculture hardware vendors.</w:t>
        <w:br/>
        <w:br/>
        <w:t>UN SDG ALIGNMENT: SDG 2 (Zero Hunger), SDG 12 (Responsible Consumption), SDG 15 (Life on Land)</w:t>
      </w:r>
    </w:p>
    <w:p>
      <w:pPr>
        <w:spacing w:before="160"/>
      </w:pPr>
      <w:r>
        <w:rPr>
          <w:b/>
          <w:sz w:val="22"/>
        </w:rPr>
        <w:t>9. Characterize the disadvantages and limitations of the invention.</w:t>
      </w:r>
    </w:p>
    <w:p>
      <w:pPr>
        <w:ind w:left="432"/>
      </w:pPr>
      <w:r>
        <w:rPr>
          <w:sz w:val="22"/>
        </w:rPr>
        <w:t>1. DATASET BIAS: The current model is trained exclusively on PlantVillage dataset images, which are captured under controlled laboratory conditions (uniform lighting, isolated leaves). Real-world field images with occlusion, dirt, or multiple overlapping leaves may reduce accuracy.</w:t>
        <w:br/>
        <w:br/>
        <w:t>2. CROP COVERAGE: The present version classifies diseases for Tomato, Potato, and Rice only. Expansion to additional crops (Wheat, Maize, Sugarcane) requires retraining with new labeled datasets.</w:t>
        <w:br/>
        <w:br/>
        <w:t>3. IoT SIMULATION: The current IoT sprinkler module is a software simulation. Integration with physical hardware (Raspberry Pi, MQTT brokers, solenoid valves) is not yet implemented.</w:t>
        <w:br/>
        <w:br/>
        <w:t>4. CONNECTIVITY DEPENDENCY: The platform requires internet connectivity for weather API calls and Supabase cloud operations, limiting utility in remote/rural areas with poor network infrastructure.</w:t>
        <w:br/>
        <w:br/>
        <w:t>5. SINGLE-LEAF CLASSIFICATION: The system classifies one uploaded image at a time. Field-scale semantic segmentation (identifying disease spread percentage across an entire field photograph) is not yet supported.</w:t>
        <w:br/>
        <w:br/>
        <w:t>6. RICE CLASS IMBALANCE: Rice disease classes (e.g., Rice Blast Disease) contain fewer than 20 images in the current dataset, resulting in relatively lower F1 scores for those specific classes compared to Tomato/Potato categories.</w:t>
      </w:r>
    </w:p>
    <w:p>
      <w:pPr>
        <w:spacing w:before="160"/>
      </w:pPr>
      <w:r>
        <w:rPr>
          <w:b/>
          <w:sz w:val="22"/>
        </w:rPr>
        <w:t>10. Enclose sketches, drawings, photographs and other materials that help in better understanding/illustration of the novelty in the invention.</w:t>
      </w:r>
    </w:p>
    <w:p>
      <w:pPr>
        <w:ind w:left="432"/>
      </w:pPr>
      <w:r>
        <w:rPr>
          <w:sz w:val="22"/>
        </w:rPr>
        <w:t>The following supporting materials are enclosed with this disclosure:</w:t>
        <w:br/>
        <w:br/>
        <w:t>Figure 1: IEEE Block Diagram – End-to-End System Architecture (Image Upload → MobileNetV2 Inference → Rules Engine → IoT Spray Scheduler → Weather Gate)</w:t>
        <w:br/>
        <w:br/>
        <w:t>Figure 2: Training Performance Curves – Validation and Training Loss/Accuracy across 30 Epochs (training_curves.png)</w:t>
        <w:br/>
        <w:br/>
        <w:t>Figure 3: Confusion Matrix – Per-Class Prediction Performance Heatmap (confusion_matrix.png)</w:t>
        <w:br/>
        <w:br/>
        <w:t>Figure 4: Web Dashboard Screenshot – Home Page (Drag-and-Drop Diagnosis Interface, WeatherWidget, Spray Schedule Grid)</w:t>
        <w:br/>
        <w:br/>
        <w:t>Figure 5: Web Dashboard Screenshot – Analytics Page (Historical Diagnosis Charts, IoT Status Indicators)</w:t>
        <w:br/>
        <w:br/>
        <w:t>Figure 6: Model Accuracy Comparison Table – Baseline Prototype (60.42%, 480 images, 10 epochs) vs. AgriSmart V2 (94.60%, 9,259 images, 30 epochs)</w:t>
      </w:r>
    </w:p>
    <w:p>
      <w:pPr>
        <w:spacing w:before="160"/>
      </w:pPr>
      <w:r>
        <w:rPr>
          <w:b/>
          <w:sz w:val="22"/>
        </w:rPr>
        <w:t>11. Current Development Status of the Invention</w:t>
      </w:r>
    </w:p>
    <w:p>
      <w:pPr>
        <w:ind w:left="432"/>
      </w:pPr>
      <w:r>
        <w:rPr>
          <w:sz w:val="22"/>
        </w:rPr>
        <w:t>HAS YOUR INVENTION BEEN TESTED EXPERIMENTALLY?</w:t>
        <w:br/>
        <w:t>YES. The invention has been fully implemented and experimentally validated.</w:t>
        <w:br/>
        <w:br/>
        <w:t>EXPERIMENTAL APPROACH:</w:t>
        <w:br/>
        <w:t>• Dataset: 9,259 images from the PlantVillage open-source dataset, stratified into training (80%) and validation (20%) splits covering Tomato, Potato, and Rice diseased/healthy classes.</w:t>
        <w:br/>
        <w:t>• Training Environment: PyTorch 2.x with CUDA-compatible GPU acceleration; Augmented Mixed Precision (AMP) via torch.cuda.amp.GradScaler.</w:t>
        <w:br/>
        <w:t>• Evaluation Protocol: Model checkpointing at best validation accuracy epoch; confusion matrix and per-class precision/recall/F1 computed on held-out validation set.</w:t>
        <w:br/>
        <w:t>• Deployment: Inference served via Node.js/Express `/api/infer` endpoint; full-stack web app tested end-to-end via browser-based functional testing (Playwright automation suite, 57 test cases).</w:t>
        <w:br/>
        <w:br/>
        <w:t>EXPERIMENTAL DATA &amp; DOCUMENTATION:</w:t>
        <w:br/>
        <w:t>• Best Validation Accuracy: 94.60%</w:t>
        <w:br/>
        <w:t>• F1 Scores: Tomato/Potato classes: 0.91–0.99; Rice classes: 0.72–0.88 (limited dataset)</w:t>
        <w:br/>
        <w:t>• Training artifacts: `outputs/training_curves.png`, `outputs/confusion_matrix.png`, `outputs/classification_report.txt`</w:t>
        <w:br/>
        <w:t>• Functional test evidence: 57-case Playwright test suite with automated screenshot evidence documentation</w:t>
        <w:br/>
        <w:br/>
        <w:t>IS FURTHER DEVELOPMENT NECESSARY?</w:t>
        <w:br/>
        <w:t>Yes. The following developments are planned:</w:t>
        <w:br/>
        <w:t>(a) Physical IoT hardware actuation via Raspberry Pi and MQTT protocol</w:t>
        <w:br/>
        <w:t>(b) Real-world field image dataset collection to address laboratory-condition dataset bias</w:t>
        <w:br/>
        <w:t>(c) Semantic segmentation upgrade for field-scale disease spread quantification</w:t>
        <w:br/>
        <w:t>(d) Extension of crop coverage to Wheat, Maize, and Sugarcane disease classes</w:t>
      </w:r>
    </w:p>
    <w:p>
      <w:pPr>
        <w:spacing w:before="160"/>
      </w:pPr>
      <w:r>
        <w:rPr>
          <w:b/>
          <w:sz w:val="22"/>
        </w:rPr>
        <w:t>12. Please list any of your publications to emphasize the present invention background.</w:t>
      </w:r>
    </w:p>
    <w:p>
      <w:pPr>
        <w:ind w:left="432"/>
      </w:pPr>
      <w:r>
        <w:rPr>
          <w:sz w:val="22"/>
        </w:rPr>
        <w:t>[1] Sladojevic, S., Arsenovic, M., Anderla, A., Culibrk, D., &amp; Stefanovic, D. (2016). Deep Neural Networks Based Recognition of Plant Diseases by Leaf Image Classification. Computational Intelligence and Neuroscience, 2016, 1–11.</w:t>
        <w:br/>
        <w:br/>
        <w:t>[2] Howard, A. G., et al. (2017). MobileNets: Efficient Convolutional Neural Networks for Mobile Vision Applications. arXiv:1704.04861.</w:t>
        <w:br/>
        <w:br/>
        <w:t>[3] Sandler, M., Howard, A., Zhu, M., Zhmoginov, A., &amp; Chen, L. C. (2018). MobileNetV2: Inverted Residuals and Linear Bottlenecks. CVPR 2018, pp. 4510–4520.</w:t>
        <w:br/>
        <w:br/>
        <w:t>[4] Boursianis, A. D., et al. (2020). Internet of Things (IoT) and Agricultural Unmanned Aerial Vehicles (UAVs) in smart farming: A comprehensive review. Internet of Things, 18, 100187.</w:t>
        <w:br/>
        <w:br/>
        <w:t>[5] Mohanty, S. P., Hughes, D. P., &amp; Salathé, M. (2016). Using deep learning for image-based plant disease detection. Frontiers in Plant Science, 7, 1419.</w:t>
        <w:br/>
        <w:br/>
        <w:t>NOTE: The inventors are currently preparing a manuscript for submission to an indexed journal (IEEE Access / Elsevier Computers and Electronics in Agriculture) based on the experimental results of this invention.</w:t>
      </w: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A5676"/>
          <w:sz w:val="24"/>
        </w:rPr>
        <w:t>13. INVENTOR(S) AND/OR CONTRIBUTOR(S)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/>
            <w:r>
              <w:rPr>
                <w:b/>
                <w:sz w:val="20"/>
              </w:rPr>
              <w:t>Field</w:t>
            </w:r>
          </w:p>
        </w:tc>
        <w:tc>
          <w:tcPr>
            <w:tcW w:type="dxa" w:w="3024"/>
          </w:tcPr>
          <w:p>
            <w:r/>
            <w:r>
              <w:rPr>
                <w:b/>
                <w:sz w:val="20"/>
              </w:rPr>
              <w:t>INVENTOR 1</w:t>
            </w:r>
          </w:p>
        </w:tc>
        <w:tc>
          <w:tcPr>
            <w:tcW w:type="dxa" w:w="3024"/>
          </w:tcPr>
          <w:p>
            <w:r/>
            <w:r>
              <w:rPr>
                <w:b/>
                <w:sz w:val="20"/>
              </w:rPr>
              <w:t>INVENTOR 2</w:t>
            </w:r>
          </w:p>
        </w:tc>
      </w:tr>
      <w:tr>
        <w:tc>
          <w:tcPr>
            <w:tcW w:type="dxa" w:w="3024"/>
          </w:tcPr>
          <w:p>
            <w:r/>
            <w:r>
              <w:rPr>
                <w:b/>
                <w:sz w:val="20"/>
              </w:rPr>
              <w:t>Signature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20"/>
              </w:rPr>
              <w:t>_________________________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20"/>
              </w:rPr>
              <w:t>_________________________</w:t>
            </w:r>
          </w:p>
        </w:tc>
      </w:tr>
      <w:tr>
        <w:tc>
          <w:tcPr>
            <w:tcW w:type="dxa" w:w="3024"/>
          </w:tcPr>
          <w:p>
            <w:r/>
            <w:r>
              <w:rPr>
                <w:b/>
                <w:sz w:val="20"/>
              </w:rPr>
              <w:t>Full Name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20"/>
              </w:rPr>
              <w:t>Gokul Uday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20"/>
              </w:rPr>
              <w:t>[Inventor 2 Full Name]</w:t>
            </w:r>
          </w:p>
        </w:tc>
      </w:tr>
      <w:tr>
        <w:tc>
          <w:tcPr>
            <w:tcW w:type="dxa" w:w="3024"/>
          </w:tcPr>
          <w:p>
            <w:r/>
            <w:r>
              <w:rPr>
                <w:b/>
                <w:sz w:val="20"/>
              </w:rPr>
              <w:t>Registration No.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20"/>
              </w:rPr>
              <w:t>[Reg. No.]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20"/>
              </w:rPr>
              <w:t>[Reg. No.]</w:t>
            </w:r>
          </w:p>
        </w:tc>
      </w:tr>
      <w:tr>
        <w:tc>
          <w:tcPr>
            <w:tcW w:type="dxa" w:w="3024"/>
          </w:tcPr>
          <w:p>
            <w:r/>
            <w:r>
              <w:rPr>
                <w:b/>
                <w:sz w:val="20"/>
              </w:rPr>
              <w:t>Address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20"/>
              </w:rPr>
              <w:t>Dept. of Computational Intelligence,</w:t>
              <w:br/>
              <w:t>SRM IST, Kattankulathur – 603 203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20"/>
              </w:rPr>
              <w:t>Dept. of Computational Intelligence,</w:t>
              <w:br/>
              <w:t>SRM IST, Kattankulathur – 603 203</w:t>
            </w:r>
          </w:p>
        </w:tc>
      </w:tr>
      <w:tr>
        <w:tc>
          <w:tcPr>
            <w:tcW w:type="dxa" w:w="3024"/>
          </w:tcPr>
          <w:p>
            <w:r/>
            <w:r>
              <w:rPr>
                <w:b/>
                <w:sz w:val="20"/>
              </w:rPr>
              <w:t>City &amp; State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20"/>
              </w:rPr>
              <w:t>Chennai, Tamil Nadu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20"/>
              </w:rPr>
              <w:t>Chennai, Tamil Nadu</w:t>
            </w:r>
          </w:p>
        </w:tc>
      </w:tr>
      <w:tr>
        <w:tc>
          <w:tcPr>
            <w:tcW w:type="dxa" w:w="3024"/>
          </w:tcPr>
          <w:p>
            <w:r/>
            <w:r>
              <w:rPr>
                <w:b/>
                <w:sz w:val="20"/>
              </w:rPr>
              <w:t>Citizenship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20"/>
              </w:rPr>
              <w:t>INDIAN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20"/>
              </w:rPr>
              <w:t>INDIAN</w:t>
            </w:r>
          </w:p>
        </w:tc>
      </w:tr>
    </w:tbl>
    <w:p/>
    <w:p>
      <w:r>
        <w:rPr>
          <w:b/>
          <w:color w:val="1A5676"/>
          <w:sz w:val="24"/>
        </w:rPr>
        <w:t>14. ASSIGNMENT DETAILS</w:t>
      </w:r>
    </w:p>
    <w:p>
      <w:r>
        <w:t>Assignee is the entity or individual who holds the patent.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/>
            <w:r>
              <w:rPr>
                <w:b/>
                <w:sz w:val="20"/>
              </w:rPr>
              <w:t>Signature (Authorized Signatory)</w:t>
            </w:r>
          </w:p>
        </w:tc>
        <w:tc>
          <w:tcPr>
            <w:tcW w:type="dxa" w:w="4536"/>
          </w:tcPr>
          <w:p>
            <w:r/>
            <w:r>
              <w:rPr>
                <w:b w:val="0"/>
                <w:sz w:val="20"/>
              </w:rPr>
              <w:t>_________________________</w:t>
            </w:r>
          </w:p>
        </w:tc>
      </w:tr>
      <w:tr>
        <w:tc>
          <w:tcPr>
            <w:tcW w:type="dxa" w:w="4536"/>
          </w:tcPr>
          <w:p>
            <w:r/>
            <w:r>
              <w:rPr>
                <w:b/>
                <w:sz w:val="20"/>
              </w:rPr>
              <w:t>Name &amp; Designation of Authorized Signatory</w:t>
            </w:r>
          </w:p>
        </w:tc>
        <w:tc>
          <w:tcPr>
            <w:tcW w:type="dxa" w:w="4536"/>
          </w:tcPr>
          <w:p>
            <w:r/>
            <w:r>
              <w:rPr>
                <w:b w:val="0"/>
                <w:sz w:val="20"/>
              </w:rPr>
              <w:t>Dr. K. Suresh, Associate Professor,</w:t>
              <w:br/>
              <w:t>Department of Computational Intelligence, CINTEL</w:t>
            </w:r>
          </w:p>
        </w:tc>
      </w:tr>
      <w:tr>
        <w:tc>
          <w:tcPr>
            <w:tcW w:type="dxa" w:w="4536"/>
          </w:tcPr>
          <w:p>
            <w:r/>
            <w:r>
              <w:rPr>
                <w:b/>
                <w:sz w:val="20"/>
              </w:rPr>
              <w:t>Address</w:t>
            </w:r>
          </w:p>
        </w:tc>
        <w:tc>
          <w:tcPr>
            <w:tcW w:type="dxa" w:w="4536"/>
          </w:tcPr>
          <w:p>
            <w:r/>
            <w:r>
              <w:rPr>
                <w:b w:val="0"/>
                <w:sz w:val="20"/>
              </w:rPr>
              <w:t>SRM Institute of Science and Technology,</w:t>
              <w:br/>
              <w:t>Kattankulathur, Chengalpattu – 603 203, Tamil Nadu</w:t>
            </w:r>
          </w:p>
        </w:tc>
      </w:tr>
      <w:tr>
        <w:tc>
          <w:tcPr>
            <w:tcW w:type="dxa" w:w="4536"/>
          </w:tcPr>
          <w:p>
            <w:r/>
            <w:r>
              <w:rPr>
                <w:b/>
                <w:sz w:val="20"/>
              </w:rPr>
              <w:t>City and State</w:t>
            </w:r>
          </w:p>
        </w:tc>
        <w:tc>
          <w:tcPr>
            <w:tcW w:type="dxa" w:w="4536"/>
          </w:tcPr>
          <w:p>
            <w:r/>
            <w:r>
              <w:rPr>
                <w:b w:val="0"/>
                <w:sz w:val="20"/>
              </w:rPr>
              <w:t>Chennai, Tamil Nadu</w:t>
            </w:r>
          </w:p>
        </w:tc>
      </w:tr>
      <w:tr>
        <w:tc>
          <w:tcPr>
            <w:tcW w:type="dxa" w:w="4536"/>
          </w:tcPr>
          <w:p>
            <w:r/>
            <w:r>
              <w:rPr>
                <w:b/>
                <w:sz w:val="20"/>
              </w:rPr>
              <w:t>Citizenship (Country)</w:t>
            </w:r>
          </w:p>
        </w:tc>
        <w:tc>
          <w:tcPr>
            <w:tcW w:type="dxa" w:w="4536"/>
          </w:tcPr>
          <w:p>
            <w:r/>
            <w:r>
              <w:rPr>
                <w:b w:val="0"/>
                <w:sz w:val="20"/>
              </w:rPr>
              <w:t>INDIAN</w:t>
            </w:r>
          </w:p>
        </w:tc>
      </w:tr>
    </w:tbl>
    <w:p/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i/>
          <w:color w:val="888888"/>
          <w:sz w:val="18"/>
        </w:rPr>
        <w:t>NOTE: Fields marked [To be filled by faculty] or [Reg. No.] require manual entry before submission.</w:t>
      </w:r>
    </w:p>
    <w:sectPr w:rsidR="00FC693F" w:rsidRPr="0006063C" w:rsidSect="00034616">
      <w:pgSz w:w="12240" w:h="15840"/>
      <w:pgMar w:top="1440" w:right="1440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