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84.00000000000006" w:lineRule="auto"/>
        <w:rPr>
          <w:rFonts w:ascii="Roboto" w:cs="Roboto" w:eastAsia="Roboto" w:hAnsi="Roboto"/>
          <w:sz w:val="30"/>
          <w:szCs w:val="30"/>
        </w:rPr>
      </w:pPr>
      <w:bookmarkStart w:colFirst="0" w:colLast="0" w:name="_2kil8bhgiccd" w:id="0"/>
      <w:bookmarkEnd w:id="0"/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 RESUMO EXECUTIVO</w:t>
      </w:r>
    </w:p>
    <w:p w:rsidR="00000000" w:rsidDel="00000000" w:rsidP="00000000" w:rsidRDefault="00000000" w:rsidRPr="00000000" w14:paraId="00000002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Proposta cria uma arquitetura híbrida: Banco Digital + Stablecoin lastreada em ouro físico + Cross-border. A estrutura offshore é a escolha correta para contornar as restrições regulatórias brasileiras à emissão de moeda privada, mas exige compliance rigoroso com padrões FATF e eventual regulamentação MiCA para acesso ao mercado europeu.</w:t>
      </w:r>
    </w:p>
    <w:p w:rsidR="00000000" w:rsidDel="00000000" w:rsidP="00000000" w:rsidRDefault="00000000" w:rsidRPr="00000000" w14:paraId="00000003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 modelo de referência mais próximo é o Kinesis Money, que opera exatamente este ecossistema (pagamentos + ouro tokenizado + yield), e o Paxos Gold (PAXG), benchmark de compliance para tokenização de ouro.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84.00000000000006" w:lineRule="auto"/>
        <w:rPr>
          <w:rFonts w:ascii="Roboto" w:cs="Roboto" w:eastAsia="Roboto" w:hAnsi="Roboto"/>
          <w:sz w:val="21"/>
          <w:szCs w:val="21"/>
          <w:highlight w:val="white"/>
        </w:rPr>
      </w:pPr>
      <w:bookmarkStart w:colFirst="0" w:colLast="0" w:name="_hv7pcv2j7pjr" w:id="1"/>
      <w:bookmarkEnd w:id="1"/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ARQUITETURA DO SISTEMA GTK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│                    CLIENTE (Brasil)                          │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Fira Mono" w:cs="Fira Mono" w:eastAsia="Fira Mono" w:hAnsi="Fira Mono"/>
          <w:color w:val="1a1a1a"/>
          <w:sz w:val="21"/>
          <w:szCs w:val="21"/>
          <w:highlight w:val="white"/>
          <w:rtl w:val="0"/>
        </w:rPr>
        <w:t xml:space="preserve">│              PIX → BRL → Gateway de Pagamento                │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Fira Mono" w:cs="Fira Mono" w:eastAsia="Fira Mono" w:hAnsi="Fira Mono"/>
          <w:color w:val="1a1a1a"/>
          <w:sz w:val="21"/>
          <w:szCs w:val="21"/>
          <w:highlight w:val="white"/>
          <w:rtl w:val="0"/>
        </w:rPr>
        <w:t xml:space="preserve">                              ↓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│              GTK BANK API (Node.js/Express)                  │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│  • Recebe confirmação PIX                                    │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Fira Mono" w:cs="Fira Mono" w:eastAsia="Fira Mono" w:hAnsi="Fira Mono"/>
          <w:color w:val="1a1a1a"/>
          <w:sz w:val="21"/>
          <w:szCs w:val="21"/>
          <w:highlight w:val="white"/>
          <w:rtl w:val="0"/>
        </w:rPr>
        <w:t xml:space="preserve">│  • Converte BRL → USDT via parceiro câmbio                   │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│  • Consulta oráculo de preço do ouro                        │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│  • Calcula quantidade GTK a emitir                          │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Fira Mono" w:cs="Fira Mono" w:eastAsia="Fira Mono" w:hAnsi="Fira Mono"/>
          <w:color w:val="1a1a1a"/>
          <w:sz w:val="21"/>
          <w:szCs w:val="21"/>
          <w:highlight w:val="white"/>
          <w:rtl w:val="0"/>
        </w:rPr>
        <w:t xml:space="preserve">                              ↓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│              SMART CONTRACTS (Ethereum/Arbitrum)            │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│  ┌──────────────┐  ┌──────────────┐  ┌──────────────┐      │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│  │  GTKToken    │  │ GTKPriceOracle│  │   GTKBank    │      │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│  │  (ERC-20)    │  │  (Chainlink)  │  │  (Bridge)    │      │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│  └──────────────┘  └──────────────┘  └──────────────┘      │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Fira Mono" w:cs="Fira Mono" w:eastAsia="Fira Mono" w:hAnsi="Fira Mono"/>
          <w:color w:val="1a1a1a"/>
          <w:sz w:val="21"/>
          <w:szCs w:val="21"/>
          <w:highlight w:val="white"/>
          <w:rtl w:val="0"/>
        </w:rPr>
        <w:t xml:space="preserve">                              ↓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│              CUSTÓDIA DE OURO FÍSICO                         │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│  • Brink's / Loomis / Malca-Amit                            │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│  • Zurique, Cingapura, Dubai, Nova York                     │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│  • Barras LBMA 400oz com serialização única                 │</w:t>
      </w:r>
    </w:p>
    <w:p w:rsidR="00000000" w:rsidDel="00000000" w:rsidP="00000000" w:rsidRDefault="00000000" w:rsidRPr="00000000" w14:paraId="0000001F">
      <w:pPr>
        <w:shd w:fill="ffffff" w:val="clear"/>
        <w:spacing w:after="280" w:before="100" w:line="36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84.00000000000006" w:lineRule="auto"/>
        <w:rPr>
          <w:rFonts w:ascii="Roboto" w:cs="Roboto" w:eastAsia="Roboto" w:hAnsi="Roboto"/>
          <w:sz w:val="30"/>
          <w:szCs w:val="30"/>
        </w:rPr>
      </w:pPr>
      <w:bookmarkStart w:colFirst="0" w:colLast="0" w:name="_aosw35iwxb8" w:id="2"/>
      <w:bookmarkEnd w:id="2"/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📦 ARQUIVOS ENTREGUES</w:t>
      </w:r>
    </w:p>
    <w:p w:rsidR="00000000" w:rsidDel="00000000" w:rsidP="00000000" w:rsidRDefault="00000000" w:rsidRPr="00000000" w14:paraId="00000022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Todos os códigos foram salvos e estão disponíveis para download:</w:t>
      </w:r>
    </w:p>
    <w:p w:rsidR="00000000" w:rsidDel="00000000" w:rsidP="00000000" w:rsidRDefault="00000000" w:rsidRPr="00000000" w14:paraId="00000023">
      <w:pPr>
        <w:shd w:fill="f5f5f5" w:val="clear"/>
        <w:spacing w:after="240" w:lineRule="auto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segment.table</w:t>
      </w:r>
    </w:p>
    <w:tbl>
      <w:tblPr>
        <w:tblStyle w:val="Table1"/>
        <w:tblW w:w="86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95"/>
        <w:gridCol w:w="3630"/>
        <w:gridCol w:w="1230"/>
        <w:tblGridChange w:id="0">
          <w:tblGrid>
            <w:gridCol w:w="3795"/>
            <w:gridCol w:w="3630"/>
            <w:gridCol w:w="1230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Arquivo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Descrição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Tamanho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83ff"/>
                <w:sz w:val="21"/>
                <w:szCs w:val="21"/>
                <w:rtl w:val="0"/>
              </w:rPr>
              <w:t xml:space="preserve">GTK_SmartContracts.sol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5 contratos Solidity completos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32.4 KB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83ff"/>
                <w:sz w:val="21"/>
                <w:szCs w:val="21"/>
                <w:rtl w:val="0"/>
              </w:rPr>
              <w:t xml:space="preserve">GTK_Deploy.js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Script de deploy Hardhat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5.6 KB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83ff"/>
                <w:sz w:val="21"/>
                <w:szCs w:val="21"/>
                <w:rtl w:val="0"/>
              </w:rPr>
              <w:t xml:space="preserve">GTK_Test.js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Suite de 50+ testes de segurança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24.1 KB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83ff"/>
                <w:sz w:val="21"/>
                <w:szCs w:val="21"/>
                <w:rtl w:val="0"/>
              </w:rPr>
              <w:t xml:space="preserve">GTK_BankAPI.js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Backend Node.js/Express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17.9 KB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83ff"/>
                <w:sz w:val="21"/>
                <w:szCs w:val="21"/>
                <w:rtl w:val="0"/>
              </w:rPr>
              <w:t xml:space="preserve">GTK_Frontend.jsx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Interface React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25.3 KB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83ff"/>
                <w:sz w:val="21"/>
                <w:szCs w:val="21"/>
                <w:rtl w:val="0"/>
              </w:rPr>
              <w:t xml:space="preserve">GTK_Documentacao_Completa.md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Documentação técnica completa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~15 KB</w:t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84.00000000000006" w:lineRule="auto"/>
        <w:rPr>
          <w:rFonts w:ascii="Roboto" w:cs="Roboto" w:eastAsia="Roboto" w:hAnsi="Roboto"/>
          <w:sz w:val="30"/>
          <w:szCs w:val="30"/>
        </w:rPr>
      </w:pPr>
      <w:bookmarkStart w:colFirst="0" w:colLast="0" w:name="_jf2my4eyqijt" w:id="3"/>
      <w:bookmarkEnd w:id="3"/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🔐 SMART CONTRACTS - DESTAQUES TÉCNICOS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360" w:line="373.33333333333337" w:lineRule="auto"/>
        <w:rPr>
          <w:rFonts w:ascii="Roboto" w:cs="Roboto" w:eastAsia="Roboto" w:hAnsi="Roboto"/>
          <w:color w:val="000000"/>
          <w:sz w:val="27"/>
          <w:szCs w:val="27"/>
        </w:rPr>
      </w:pPr>
      <w:bookmarkStart w:colFirst="0" w:colLast="0" w:name="_53r0yx85lkt" w:id="4"/>
      <w:bookmarkEnd w:id="4"/>
      <w:r w:rsidDel="00000000" w:rsidR="00000000" w:rsidRPr="00000000">
        <w:rPr>
          <w:rFonts w:ascii="Roboto" w:cs="Roboto" w:eastAsia="Roboto" w:hAnsi="Roboto"/>
          <w:color w:val="000000"/>
          <w:sz w:val="27"/>
          <w:szCs w:val="27"/>
          <w:rtl w:val="0"/>
        </w:rPr>
        <w:t xml:space="preserve">GTKToken.sol (Token Principal)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Padrão: ERC-20 Upgradeable (UUPS) com OpenZeppelin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Lastro: 1 GTK = 1 grama de ouro 99.99%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Segurança: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Roles granulares (MINTER, BURNER, PAUSER, BLACKLISTER, CUSTODIAN, ORACLE, COMPLIANCE)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ReentrancyGuard em todas as funções de estado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Pausa de emergência</w:t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Blacklist nativo para compliance</w:t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KYC integrado no contrato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Limites: Mint diário de 10,000 GTK por endereço (anti-lavagem)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Resgate: Mínimo 100g para ouro físico, fee de 0.5%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360" w:line="373.33333333333337" w:lineRule="auto"/>
        <w:rPr>
          <w:rFonts w:ascii="Roboto" w:cs="Roboto" w:eastAsia="Roboto" w:hAnsi="Roboto"/>
          <w:color w:val="000000"/>
          <w:sz w:val="27"/>
          <w:szCs w:val="27"/>
        </w:rPr>
      </w:pPr>
      <w:bookmarkStart w:colFirst="0" w:colLast="0" w:name="_o1asrq9enixc" w:id="5"/>
      <w:bookmarkEnd w:id="5"/>
      <w:r w:rsidDel="00000000" w:rsidR="00000000" w:rsidRPr="00000000">
        <w:rPr>
          <w:rFonts w:ascii="Roboto" w:cs="Roboto" w:eastAsia="Roboto" w:hAnsi="Roboto"/>
          <w:color w:val="000000"/>
          <w:sz w:val="27"/>
          <w:szCs w:val="27"/>
          <w:rtl w:val="0"/>
        </w:rPr>
        <w:t xml:space="preserve">GTKPriceOracle.sol (Oráculo Dual)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Primário: Chainlink XAU/USD feed (mainnet: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0x214eD9Da11D2fbe466a49c97E6fBf182E197cD8C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Secundário: Oráculo manual com multi-sig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Conversão: Automática oz troy → gramas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Threshold: Rejeita atualizações com desvio &gt;2%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360" w:line="373.33333333333337" w:lineRule="auto"/>
        <w:rPr>
          <w:rFonts w:ascii="Roboto" w:cs="Roboto" w:eastAsia="Roboto" w:hAnsi="Roboto"/>
          <w:color w:val="000000"/>
          <w:sz w:val="27"/>
          <w:szCs w:val="27"/>
        </w:rPr>
      </w:pPr>
      <w:bookmarkStart w:colFirst="0" w:colLast="0" w:name="_w9vmes8jg0j8" w:id="6"/>
      <w:bookmarkEnd w:id="6"/>
      <w:r w:rsidDel="00000000" w:rsidR="00000000" w:rsidRPr="00000000">
        <w:rPr>
          <w:rFonts w:ascii="Roboto" w:cs="Roboto" w:eastAsia="Roboto" w:hAnsi="Roboto"/>
          <w:color w:val="000000"/>
          <w:sz w:val="27"/>
          <w:szCs w:val="27"/>
          <w:rtl w:val="0"/>
        </w:rPr>
        <w:t xml:space="preserve">GTKBank.sol (Ponte Bancária)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Depósito: PIX → USDT → GTK (mint automático)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Saque: GTK → USDT → PIX (burn + transferência)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Fees: 0.5% depósito / 0.75% saque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Limites: R$100k por transação / R$1M diário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84.00000000000006" w:lineRule="auto"/>
        <w:rPr>
          <w:rFonts w:ascii="Roboto" w:cs="Roboto" w:eastAsia="Roboto" w:hAnsi="Roboto"/>
          <w:sz w:val="30"/>
          <w:szCs w:val="30"/>
        </w:rPr>
      </w:pPr>
      <w:bookmarkStart w:colFirst="0" w:colLast="0" w:name="_632nhg4r0vp9" w:id="7"/>
      <w:bookmarkEnd w:id="7"/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 ALERTAS CRÍTICOS REGULATÓRIOS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Não opere no Brasil sem autorização do Banco Central - A Lei 14.478/2022 (Lei das Criptomoedas) exige registro como VASP, mas a emissão de "moeda própria" compete com soberania monetária. A estrutura offshore (Cayman Islands recomendado) é o caminho viável.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Compliance FATF é obrigatório - Tanto Cayman Islands quanto BVI exigem frameworks AML/KYC robustos, com "permissioned DeFi" sendo a tendência para 2026.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Auditoria de smart contracts é não-negociável - O custo de auditoria profissional ($50k-$150k) é trivial comparado ao risco de exploits. Em 2024, hacks em cripto causaram $2.2 bilhões em perdas.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Proof of Reserves deve ser contínuo - A transparência é a principal vantagem competitiva sobre concorrentes como Tether Gold (XAUT), que opera em estrutura offshore com reservas opacas. O modelo PAXG (regulado NYDFS) é o benchmark de credibilidade.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84.00000000000006" w:lineRule="auto"/>
        <w:rPr>
          <w:rFonts w:ascii="Roboto" w:cs="Roboto" w:eastAsia="Roboto" w:hAnsi="Roboto"/>
          <w:sz w:val="30"/>
          <w:szCs w:val="30"/>
        </w:rPr>
      </w:pPr>
      <w:bookmarkStart w:colFirst="0" w:colLast="0" w:name="_17wber1dz37a" w:id="8"/>
      <w:bookmarkEnd w:id="8"/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 PLANO DE AÇÃO IMEDIATO</w:t>
      </w:r>
    </w:p>
    <w:p w:rsidR="00000000" w:rsidDel="00000000" w:rsidP="00000000" w:rsidRDefault="00000000" w:rsidRPr="00000000" w14:paraId="00000058">
      <w:pPr>
        <w:shd w:fill="f5f5f5" w:val="clear"/>
        <w:spacing w:after="240" w:lineRule="auto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segment.table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9.5483539335032"/>
        <w:gridCol w:w="4847.530082478563"/>
        <w:gridCol w:w="2115.77279842987"/>
        <w:gridCol w:w="1392.6605761816868"/>
        <w:tblGridChange w:id="0">
          <w:tblGrid>
            <w:gridCol w:w="669.5483539335032"/>
            <w:gridCol w:w="4847.530082478563"/>
            <w:gridCol w:w="2115.77279842987"/>
            <w:gridCol w:w="1392.6605761816868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Fase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Atividade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Custo Estimado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Prazo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Auditoria de segurança (OpenZeppelin/Trail of Bits)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$50k-$150k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4-8 semanas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Registro GTK Holdings Ltd (Cayman Islands)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$25k-$50k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2-4 semanas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Contrato de custódia com Brink's/Loomis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$15k setup + seguro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2-4 semanas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Depósito inicial de ouro (mínimo 1kg)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~$65,000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Imediato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Integração gateway PIX (Cielo/PagSeguro)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Setup + taxas/TX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2-3 semanas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Deploy testnet + Beta fechado (100 usuários)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Custos operacionais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4-6 semanas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Mainnet launch + Marketing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$100k-$500k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3-6 meses</w:t>
            </w:r>
          </w:p>
        </w:tc>
      </w:tr>
    </w:tbl>
    <w:p w:rsidR="00000000" w:rsidDel="00000000" w:rsidP="00000000" w:rsidRDefault="00000000" w:rsidRPr="00000000" w14:paraId="00000079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 whitepaper econômico completo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 estrutura societária offshore com nomes de jurisdições específicas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 integração com gateway PIX brasileiro (Cielo/PagSeguro/Asaas)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 sistema de yield/retorno para holders (similar ao Kinesis)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 expansão DeFi (lending pools, collateralization)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  <w:font w:name="Nova Mono">
    <w:embedRegular w:fontKey="{00000000-0000-0000-0000-000000000000}" r:id="rId1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NovaMono-regular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