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Indiana 5th Grade Social Studies</w:t>
      </w:r>
    </w:p>
    <w:p>
      <w:pPr>
        <w:spacing w:after="240"/>
        <w:jc w:val="center"/>
      </w:pPr>
      <w:r>
        <w:rPr>
          <w:b/>
          <w:bCs/>
          <w:color w:val="1F4E79"/>
          <w:sz w:val="22"/>
          <w:szCs w:val="22"/>
        </w:rPr>
        <w:t xml:space="preserve">2023 Academic Standards &amp; ILEARN Blueprint — Study Guide Planning Report</w:t>
      </w:r>
    </w:p>
    <w:p>
      <w:pPr>
        <w:spacing w:after="80" w:before="0"/>
      </w:pPr>
      <w:r>
        <w:rPr>
          <w:sz w:val="20"/>
          <w:szCs w:val="20"/>
        </w:rPr>
        <w:t xml:space="preserve">Purpose: Verify the correct content scope before building the 5th grade Social Studies ILEARN study guide. This report compiles (1) all 2023 Indiana Academic Standards for Grade 5 Social Studies, with essential standards flagged, and (2) the ILEARN Grade 5 Social Studies test blueprint showing reporting categories, percentages, and item counts.</w:t>
      </w:r>
    </w:p>
    <w:p>
      <w:pPr>
        <w:spacing w:after="160" w:before="0"/>
      </w:pPr>
      <w:r>
        <w:rPr>
          <w:sz w:val="20"/>
          <w:szCs w:val="20"/>
        </w:rPr>
        <w:t xml:space="preserve">Two key facts to anchor study-guide priorities: Civics and Government dominates the test at roughly 40% (15–17 of 40 items), and Indiana flags specific standards as “Essential” (E) — these are the standards most likely to be assessed. Every standard below is required to be taught, but Essentials should drive the bulk of the study guide.</w:t>
      </w:r>
    </w:p>
    <w:p>
      <w:pPr>
        <w:pStyle w:val="Heading1"/>
        <w:spacing w:after="100" w:before="200"/>
      </w:pPr>
      <w:r>
        <w:rPr>
          <w:b/>
          <w:bCs/>
        </w:rPr>
        <w:t xml:space="preserve">1. 2023 Indiana Academic Standards — Grade 5 Social Studies</w:t>
      </w:r>
    </w:p>
    <w:p>
      <w:pPr>
        <w:spacing w:after="120" w:before="0"/>
      </w:pPr>
      <w:r>
        <w:rPr>
          <w:i/>
          <w:iCs/>
          <w:sz w:val="18"/>
          <w:szCs w:val="18"/>
        </w:rPr>
        <w:t xml:space="preserve">Four domains: History (H), Civics &amp; Government (C), Geography (G), Economics (E). Standards marked “E” are designated Essential by IDOE.</w:t>
      </w:r>
    </w:p>
    <w:p>
      <w:pPr>
        <w:spacing w:after="60" w:before="0"/>
      </w:pPr>
      <w:r>
        <w:rPr>
          <w:b/>
          <w:bCs/>
          <w:sz w:val="22"/>
          <w:szCs w:val="22"/>
        </w:rPr>
        <w:t xml:space="preserve">History (5.H)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00"/>
        <w:gridCol w:w="1060"/>
      </w:tblGrid>
      <w:tr>
        <w:trPr>
          <w:tblHeader/>
        </w:trPr>
        <w:tc>
          <w:tcPr>
            <w:tcW w:type="dxa" w:w="900"/>
            <w:tcBorders>
              <w:top w:val="single" w:color="999999" w:sz="4"/>
              <w:left w:val="single" w:color="999999" w:sz="4"/>
              <w:bottom w:val="single" w:color="999999" w:sz="4"/>
              <w:right w:val="single" w:color="999999" w:sz="4"/>
            </w:tcBorders>
            <w:shd w:fill="7B3F00" w:val="clear"/>
            <w:tcMar>
              <w:top w:type="dxa" w:w="60"/>
              <w:left w:type="dxa" w:w="100"/>
              <w:bottom w:type="dxa" w:w="60"/>
              <w:right w:type="dxa" w:w="100"/>
            </w:tcMar>
          </w:tcPr>
          <w:p>
            <w:pPr>
              <w:spacing w:after="0"/>
            </w:pPr>
            <w:r>
              <w:rPr>
                <w:b/>
                <w:bCs/>
                <w:color w:val="FFFFFF"/>
                <w:sz w:val="18"/>
                <w:szCs w:val="18"/>
              </w:rPr>
              <w:t xml:space="preserve">Code</w:t>
            </w:r>
          </w:p>
        </w:tc>
        <w:tc>
          <w:tcPr>
            <w:tcW w:type="dxa" w:w="7400"/>
            <w:tcBorders>
              <w:top w:val="single" w:color="999999" w:sz="4"/>
              <w:left w:val="single" w:color="999999" w:sz="4"/>
              <w:bottom w:val="single" w:color="999999" w:sz="4"/>
              <w:right w:val="single" w:color="999999" w:sz="4"/>
            </w:tcBorders>
            <w:shd w:fill="7B3F00" w:val="clear"/>
            <w:tcMar>
              <w:top w:type="dxa" w:w="60"/>
              <w:left w:type="dxa" w:w="100"/>
              <w:bottom w:type="dxa" w:w="60"/>
              <w:right w:type="dxa" w:w="100"/>
            </w:tcMar>
          </w:tcPr>
          <w:p>
            <w:pPr>
              <w:spacing w:after="0"/>
            </w:pPr>
            <w:r>
              <w:rPr>
                <w:b/>
                <w:bCs/>
                <w:color w:val="FFFFFF"/>
                <w:sz w:val="18"/>
                <w:szCs w:val="18"/>
              </w:rPr>
              <w:t xml:space="preserve">History Standard</w:t>
            </w:r>
          </w:p>
        </w:tc>
        <w:tc>
          <w:tcPr>
            <w:tcW w:type="dxa" w:w="1060"/>
            <w:tcBorders>
              <w:top w:val="single" w:color="999999" w:sz="4"/>
              <w:left w:val="single" w:color="999999" w:sz="4"/>
              <w:bottom w:val="single" w:color="999999" w:sz="4"/>
              <w:right w:val="single" w:color="999999" w:sz="4"/>
            </w:tcBorders>
            <w:shd w:fill="7B3F00" w:val="clear"/>
            <w:tcMar>
              <w:top w:type="dxa" w:w="60"/>
              <w:left w:type="dxa" w:w="100"/>
              <w:bottom w:type="dxa" w:w="60"/>
              <w:right w:type="dxa" w:w="100"/>
            </w:tcMar>
          </w:tcPr>
          <w:p>
            <w:pPr>
              <w:spacing w:after="0"/>
              <w:jc w:val="center"/>
            </w:pPr>
            <w:r>
              <w:rPr>
                <w:b/>
                <w:bCs/>
                <w:color w:val="FFFFFF"/>
                <w:sz w:val="18"/>
                <w:szCs w:val="18"/>
              </w:rPr>
              <w:t xml:space="preserve">Essential</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and describe early cultures and settlements in North America prior to European contact (Anasazi, Cahokia).</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5.H.2</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Examine early European explorations of North America: routes, reasons, impact.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Compare and contrast historic Native American groups across regions at the start of European exploration.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5.H.4</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Locate early Spanish, French, and British settlements; compare origins, physical and social structure.</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Compare religious, political, and economic reasons for European colonization of the Americas.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5.H.6</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cooperation and conflict between Native Americans and colonists.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5.H.7</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and locate the 13 colonies by region; describe political, social, and economic organization.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5.H.8</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early founders of colonial settlements and early colonial resistance to British rule.</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5.H.9</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Understand political, religious, and economic ideas that brought about the American Revolution.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5.H.10</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Analyze the causes of the American Revolution as outlined in the Declaration of Independence.</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major British and American leaders of the Revolutionary War and key events.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5.H.12</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Describe the contributions of France, other nations, and individuals to the Revolution.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contributions of women and minorities during the American Revolution.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5.H.14</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Explain consequences of the Revolution, including the Articles of Confederation.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Explain why the U.S. Constitution was created in 1787 and identify key framers.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5.H.16</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Describe the origins and drafting of the Bill of Rights (ratified 1791).</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5.H.17</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Explain why the first American political parties developed and their impact on early elections.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5.H.18</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contributions of early American artists, writers, and traditional arts.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bl>
    <w:p>
      <w:pPr>
        <w:spacing w:after="80" w:before="0"/>
      </w:pPr>
      <w:r>
        <w:rPr>
          <w:sz w:val="22"/>
          <w:szCs w:val="22"/>
        </w:rPr>
        <w:t xml:space="preserve"/>
      </w:r>
    </w:p>
    <w:p>
      <w:pPr>
        <w:spacing w:after="60" w:before="0"/>
      </w:pPr>
      <w:r>
        <w:rPr>
          <w:b/>
          <w:bCs/>
          <w:sz w:val="22"/>
          <w:szCs w:val="22"/>
        </w:rPr>
        <w:t xml:space="preserve">Civics and Government (5.C)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00"/>
        <w:gridCol w:w="1060"/>
      </w:tblGrid>
      <w:tr>
        <w:trPr>
          <w:tblHeader/>
        </w:trPr>
        <w:tc>
          <w:tcPr>
            <w:tcW w:type="dxa" w:w="9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pPr>
              <w:spacing w:after="0"/>
            </w:pPr>
            <w:r>
              <w:rPr>
                <w:b/>
                <w:bCs/>
                <w:color w:val="FFFFFF"/>
                <w:sz w:val="18"/>
                <w:szCs w:val="18"/>
              </w:rPr>
              <w:t xml:space="preserve">Code</w:t>
            </w:r>
          </w:p>
        </w:tc>
        <w:tc>
          <w:tcPr>
            <w:tcW w:type="dxa" w:w="74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pPr>
              <w:spacing w:after="0"/>
            </w:pPr>
            <w:r>
              <w:rPr>
                <w:b/>
                <w:bCs/>
                <w:color w:val="FFFFFF"/>
                <w:sz w:val="18"/>
                <w:szCs w:val="18"/>
              </w:rPr>
              <w:t xml:space="preserve">Civics &amp; Government Standard</w:t>
            </w:r>
          </w:p>
        </w:tc>
        <w:tc>
          <w:tcPr>
            <w:tcW w:type="dxa" w:w="10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pPr>
              <w:spacing w:after="0"/>
              <w:jc w:val="center"/>
            </w:pPr>
            <w:r>
              <w:rPr>
                <w:b/>
                <w:bCs/>
                <w:color w:val="FFFFFF"/>
                <w:sz w:val="18"/>
                <w:szCs w:val="18"/>
              </w:rPr>
              <w:t xml:space="preserve">Essential</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5.C.1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Summarize the principles and purposes of government in the Preamble to the Constitution.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5.C.2</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ideas about limited government, rule of law, and individual rights in colonial-era documents (Mayflower Compact, Fundamental Orders of CT).</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5.C.3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key ideas about government in the Declaration, Articles of Confederation, Northwest Ordinance, Constitution, and Bill of Rights.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5.C.4</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Describe the primary and general election process for local, state, and national offices.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5.C.5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the three branches of U.S. government and explain their functions; checks and balances.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5.C.6</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Describe group and individual actions that illustrate civic virtues.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5.C.7</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Examine ways citizens voice opinions, monitor government, and bring about change (voting, elections).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5.C.8</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and evaluate contemporary issues involving civic responsibility, individual rights, and the common good.</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bl>
    <w:p>
      <w:pPr>
        <w:spacing w:after="80" w:before="0"/>
      </w:pPr>
      <w:r>
        <w:rPr>
          <w:sz w:val="22"/>
          <w:szCs w:val="22"/>
        </w:rPr>
        <w:t xml:space="preserve"/>
      </w:r>
    </w:p>
    <w:p>
      <w:pPr>
        <w:spacing w:after="60" w:before="0"/>
      </w:pPr>
      <w:r>
        <w:rPr>
          <w:b/>
          <w:bCs/>
          <w:sz w:val="22"/>
          <w:szCs w:val="22"/>
        </w:rPr>
        <w:t xml:space="preserve">Geography (5.G)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00"/>
        <w:gridCol w:w="1060"/>
      </w:tblGrid>
      <w:tr>
        <w:trPr>
          <w:tblHeader/>
        </w:trPr>
        <w:tc>
          <w:tcPr>
            <w:tcW w:type="dxa" w:w="900"/>
            <w:tcBorders>
              <w:top w:val="single" w:color="999999" w:sz="4"/>
              <w:left w:val="single" w:color="999999" w:sz="4"/>
              <w:bottom w:val="single" w:color="999999" w:sz="4"/>
              <w:right w:val="single" w:color="999999" w:sz="4"/>
            </w:tcBorders>
            <w:shd w:fill="385723" w:val="clear"/>
            <w:tcMar>
              <w:top w:type="dxa" w:w="60"/>
              <w:left w:type="dxa" w:w="100"/>
              <w:bottom w:type="dxa" w:w="60"/>
              <w:right w:type="dxa" w:w="100"/>
            </w:tcMar>
          </w:tcPr>
          <w:p>
            <w:pPr>
              <w:spacing w:after="0"/>
            </w:pPr>
            <w:r>
              <w:rPr>
                <w:b/>
                <w:bCs/>
                <w:color w:val="FFFFFF"/>
                <w:sz w:val="18"/>
                <w:szCs w:val="18"/>
              </w:rPr>
              <w:t xml:space="preserve">Code</w:t>
            </w:r>
          </w:p>
        </w:tc>
        <w:tc>
          <w:tcPr>
            <w:tcW w:type="dxa" w:w="7400"/>
            <w:tcBorders>
              <w:top w:val="single" w:color="999999" w:sz="4"/>
              <w:left w:val="single" w:color="999999" w:sz="4"/>
              <w:bottom w:val="single" w:color="999999" w:sz="4"/>
              <w:right w:val="single" w:color="999999" w:sz="4"/>
            </w:tcBorders>
            <w:shd w:fill="385723" w:val="clear"/>
            <w:tcMar>
              <w:top w:type="dxa" w:w="60"/>
              <w:left w:type="dxa" w:w="100"/>
              <w:bottom w:type="dxa" w:w="60"/>
              <w:right w:type="dxa" w:w="100"/>
            </w:tcMar>
          </w:tcPr>
          <w:p>
            <w:pPr>
              <w:spacing w:after="0"/>
            </w:pPr>
            <w:r>
              <w:rPr>
                <w:b/>
                <w:bCs/>
                <w:color w:val="FFFFFF"/>
                <w:sz w:val="18"/>
                <w:szCs w:val="18"/>
              </w:rPr>
              <w:t xml:space="preserve">Geography Standard</w:t>
            </w:r>
          </w:p>
        </w:tc>
        <w:tc>
          <w:tcPr>
            <w:tcW w:type="dxa" w:w="1060"/>
            <w:tcBorders>
              <w:top w:val="single" w:color="999999" w:sz="4"/>
              <w:left w:val="single" w:color="999999" w:sz="4"/>
              <w:bottom w:val="single" w:color="999999" w:sz="4"/>
              <w:right w:val="single" w:color="999999" w:sz="4"/>
            </w:tcBorders>
            <w:shd w:fill="385723" w:val="clear"/>
            <w:tcMar>
              <w:top w:type="dxa" w:w="60"/>
              <w:left w:type="dxa" w:w="100"/>
              <w:bottom w:type="dxa" w:w="60"/>
              <w:right w:type="dxa" w:w="100"/>
            </w:tcMar>
          </w:tcPr>
          <w:p>
            <w:pPr>
              <w:spacing w:after="0"/>
              <w:jc w:val="center"/>
            </w:pPr>
            <w:r>
              <w:rPr>
                <w:b/>
                <w:bCs/>
                <w:color w:val="FFFFFF"/>
                <w:sz w:val="18"/>
                <w:szCs w:val="18"/>
              </w:rPr>
              <w:t xml:space="preserve">Essential</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5.G.1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Use latitude and longitude to locate places precisely; understand degrees N/S of equator and E/W of Prime Meridian.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5.G.2</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Use maps and globes to locate states, capitals, major cities, rivers, Great Lakes, and mountain ranges.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5.G.3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Locate the continental divide and major drainage basins/watersheds, including those Indiana lies within.</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5.G.4</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Use maps to describe characteristics of U.S. climate regions.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5.G.5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major sources of accessible fresh water and describe access impacts.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5.G.6</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Identify major manufacturing and agricultural regions in colonial America; how each changed 1600–1800.</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5.G.7</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Describe how Native Americans, Africans, immigrants, and colonists adapted to physical environments.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5.G.8</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Describe and analyze how specific physical features influenced historical events (Valley Forge, etc.).</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bl>
    <w:p>
      <w:pPr>
        <w:spacing w:after="80" w:before="0"/>
      </w:pPr>
      <w:r>
        <w:rPr>
          <w:sz w:val="22"/>
          <w:szCs w:val="22"/>
        </w:rPr>
        <w:t xml:space="preserve"/>
      </w:r>
    </w:p>
    <w:p>
      <w:pPr>
        <w:spacing w:after="60" w:before="0"/>
      </w:pPr>
      <w:r>
        <w:rPr>
          <w:b/>
          <w:bCs/>
          <w:sz w:val="22"/>
          <w:szCs w:val="22"/>
        </w:rPr>
        <w:t xml:space="preserve">Economics (5.E)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400"/>
        <w:gridCol w:w="1060"/>
      </w:tblGrid>
      <w:tr>
        <w:trPr>
          <w:tblHeader/>
        </w:trPr>
        <w:tc>
          <w:tcPr>
            <w:tcW w:type="dxa" w:w="900"/>
            <w:tcBorders>
              <w:top w:val="single" w:color="999999" w:sz="4"/>
              <w:left w:val="single" w:color="999999" w:sz="4"/>
              <w:bottom w:val="single" w:color="999999" w:sz="4"/>
              <w:right w:val="single" w:color="999999" w:sz="4"/>
            </w:tcBorders>
            <w:shd w:fill="7F6000" w:val="clear"/>
            <w:tcMar>
              <w:top w:type="dxa" w:w="60"/>
              <w:left w:type="dxa" w:w="100"/>
              <w:bottom w:type="dxa" w:w="60"/>
              <w:right w:type="dxa" w:w="100"/>
            </w:tcMar>
          </w:tcPr>
          <w:p>
            <w:pPr>
              <w:spacing w:after="0"/>
            </w:pPr>
            <w:r>
              <w:rPr>
                <w:b/>
                <w:bCs/>
                <w:color w:val="FFFFFF"/>
                <w:sz w:val="18"/>
                <w:szCs w:val="18"/>
              </w:rPr>
              <w:t xml:space="preserve">Code</w:t>
            </w:r>
          </w:p>
        </w:tc>
        <w:tc>
          <w:tcPr>
            <w:tcW w:type="dxa" w:w="7400"/>
            <w:tcBorders>
              <w:top w:val="single" w:color="999999" w:sz="4"/>
              <w:left w:val="single" w:color="999999" w:sz="4"/>
              <w:bottom w:val="single" w:color="999999" w:sz="4"/>
              <w:right w:val="single" w:color="999999" w:sz="4"/>
            </w:tcBorders>
            <w:shd w:fill="7F6000" w:val="clear"/>
            <w:tcMar>
              <w:top w:type="dxa" w:w="60"/>
              <w:left w:type="dxa" w:w="100"/>
              <w:bottom w:type="dxa" w:w="60"/>
              <w:right w:type="dxa" w:w="100"/>
            </w:tcMar>
          </w:tcPr>
          <w:p>
            <w:pPr>
              <w:spacing w:after="0"/>
            </w:pPr>
            <w:r>
              <w:rPr>
                <w:b/>
                <w:bCs/>
                <w:color w:val="FFFFFF"/>
                <w:sz w:val="18"/>
                <w:szCs w:val="18"/>
              </w:rPr>
              <w:t xml:space="preserve">Economics Standard</w:t>
            </w:r>
          </w:p>
        </w:tc>
        <w:tc>
          <w:tcPr>
            <w:tcW w:type="dxa" w:w="1060"/>
            <w:tcBorders>
              <w:top w:val="single" w:color="999999" w:sz="4"/>
              <w:left w:val="single" w:color="999999" w:sz="4"/>
              <w:bottom w:val="single" w:color="999999" w:sz="4"/>
              <w:right w:val="single" w:color="999999" w:sz="4"/>
            </w:tcBorders>
            <w:shd w:fill="7F6000" w:val="clear"/>
            <w:tcMar>
              <w:top w:type="dxa" w:w="60"/>
              <w:left w:type="dxa" w:w="100"/>
              <w:bottom w:type="dxa" w:w="60"/>
              <w:right w:type="dxa" w:w="100"/>
            </w:tcMar>
          </w:tcPr>
          <w:p>
            <w:pPr>
              <w:spacing w:after="0"/>
              <w:jc w:val="center"/>
            </w:pPr>
            <w:r>
              <w:rPr>
                <w:b/>
                <w:bCs/>
                <w:color w:val="FFFFFF"/>
                <w:sz w:val="18"/>
                <w:szCs w:val="18"/>
              </w:rPr>
              <w:t xml:space="preserve">Essential</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5.E.1</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Describe Native American economic activities pre-contact; examine European exploration economic incentives.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5.E.2</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Define types of trade barriers.</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5.E.3</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Describe the impact of technological developments and inventions on early U.S. business productivity.</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5.E.4</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Explain how education, training, specialization, and capital investment increase productivity.</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5.E.5</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Predict the effect of changes in supply and demand on price.</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C00000"/>
                <w:sz w:val="18"/>
                <w:szCs w:val="18"/>
              </w:rPr>
              <w:t xml:space="preserve">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5.E.6</w:t>
            </w:r>
          </w:p>
        </w:tc>
        <w:tc>
          <w:tcPr>
            <w:tcW w:type="dxa" w:w="7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sz w:val="18"/>
                <w:szCs w:val="18"/>
              </w:rPr>
              <w:t xml:space="preserve">Explain the purpose and components of a personal budget; compare household saving/spending then vs. now.</w:t>
            </w:r>
          </w:p>
        </w:tc>
        <w:tc>
          <w:tcPr>
            <w:tcW w:type="dxa" w:w="1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bCs/>
                <w:color w:val="000000"/>
                <w:sz w:val="18"/>
                <w:szCs w:val="18"/>
              </w:rPr>
              <w:t xml:space="preserve"/>
            </w:r>
          </w:p>
        </w:tc>
      </w:tr>
    </w:tbl>
    <w:p>
      <w:pPr>
        <w:pStyle w:val="Heading1"/>
        <w:spacing w:after="100" w:before="200"/>
      </w:pPr>
      <w:r>
        <w:rPr>
          <w:b/>
          <w:bCs/>
        </w:rPr>
        <w:t xml:space="preserve">2. ILEARN Grade 5 Social Studies — What’s Tested</w:t>
      </w:r>
    </w:p>
    <w:p>
      <w:pPr>
        <w:spacing w:after="120" w:before="0"/>
      </w:pPr>
      <w:r>
        <w:rPr>
          <w:sz w:val="20"/>
          <w:szCs w:val="20"/>
        </w:rPr>
        <w:t xml:space="preserve">ILEARN Grade 5 Social Studies is a fixed-form, online assessment (no computer-adaptive segment, no performance task). Items are multiple choice and technology-enhanced (ordering, comparing). Many questions are document-based, requiring students to synthesize and analyze a stimulus (map, primary source excerpt, chart). Each student answers 40 operational items plus 2 hand-scored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pPr>
              <w:spacing w:after="0"/>
            </w:pPr>
            <w:r>
              <w:rPr>
                <w:b/>
                <w:bCs/>
                <w:color w:val="FFFFFF"/>
                <w:sz w:val="18"/>
                <w:szCs w:val="18"/>
              </w:rPr>
              <w:t xml:space="preserve">Reporting Category</w:t>
            </w:r>
          </w:p>
        </w:tc>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pPr>
              <w:spacing w:after="0"/>
              <w:jc w:val="center"/>
            </w:pPr>
            <w:r>
              <w:rPr>
                <w:b/>
                <w:bCs/>
                <w:color w:val="FFFFFF"/>
                <w:sz w:val="18"/>
                <w:szCs w:val="18"/>
              </w:rPr>
              <w:t xml:space="preserve">% of Test</w:t>
            </w:r>
          </w:p>
        </w:tc>
        <w:tc>
          <w:tcPr>
            <w:tcW w:type="dxa" w:w="180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pPr>
              <w:spacing w:after="0"/>
              <w:jc w:val="center"/>
            </w:pPr>
            <w:r>
              <w:rPr>
                <w:b/>
                <w:bCs/>
                <w:color w:val="FFFFFF"/>
                <w:sz w:val="18"/>
                <w:szCs w:val="18"/>
              </w:rPr>
              <w:t xml:space="preserve">Item Range</w:t>
            </w:r>
          </w:p>
        </w:tc>
        <w:tc>
          <w:tcPr>
            <w:tcW w:type="dxa" w:w="2560"/>
            <w:tcBorders>
              <w:top w:val="single" w:color="999999" w:sz="4"/>
              <w:left w:val="single" w:color="999999" w:sz="4"/>
              <w:bottom w:val="single" w:color="999999" w:sz="4"/>
              <w:right w:val="single" w:color="999999" w:sz="4"/>
            </w:tcBorders>
            <w:shd w:fill="1F4E79" w:val="clear"/>
            <w:tcMar>
              <w:top w:type="dxa" w:w="60"/>
              <w:left w:type="dxa" w:w="100"/>
              <w:bottom w:type="dxa" w:w="60"/>
              <w:right w:type="dxa" w:w="100"/>
            </w:tcMar>
          </w:tcPr>
          <w:p>
            <w:pPr>
              <w:spacing w:after="0"/>
            </w:pPr>
            <w:r>
              <w:rPr>
                <w:b/>
                <w:bCs/>
                <w:color w:val="FFFFFF"/>
                <w:sz w:val="18"/>
                <w:szCs w:val="18"/>
              </w:rPr>
              <w:t xml:space="preserve">2023 Standards Covered</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Civics and Government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val="false"/>
                <w:bCs w:val="false"/>
                <w:sz w:val="18"/>
                <w:szCs w:val="18"/>
              </w:rPr>
              <w:t xml:space="preserve">38–43%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val="false"/>
                <w:bCs w:val="false"/>
                <w:sz w:val="18"/>
                <w:szCs w:val="18"/>
              </w:rPr>
              <w:t xml:space="preserve">15–17 items</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18"/>
                <w:szCs w:val="18"/>
              </w:rPr>
              <w:t xml:space="preserve">All 5.C standards + founding-era 5.H (5.H.8–5.H.17)</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History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val="false"/>
                <w:bCs w:val="false"/>
                <w:sz w:val="18"/>
                <w:szCs w:val="18"/>
              </w:rPr>
              <w:t xml:space="preserve">28–33%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val="false"/>
                <w:bCs w:val="false"/>
                <w:sz w:val="18"/>
                <w:szCs w:val="18"/>
              </w:rPr>
              <w:t xml:space="preserve">11–13 items</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18"/>
                <w:szCs w:val="18"/>
              </w:rPr>
              <w:t xml:space="preserve">Pre-Columbian, exploration, colonization, post-Revolution 5.H standards</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sz w:val="18"/>
                <w:szCs w:val="18"/>
              </w:rPr>
              <w:t xml:space="preserve">Geography and Economics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val="false"/>
                <w:bCs w:val="false"/>
                <w:sz w:val="18"/>
                <w:szCs w:val="18"/>
              </w:rPr>
              <w:t xml:space="preserve">28–33%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jc w:val="center"/>
            </w:pPr>
            <w:r>
              <w:rPr>
                <w:b w:val="false"/>
                <w:bCs w:val="false"/>
                <w:sz w:val="18"/>
                <w:szCs w:val="18"/>
              </w:rPr>
              <w:t xml:space="preserve">11–13 items</w:t>
            </w:r>
          </w:p>
        </w:tc>
        <w:tc>
          <w:tcPr>
            <w:tcW w:type="dxa" w:w="2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val="false"/>
                <w:bCs w:val="false"/>
                <w:sz w:val="18"/>
                <w:szCs w:val="18"/>
              </w:rPr>
              <w:t xml:space="preserve">All 5.G standards + all 5.E standards</w:t>
            </w:r>
          </w:p>
        </w:tc>
      </w:tr>
      <w:tr>
        <w:tc>
          <w:tcPr>
            <w:tcW w:type="dxa" w:w="32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8"/>
                <w:szCs w:val="18"/>
              </w:rPr>
              <w:t xml:space="preserve">Total Operational Items</w:t>
            </w:r>
          </w:p>
        </w:tc>
        <w:tc>
          <w:tcPr>
            <w:tcW w:type="dxa" w:w="1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jc w:val="center"/>
            </w:pPr>
            <w:r>
              <w:rPr>
                <w:b/>
                <w:bCs/>
                <w:sz w:val="18"/>
                <w:szCs w:val="18"/>
              </w:rPr>
              <w:t xml:space="preserve">100%</w:t>
            </w:r>
          </w:p>
        </w:tc>
        <w:tc>
          <w:tcPr>
            <w:tcW w:type="dxa" w:w="1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jc w:val="center"/>
            </w:pPr>
            <w:r>
              <w:rPr>
                <w:b/>
                <w:bCs/>
                <w:sz w:val="18"/>
                <w:szCs w:val="18"/>
              </w:rPr>
              <w:t xml:space="preserve">40 items</w:t>
            </w:r>
          </w:p>
        </w:tc>
        <w:tc>
          <w:tcPr>
            <w:tcW w:type="dxa" w:w="25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pPr>
            <w:r>
              <w:rPr>
                <w:b/>
                <w:bCs/>
                <w:sz w:val="18"/>
                <w:szCs w:val="18"/>
              </w:rPr>
              <w:t xml:space="preserve">+ 2 hand-scored items</w:t>
            </w:r>
          </w:p>
        </w:tc>
      </w:tr>
    </w:tbl>
    <w:p>
      <w:pPr>
        <w:spacing w:after="80" w:before="0"/>
      </w:pPr>
      <w:r>
        <w:rPr>
          <w:sz w:val="22"/>
          <w:szCs w:val="22"/>
        </w:rPr>
        <w:t xml:space="preserve"/>
      </w:r>
    </w:p>
    <w:p>
      <w:pPr>
        <w:spacing w:after="120" w:before="0"/>
      </w:pPr>
      <w:r>
        <w:rPr>
          <w:i/>
          <w:iCs/>
          <w:sz w:val="18"/>
          <w:szCs w:val="18"/>
        </w:rPr>
        <w:t xml:space="preserve">Source note: The published operational blueprint (IDOE, August 2022) uses prior standards numbering (5.1.x, 5.2.x, etc.). The reporting-category structure and percentages above remain the test design under the 2023 standards transition (schools teach 2023 standards beginning 2024–25; ILEARN reflects the prioritized 2023 standards by 2025–26). The crosswalk to the new H/C/G/E codes is shown in the right column.</w:t>
      </w:r>
    </w:p>
    <w:p>
      <w:pPr>
        <w:pStyle w:val="Heading1"/>
        <w:spacing w:after="100" w:before="200"/>
      </w:pPr>
      <w:r>
        <w:rPr>
          <w:b/>
          <w:bCs/>
        </w:rPr>
        <w:t xml:space="preserve">3. Implications for the Study Guide</w:t>
      </w:r>
    </w:p>
    <w:p>
      <w:pPr>
        <w:spacing w:after="100" w:before="0"/>
      </w:pPr>
      <w:r>
        <w:rPr>
          <w:sz w:val="20"/>
          <w:szCs w:val="20"/>
        </w:rPr>
        <w:t xml:space="preserve">Weight content roughly to the blueprint: ~40% Civics/Government (Constitution, Bill of Rights, branches, founding documents), ~30% History (Native Americans, exploration, colonies, Revolution), ~30% Geography + Economics combined (latitude/longitude, U.S. physical geography, colonial economic regions, supply/demand, technology’s impact on productivity).</w:t>
      </w:r>
    </w:p>
    <w:p>
      <w:pPr>
        <w:spacing w:after="100" w:before="0"/>
      </w:pPr>
      <w:r>
        <w:rPr>
          <w:sz w:val="20"/>
          <w:szCs w:val="20"/>
        </w:rPr>
        <w:t xml:space="preserve">Prioritize the 17 Essential standards. They span all four domains and represent the highest-probability test content. Within Civics, that means 5.C.2, 5.C.3, and 5.C.5 (founding documents, three branches). Within History, the cluster around the Constitution and Revolution (5.H.10, 5.H.11, 5.H.15, 5.H.16) and early colonization (5.H.1, 5.H.2, 5.H.5, 5.H.7).</w:t>
      </w:r>
    </w:p>
    <w:p>
      <w:pPr>
        <w:spacing w:after="0" w:before="0"/>
      </w:pPr>
      <w:r>
        <w:rPr>
          <w:sz w:val="20"/>
          <w:szCs w:val="20"/>
        </w:rPr>
        <w:t xml:space="preserve">Build practice items that mirror ILEARN format: short stimulus (map, excerpt, image) followed by a multiple-choice or ordering task. Avoid pure recall-only items — ILEARN emphasizes document-based synthesis.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2026-04-13T11:48:44.230Z</dcterms:created>
  <dcterms:modified xsi:type="dcterms:W3CDTF">2026-04-13T11:48:44.230Z</dcterms:modified>
</cp:coreProperties>
</file>

<file path=docProps/custom.xml><?xml version="1.0" encoding="utf-8"?>
<Properties xmlns="http://schemas.openxmlformats.org/officeDocument/2006/custom-properties" xmlns:vt="http://schemas.openxmlformats.org/officeDocument/2006/docPropsVTypes"/>
</file>