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1B" w:rsidRDefault="00CB551B" w:rsidP="00CB551B">
      <w:pPr>
        <w:pStyle w:val="Title"/>
        <w:rPr>
          <w:highlight w:val="white"/>
        </w:rPr>
      </w:pPr>
      <w:r>
        <w:rPr>
          <w:highlight w:val="white"/>
        </w:rPr>
        <w:t>CCN Service Bus API Guide</w:t>
      </w:r>
    </w:p>
    <w:p w:rsidR="009628B0" w:rsidRDefault="009628B0" w:rsidP="009628B0">
      <w:pPr>
        <w:rPr>
          <w:highlight w:val="white"/>
        </w:rPr>
      </w:pPr>
    </w:p>
    <w:tbl>
      <w:tblPr>
        <w:tblStyle w:val="TableGrid"/>
        <w:tblpPr w:leftFromText="180" w:rightFromText="180" w:vertAnchor="text" w:horzAnchor="margin" w:tblpY="553"/>
        <w:tblW w:w="0" w:type="auto"/>
        <w:tblLook w:val="04A0" w:firstRow="1" w:lastRow="0" w:firstColumn="1" w:lastColumn="0" w:noHBand="0" w:noVBand="1"/>
      </w:tblPr>
      <w:tblGrid>
        <w:gridCol w:w="6345"/>
        <w:gridCol w:w="1560"/>
        <w:gridCol w:w="1337"/>
      </w:tblGrid>
      <w:tr w:rsidR="009628B0" w:rsidTr="00B61639">
        <w:tc>
          <w:tcPr>
            <w:tcW w:w="6345" w:type="dxa"/>
            <w:shd w:val="clear" w:color="auto" w:fill="EEECE1" w:themeFill="background2"/>
          </w:tcPr>
          <w:p w:rsidR="009628B0" w:rsidRPr="00B61639" w:rsidRDefault="00B61639" w:rsidP="009628B0">
            <w:pPr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</w:pPr>
            <w:r w:rsidRPr="00B61639"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  <w:t>Change</w:t>
            </w:r>
          </w:p>
        </w:tc>
        <w:tc>
          <w:tcPr>
            <w:tcW w:w="1560" w:type="dxa"/>
            <w:shd w:val="clear" w:color="auto" w:fill="EEECE1" w:themeFill="background2"/>
          </w:tcPr>
          <w:p w:rsidR="009628B0" w:rsidRPr="00B61639" w:rsidRDefault="00B61639" w:rsidP="009628B0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B61639"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337" w:type="dxa"/>
            <w:shd w:val="clear" w:color="auto" w:fill="EEECE1" w:themeFill="background2"/>
          </w:tcPr>
          <w:p w:rsidR="009628B0" w:rsidRPr="00B61639" w:rsidRDefault="00B61639" w:rsidP="009628B0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B61639"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  <w:t>By</w:t>
            </w:r>
          </w:p>
        </w:tc>
      </w:tr>
      <w:tr w:rsidR="00B61639" w:rsidTr="00B61639">
        <w:tc>
          <w:tcPr>
            <w:tcW w:w="6345" w:type="dxa"/>
          </w:tcPr>
          <w:p w:rsidR="00B61639" w:rsidRPr="00B61639" w:rsidRDefault="00B61639" w:rsidP="00B61639">
            <w:pPr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  <w:highlight w:val="white"/>
              </w:rPr>
              <w:t>New version</w:t>
            </w:r>
          </w:p>
        </w:tc>
        <w:tc>
          <w:tcPr>
            <w:tcW w:w="1560" w:type="dxa"/>
          </w:tcPr>
          <w:p w:rsidR="00B61639" w:rsidRDefault="00B61639" w:rsidP="009628B0">
            <w:pPr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  <w:highlight w:val="white"/>
              </w:rPr>
              <w:t>1.0</w:t>
            </w:r>
          </w:p>
        </w:tc>
        <w:tc>
          <w:tcPr>
            <w:tcW w:w="1337" w:type="dxa"/>
          </w:tcPr>
          <w:p w:rsidR="00B61639" w:rsidRDefault="00B61639" w:rsidP="009628B0">
            <w:pPr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  <w:highlight w:val="white"/>
              </w:rPr>
              <w:t>KK</w:t>
            </w:r>
          </w:p>
        </w:tc>
      </w:tr>
    </w:tbl>
    <w:p w:rsidR="009628B0" w:rsidRPr="009628B0" w:rsidRDefault="009628B0" w:rsidP="009628B0">
      <w:pPr>
        <w:rPr>
          <w:highlight w:val="white"/>
        </w:rPr>
      </w:pPr>
      <w:r>
        <w:rPr>
          <w:highlight w:val="white"/>
        </w:rPr>
        <w:t>Version History</w:t>
      </w:r>
    </w:p>
    <w:p w:rsidR="009628B0" w:rsidRDefault="009628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white"/>
        </w:rPr>
      </w:pPr>
      <w:r>
        <w:rPr>
          <w:highlight w:val="white"/>
        </w:rPr>
        <w:br w:type="page"/>
      </w:r>
    </w:p>
    <w:p w:rsidR="009628B0" w:rsidRDefault="009628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white"/>
        </w:rPr>
      </w:pPr>
    </w:p>
    <w:p w:rsidR="00CB551B" w:rsidRDefault="005468F8" w:rsidP="00CB551B">
      <w:pPr>
        <w:pStyle w:val="Heading2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Web </w:t>
      </w:r>
      <w:r w:rsidR="00CB551B">
        <w:rPr>
          <w:highlight w:val="white"/>
        </w:rPr>
        <w:t>Service API</w:t>
      </w:r>
      <w:r w:rsidR="00CE300E">
        <w:rPr>
          <w:highlight w:val="white"/>
        </w:rPr>
        <w:t xml:space="preserve"> (For Publishing only)</w:t>
      </w:r>
    </w:p>
    <w:p w:rsidR="00CB551B" w:rsidRDefault="00CB551B" w:rsidP="00CB551B">
      <w:pPr>
        <w:rPr>
          <w:highlight w:val="white"/>
        </w:rPr>
      </w:pPr>
      <w:r>
        <w:rPr>
          <w:highlight w:val="white"/>
        </w:rPr>
        <w:t xml:space="preserve">The followings </w:t>
      </w:r>
      <w:r w:rsidR="009F4DF0">
        <w:rPr>
          <w:highlight w:val="white"/>
        </w:rPr>
        <w:t xml:space="preserve">information is required to publish document </w:t>
      </w:r>
      <w:r>
        <w:rPr>
          <w:highlight w:val="white"/>
        </w:rPr>
        <w:t>to CCN Service Bus via SOAP</w:t>
      </w:r>
      <w:r w:rsidR="009F4DF0">
        <w:rPr>
          <w:highlight w:val="white"/>
        </w:rPr>
        <w:t xml:space="preserve"> interface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843"/>
        <w:gridCol w:w="2471"/>
      </w:tblGrid>
      <w:tr w:rsidR="00CB551B" w:rsidTr="005847DC">
        <w:tc>
          <w:tcPr>
            <w:tcW w:w="4928" w:type="dxa"/>
            <w:shd w:val="clear" w:color="auto" w:fill="F2F2F2" w:themeFill="background1" w:themeFillShade="F2"/>
          </w:tcPr>
          <w:p w:rsidR="00CB551B" w:rsidRPr="005B50B5" w:rsidRDefault="00CB551B" w:rsidP="00CB551B">
            <w:pPr>
              <w:rPr>
                <w:b/>
                <w:highlight w:val="white"/>
              </w:rPr>
            </w:pPr>
            <w:r w:rsidRPr="00CB551B">
              <w:rPr>
                <w:b/>
              </w:rPr>
              <w:t>Web service URL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B551B" w:rsidRPr="005B50B5" w:rsidRDefault="005B50B5" w:rsidP="00CB551B">
            <w:pPr>
              <w:rPr>
                <w:b/>
              </w:rPr>
            </w:pPr>
            <w:r w:rsidRPr="005B50B5">
              <w:rPr>
                <w:b/>
              </w:rPr>
              <w:t>Environment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B551B" w:rsidRPr="005B50B5" w:rsidRDefault="005B50B5" w:rsidP="00CB551B">
            <w:pPr>
              <w:rPr>
                <w:b/>
              </w:rPr>
            </w:pPr>
            <w:r w:rsidRPr="005B50B5">
              <w:rPr>
                <w:b/>
              </w:rPr>
              <w:t>Remarks</w:t>
            </w:r>
          </w:p>
        </w:tc>
      </w:tr>
      <w:tr w:rsidR="00CB551B" w:rsidTr="005847DC">
        <w:tc>
          <w:tcPr>
            <w:tcW w:w="4928" w:type="dxa"/>
          </w:tcPr>
          <w:p w:rsidR="00CB551B" w:rsidRDefault="005847DC" w:rsidP="00CB551B">
            <w:pPr>
              <w:rPr>
                <w:highlight w:val="white"/>
              </w:rPr>
            </w:pPr>
            <w:r w:rsidRPr="005847DC">
              <w:t>http://apidev.ccnhub.com/CCN.ServiceBus.WCFAdaptor/wcfAdaptorService.svc</w:t>
            </w:r>
          </w:p>
        </w:tc>
        <w:tc>
          <w:tcPr>
            <w:tcW w:w="1843" w:type="dxa"/>
          </w:tcPr>
          <w:p w:rsidR="00CB551B" w:rsidRDefault="005B50B5" w:rsidP="00CB551B">
            <w:pPr>
              <w:rPr>
                <w:highlight w:val="white"/>
              </w:rPr>
            </w:pPr>
            <w:r>
              <w:rPr>
                <w:highlight w:val="white"/>
              </w:rPr>
              <w:t>Test</w:t>
            </w:r>
          </w:p>
        </w:tc>
        <w:tc>
          <w:tcPr>
            <w:tcW w:w="2471" w:type="dxa"/>
          </w:tcPr>
          <w:p w:rsidR="00CB551B" w:rsidRDefault="00CB551B" w:rsidP="00CB551B">
            <w:pPr>
              <w:rPr>
                <w:highlight w:val="white"/>
              </w:rPr>
            </w:pPr>
          </w:p>
        </w:tc>
      </w:tr>
      <w:tr w:rsidR="005B50B5" w:rsidTr="005847DC">
        <w:tc>
          <w:tcPr>
            <w:tcW w:w="4928" w:type="dxa"/>
          </w:tcPr>
          <w:p w:rsidR="005B50B5" w:rsidRDefault="003256C3" w:rsidP="00CB551B">
            <w:pPr>
              <w:rPr>
                <w:highlight w:val="white"/>
              </w:rPr>
            </w:pPr>
            <w:r>
              <w:rPr>
                <w:highlight w:val="white"/>
              </w:rPr>
              <w:t>TBA</w:t>
            </w:r>
          </w:p>
        </w:tc>
        <w:tc>
          <w:tcPr>
            <w:tcW w:w="1843" w:type="dxa"/>
          </w:tcPr>
          <w:p w:rsidR="005B50B5" w:rsidRDefault="005B50B5" w:rsidP="00CB551B">
            <w:pPr>
              <w:rPr>
                <w:highlight w:val="white"/>
              </w:rPr>
            </w:pPr>
            <w:r>
              <w:rPr>
                <w:highlight w:val="white"/>
              </w:rPr>
              <w:t>Pre-Production</w:t>
            </w:r>
          </w:p>
        </w:tc>
        <w:tc>
          <w:tcPr>
            <w:tcW w:w="2471" w:type="dxa"/>
          </w:tcPr>
          <w:p w:rsidR="005B50B5" w:rsidRDefault="005B50B5" w:rsidP="00CB551B">
            <w:pPr>
              <w:rPr>
                <w:highlight w:val="white"/>
              </w:rPr>
            </w:pPr>
          </w:p>
        </w:tc>
      </w:tr>
      <w:tr w:rsidR="005B50B5" w:rsidTr="005847DC">
        <w:tc>
          <w:tcPr>
            <w:tcW w:w="4928" w:type="dxa"/>
          </w:tcPr>
          <w:p w:rsidR="005B50B5" w:rsidRDefault="003256C3" w:rsidP="00CB551B">
            <w:pPr>
              <w:rPr>
                <w:highlight w:val="white"/>
              </w:rPr>
            </w:pPr>
            <w:r>
              <w:rPr>
                <w:highlight w:val="white"/>
              </w:rPr>
              <w:t>TBA</w:t>
            </w:r>
          </w:p>
        </w:tc>
        <w:tc>
          <w:tcPr>
            <w:tcW w:w="1843" w:type="dxa"/>
          </w:tcPr>
          <w:p w:rsidR="005B50B5" w:rsidRDefault="005B50B5" w:rsidP="00CB551B">
            <w:pPr>
              <w:rPr>
                <w:highlight w:val="white"/>
              </w:rPr>
            </w:pPr>
            <w:r>
              <w:rPr>
                <w:highlight w:val="white"/>
              </w:rPr>
              <w:t>Production</w:t>
            </w:r>
          </w:p>
        </w:tc>
        <w:tc>
          <w:tcPr>
            <w:tcW w:w="2471" w:type="dxa"/>
          </w:tcPr>
          <w:p w:rsidR="005B50B5" w:rsidRDefault="005B50B5" w:rsidP="00CB551B">
            <w:pPr>
              <w:rPr>
                <w:highlight w:val="white"/>
              </w:rPr>
            </w:pPr>
          </w:p>
        </w:tc>
      </w:tr>
    </w:tbl>
    <w:p w:rsidR="00CB551B" w:rsidRDefault="00CB551B" w:rsidP="00CB551B">
      <w:pPr>
        <w:rPr>
          <w:highlight w:val="white"/>
        </w:rPr>
      </w:pPr>
    </w:p>
    <w:p w:rsidR="008A0B2F" w:rsidRDefault="008A0B2F" w:rsidP="00CB551B">
      <w:pPr>
        <w:rPr>
          <w:highlight w:val="white"/>
        </w:rPr>
      </w:pPr>
      <w:r>
        <w:rPr>
          <w:highlight w:val="white"/>
        </w:rPr>
        <w:t>The SOAP Request</w:t>
      </w:r>
      <w:r w:rsidR="00B61639">
        <w:rPr>
          <w:highlight w:val="white"/>
        </w:rPr>
        <w:t>/Response</w:t>
      </w:r>
      <w:r>
        <w:rPr>
          <w:highlight w:val="white"/>
        </w:rPr>
        <w:t xml:space="preserve"> Information</w:t>
      </w:r>
      <w:r>
        <w:rPr>
          <w:highlight w:val="whit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281"/>
        <w:gridCol w:w="4881"/>
      </w:tblGrid>
      <w:tr w:rsidR="008A0B2F" w:rsidTr="00376D9C">
        <w:tc>
          <w:tcPr>
            <w:tcW w:w="3080" w:type="dxa"/>
            <w:shd w:val="clear" w:color="auto" w:fill="EEECE1" w:themeFill="background2"/>
          </w:tcPr>
          <w:p w:rsidR="008A0B2F" w:rsidRPr="00376D9C" w:rsidRDefault="00376D9C" w:rsidP="00CB551B">
            <w:pPr>
              <w:rPr>
                <w:b/>
              </w:rPr>
            </w:pPr>
            <w:r w:rsidRPr="00376D9C">
              <w:rPr>
                <w:b/>
              </w:rPr>
              <w:t>Element Name</w:t>
            </w:r>
          </w:p>
        </w:tc>
        <w:tc>
          <w:tcPr>
            <w:tcW w:w="1281" w:type="dxa"/>
            <w:shd w:val="clear" w:color="auto" w:fill="EEECE1" w:themeFill="background2"/>
          </w:tcPr>
          <w:p w:rsidR="008A0B2F" w:rsidRPr="00376D9C" w:rsidRDefault="00B61639" w:rsidP="00CB551B">
            <w:pPr>
              <w:rPr>
                <w:b/>
              </w:rPr>
            </w:pPr>
            <w:r w:rsidRPr="00376D9C">
              <w:rPr>
                <w:b/>
              </w:rPr>
              <w:t>Type</w:t>
            </w:r>
          </w:p>
        </w:tc>
        <w:tc>
          <w:tcPr>
            <w:tcW w:w="4881" w:type="dxa"/>
            <w:shd w:val="clear" w:color="auto" w:fill="EEECE1" w:themeFill="background2"/>
          </w:tcPr>
          <w:p w:rsidR="008A0B2F" w:rsidRPr="00376D9C" w:rsidRDefault="00B61639" w:rsidP="00CB551B">
            <w:pPr>
              <w:rPr>
                <w:b/>
              </w:rPr>
            </w:pPr>
            <w:r w:rsidRPr="00376D9C">
              <w:rPr>
                <w:b/>
              </w:rPr>
              <w:t>Remarks</w:t>
            </w:r>
          </w:p>
        </w:tc>
      </w:tr>
      <w:tr w:rsidR="00B61639" w:rsidTr="00B61639">
        <w:tc>
          <w:tcPr>
            <w:tcW w:w="3080" w:type="dxa"/>
          </w:tcPr>
          <w:p w:rsidR="00B61639" w:rsidRDefault="00B61639" w:rsidP="00CB551B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PublishDocument</w:t>
            </w:r>
            <w:proofErr w:type="spellEnd"/>
          </w:p>
        </w:tc>
        <w:tc>
          <w:tcPr>
            <w:tcW w:w="1281" w:type="dxa"/>
          </w:tcPr>
          <w:p w:rsidR="00B61639" w:rsidRDefault="00B61639" w:rsidP="00CB551B">
            <w:pPr>
              <w:rPr>
                <w:highlight w:val="white"/>
              </w:rPr>
            </w:pPr>
            <w:r>
              <w:rPr>
                <w:highlight w:val="white"/>
              </w:rPr>
              <w:t>Operation</w:t>
            </w:r>
          </w:p>
        </w:tc>
        <w:tc>
          <w:tcPr>
            <w:tcW w:w="4881" w:type="dxa"/>
          </w:tcPr>
          <w:p w:rsidR="00B61639" w:rsidRDefault="00B61639" w:rsidP="00B61639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IWcfAdaptorService</w:t>
            </w:r>
            <w:proofErr w:type="spellEnd"/>
            <w:r>
              <w:rPr>
                <w:highlight w:val="white"/>
              </w:rPr>
              <w:t xml:space="preserve"> operation, used by application to publish document to CCN Service Bus</w:t>
            </w:r>
          </w:p>
        </w:tc>
      </w:tr>
      <w:tr w:rsidR="008A0B2F" w:rsidTr="00B61639">
        <w:tc>
          <w:tcPr>
            <w:tcW w:w="3080" w:type="dxa"/>
          </w:tcPr>
          <w:p w:rsidR="008A0B2F" w:rsidRDefault="00B61639" w:rsidP="00CB551B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ccnDocument</w:t>
            </w:r>
            <w:proofErr w:type="spellEnd"/>
          </w:p>
        </w:tc>
        <w:tc>
          <w:tcPr>
            <w:tcW w:w="1281" w:type="dxa"/>
          </w:tcPr>
          <w:p w:rsidR="00B61639" w:rsidRDefault="00B61639" w:rsidP="00CB551B">
            <w:pPr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4881" w:type="dxa"/>
          </w:tcPr>
          <w:p w:rsidR="008A0B2F" w:rsidRDefault="00B61639" w:rsidP="00684A8A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PublishDocument</w:t>
            </w:r>
            <w:proofErr w:type="spellEnd"/>
            <w:r>
              <w:rPr>
                <w:highlight w:val="white"/>
              </w:rPr>
              <w:t xml:space="preserve"> operation’s input parameter</w:t>
            </w:r>
            <w:r w:rsidR="00684A8A">
              <w:rPr>
                <w:highlight w:val="white"/>
              </w:rPr>
              <w:t>. There are many type of CCN Document formats, the supported types are listed in following sections of this document.</w:t>
            </w:r>
          </w:p>
        </w:tc>
      </w:tr>
      <w:tr w:rsidR="00B61639" w:rsidTr="00B61639">
        <w:tc>
          <w:tcPr>
            <w:tcW w:w="3080" w:type="dxa"/>
          </w:tcPr>
          <w:p w:rsidR="00B61639" w:rsidRDefault="00B61639" w:rsidP="00CB551B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ErrorMessage</w:t>
            </w:r>
            <w:proofErr w:type="spellEnd"/>
          </w:p>
        </w:tc>
        <w:tc>
          <w:tcPr>
            <w:tcW w:w="1281" w:type="dxa"/>
          </w:tcPr>
          <w:p w:rsidR="00B61639" w:rsidRDefault="00B61639" w:rsidP="00CB551B">
            <w:pPr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4881" w:type="dxa"/>
          </w:tcPr>
          <w:p w:rsidR="00B61639" w:rsidRDefault="00B61639" w:rsidP="00B61639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PublishDocument</w:t>
            </w:r>
            <w:proofErr w:type="spellEnd"/>
            <w:r>
              <w:rPr>
                <w:highlight w:val="white"/>
              </w:rPr>
              <w:t xml:space="preserve"> response parameter, </w:t>
            </w:r>
            <w:r w:rsidR="005847DC">
              <w:rPr>
                <w:highlight w:val="white"/>
              </w:rPr>
              <w:t xml:space="preserve">this response parameter contains error message </w:t>
            </w:r>
            <w:r>
              <w:rPr>
                <w:highlight w:val="white"/>
              </w:rPr>
              <w:t>returned by CCN Service Bus.</w:t>
            </w:r>
          </w:p>
          <w:p w:rsidR="005847DC" w:rsidRDefault="005847DC" w:rsidP="00B61639">
            <w:pPr>
              <w:rPr>
                <w:highlight w:val="white"/>
              </w:rPr>
            </w:pPr>
          </w:p>
          <w:p w:rsidR="005847DC" w:rsidRDefault="005847DC" w:rsidP="00B61639">
            <w:pPr>
              <w:rPr>
                <w:highlight w:val="white"/>
              </w:rPr>
            </w:pPr>
            <w:r>
              <w:rPr>
                <w:highlight w:val="white"/>
              </w:rPr>
              <w:t>If publish operation is successful, error message will contain empty string.</w:t>
            </w:r>
          </w:p>
          <w:p w:rsidR="00B61639" w:rsidRDefault="00B61639" w:rsidP="00B61639">
            <w:pPr>
              <w:rPr>
                <w:highlight w:val="white"/>
              </w:rPr>
            </w:pPr>
          </w:p>
        </w:tc>
      </w:tr>
    </w:tbl>
    <w:p w:rsidR="00CB551B" w:rsidRDefault="00CB551B" w:rsidP="00CB551B">
      <w:pPr>
        <w:rPr>
          <w:highlight w:val="white"/>
        </w:rPr>
      </w:pPr>
    </w:p>
    <w:p w:rsidR="00086B65" w:rsidRDefault="00086B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white"/>
        </w:rPr>
      </w:pPr>
      <w:r>
        <w:rPr>
          <w:highlight w:val="white"/>
        </w:rPr>
        <w:br w:type="page"/>
      </w:r>
    </w:p>
    <w:p w:rsidR="00CE300E" w:rsidRDefault="00CE300E" w:rsidP="00CE300E">
      <w:pPr>
        <w:pStyle w:val="Heading2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lastRenderedPageBreak/>
        <w:t xml:space="preserve">Web Service </w:t>
      </w:r>
      <w:r>
        <w:rPr>
          <w:highlight w:val="white"/>
        </w:rPr>
        <w:t xml:space="preserve">Interface </w:t>
      </w:r>
      <w:r>
        <w:rPr>
          <w:highlight w:val="white"/>
        </w:rPr>
        <w:t xml:space="preserve">(For </w:t>
      </w:r>
      <w:r>
        <w:rPr>
          <w:highlight w:val="white"/>
        </w:rPr>
        <w:t>Subscriber Web Service implementation</w:t>
      </w:r>
      <w:r>
        <w:rPr>
          <w:highlight w:val="white"/>
        </w:rPr>
        <w:t>)</w:t>
      </w:r>
    </w:p>
    <w:p w:rsidR="008A0B2F" w:rsidRDefault="006E675D">
      <w:pPr>
        <w:rPr>
          <w:highlight w:val="white"/>
        </w:rPr>
      </w:pPr>
      <w:r w:rsidRPr="006E675D">
        <w:rPr>
          <w:rFonts w:asciiTheme="majorHAnsi" w:eastAsiaTheme="majorEastAsia" w:hAnsiTheme="majorHAnsi" w:cstheme="majorBidi"/>
          <w:bCs/>
          <w:highlight w:val="white"/>
        </w:rPr>
        <w:t>This</w:t>
      </w:r>
      <w:r>
        <w:rPr>
          <w:highlight w:val="white"/>
        </w:rPr>
        <w:t xml:space="preserve"> section contains Interface</w:t>
      </w:r>
      <w:r w:rsidR="00387FD5">
        <w:rPr>
          <w:highlight w:val="white"/>
        </w:rPr>
        <w:t xml:space="preserve"> (</w:t>
      </w:r>
      <w:proofErr w:type="spellStart"/>
      <w:r w:rsidR="00387FD5">
        <w:rPr>
          <w:highlight w:val="white"/>
        </w:rPr>
        <w:t>ISubscriberClient</w:t>
      </w:r>
      <w:proofErr w:type="spellEnd"/>
      <w:r w:rsidR="00387FD5">
        <w:rPr>
          <w:highlight w:val="white"/>
        </w:rPr>
        <w:t>)</w:t>
      </w:r>
      <w:r>
        <w:rPr>
          <w:highlight w:val="white"/>
        </w:rPr>
        <w:t xml:space="preserve"> requirement to be implemented by subscriber client as web service so that CCN Service Bus is able to push subscribed document to client by consuming </w:t>
      </w:r>
      <w:r w:rsidR="000A6A6D">
        <w:rPr>
          <w:highlight w:val="white"/>
        </w:rPr>
        <w:t xml:space="preserve">the </w:t>
      </w:r>
      <w:r>
        <w:rPr>
          <w:highlight w:val="white"/>
        </w:rPr>
        <w:t>service.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843"/>
        <w:gridCol w:w="2471"/>
      </w:tblGrid>
      <w:tr w:rsidR="003109A2" w:rsidTr="007579E9">
        <w:tc>
          <w:tcPr>
            <w:tcW w:w="4928" w:type="dxa"/>
            <w:shd w:val="clear" w:color="auto" w:fill="F2F2F2" w:themeFill="background1" w:themeFillShade="F2"/>
          </w:tcPr>
          <w:p w:rsidR="003109A2" w:rsidRPr="005B50B5" w:rsidRDefault="003109A2" w:rsidP="003109A2">
            <w:pPr>
              <w:rPr>
                <w:b/>
                <w:highlight w:val="white"/>
              </w:rPr>
            </w:pPr>
            <w:r>
              <w:rPr>
                <w:b/>
              </w:rPr>
              <w:t xml:space="preserve">Subscriber </w:t>
            </w:r>
            <w:r w:rsidRPr="00CB551B">
              <w:rPr>
                <w:b/>
              </w:rPr>
              <w:t>Web service URL</w:t>
            </w:r>
            <w:r>
              <w:rPr>
                <w:b/>
              </w:rPr>
              <w:t xml:space="preserve"> implemented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3109A2" w:rsidRPr="005B50B5" w:rsidRDefault="003109A2" w:rsidP="007579E9">
            <w:pPr>
              <w:rPr>
                <w:b/>
              </w:rPr>
            </w:pPr>
            <w:r w:rsidRPr="005B50B5">
              <w:rPr>
                <w:b/>
              </w:rPr>
              <w:t>Environment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3109A2" w:rsidRPr="005B50B5" w:rsidRDefault="003109A2" w:rsidP="007579E9">
            <w:pPr>
              <w:rPr>
                <w:b/>
              </w:rPr>
            </w:pPr>
            <w:r w:rsidRPr="005B50B5">
              <w:rPr>
                <w:b/>
              </w:rPr>
              <w:t>Remarks</w:t>
            </w:r>
          </w:p>
        </w:tc>
      </w:tr>
      <w:tr w:rsidR="003109A2" w:rsidTr="007579E9">
        <w:tc>
          <w:tcPr>
            <w:tcW w:w="4928" w:type="dxa"/>
          </w:tcPr>
          <w:p w:rsidR="003109A2" w:rsidRDefault="003109A2" w:rsidP="007579E9">
            <w:pPr>
              <w:rPr>
                <w:highlight w:val="white"/>
              </w:rPr>
            </w:pPr>
            <w:r>
              <w:t>To be provided by Client</w:t>
            </w:r>
          </w:p>
        </w:tc>
        <w:tc>
          <w:tcPr>
            <w:tcW w:w="1843" w:type="dxa"/>
          </w:tcPr>
          <w:p w:rsidR="003109A2" w:rsidRDefault="003109A2" w:rsidP="007579E9">
            <w:pPr>
              <w:rPr>
                <w:highlight w:val="white"/>
              </w:rPr>
            </w:pPr>
            <w:r>
              <w:rPr>
                <w:highlight w:val="white"/>
              </w:rPr>
              <w:t>Test</w:t>
            </w:r>
          </w:p>
        </w:tc>
        <w:tc>
          <w:tcPr>
            <w:tcW w:w="2471" w:type="dxa"/>
          </w:tcPr>
          <w:p w:rsidR="003109A2" w:rsidRDefault="003109A2" w:rsidP="007579E9">
            <w:pPr>
              <w:rPr>
                <w:highlight w:val="white"/>
              </w:rPr>
            </w:pPr>
          </w:p>
        </w:tc>
      </w:tr>
      <w:tr w:rsidR="003109A2" w:rsidTr="007579E9">
        <w:tc>
          <w:tcPr>
            <w:tcW w:w="4928" w:type="dxa"/>
          </w:tcPr>
          <w:p w:rsidR="003109A2" w:rsidRDefault="003109A2" w:rsidP="007579E9">
            <w:pPr>
              <w:rPr>
                <w:highlight w:val="white"/>
              </w:rPr>
            </w:pPr>
            <w:r>
              <w:t>To be provided by Client</w:t>
            </w:r>
          </w:p>
        </w:tc>
        <w:tc>
          <w:tcPr>
            <w:tcW w:w="1843" w:type="dxa"/>
          </w:tcPr>
          <w:p w:rsidR="003109A2" w:rsidRDefault="003109A2" w:rsidP="007579E9">
            <w:pPr>
              <w:rPr>
                <w:highlight w:val="white"/>
              </w:rPr>
            </w:pPr>
            <w:r>
              <w:rPr>
                <w:highlight w:val="white"/>
              </w:rPr>
              <w:t>Pre-Production</w:t>
            </w:r>
          </w:p>
        </w:tc>
        <w:tc>
          <w:tcPr>
            <w:tcW w:w="2471" w:type="dxa"/>
          </w:tcPr>
          <w:p w:rsidR="003109A2" w:rsidRDefault="003109A2" w:rsidP="007579E9">
            <w:pPr>
              <w:rPr>
                <w:highlight w:val="white"/>
              </w:rPr>
            </w:pPr>
          </w:p>
        </w:tc>
      </w:tr>
      <w:tr w:rsidR="003109A2" w:rsidTr="007579E9">
        <w:tc>
          <w:tcPr>
            <w:tcW w:w="4928" w:type="dxa"/>
          </w:tcPr>
          <w:p w:rsidR="003109A2" w:rsidRDefault="003109A2" w:rsidP="007579E9">
            <w:pPr>
              <w:rPr>
                <w:highlight w:val="white"/>
              </w:rPr>
            </w:pPr>
            <w:r>
              <w:t>To be provided by Client</w:t>
            </w:r>
          </w:p>
        </w:tc>
        <w:tc>
          <w:tcPr>
            <w:tcW w:w="1843" w:type="dxa"/>
          </w:tcPr>
          <w:p w:rsidR="003109A2" w:rsidRDefault="003109A2" w:rsidP="007579E9">
            <w:pPr>
              <w:rPr>
                <w:highlight w:val="white"/>
              </w:rPr>
            </w:pPr>
            <w:r>
              <w:rPr>
                <w:highlight w:val="white"/>
              </w:rPr>
              <w:t>Production</w:t>
            </w:r>
          </w:p>
        </w:tc>
        <w:tc>
          <w:tcPr>
            <w:tcW w:w="2471" w:type="dxa"/>
          </w:tcPr>
          <w:p w:rsidR="003109A2" w:rsidRDefault="003109A2" w:rsidP="007579E9">
            <w:pPr>
              <w:rPr>
                <w:highlight w:val="white"/>
              </w:rPr>
            </w:pPr>
          </w:p>
        </w:tc>
      </w:tr>
    </w:tbl>
    <w:p w:rsidR="006E675D" w:rsidRDefault="006E675D">
      <w:pPr>
        <w:rPr>
          <w:highlight w:val="white"/>
        </w:rPr>
      </w:pPr>
    </w:p>
    <w:p w:rsidR="00086B65" w:rsidRDefault="00086B65">
      <w:pPr>
        <w:rPr>
          <w:highlight w:val="white"/>
        </w:rPr>
      </w:pPr>
      <w:r>
        <w:rPr>
          <w:highlight w:val="white"/>
        </w:rPr>
        <w:t xml:space="preserve">All </w:t>
      </w:r>
      <w:proofErr w:type="gramStart"/>
      <w:r>
        <w:rPr>
          <w:highlight w:val="white"/>
        </w:rPr>
        <w:t>client</w:t>
      </w:r>
      <w:proofErr w:type="gramEnd"/>
      <w:r>
        <w:rPr>
          <w:highlight w:val="white"/>
        </w:rPr>
        <w:t xml:space="preserve"> has to implement </w:t>
      </w:r>
      <w:proofErr w:type="spellStart"/>
      <w:r>
        <w:rPr>
          <w:highlight w:val="white"/>
        </w:rPr>
        <w:t>ISubscriberClient</w:t>
      </w:r>
      <w:proofErr w:type="spellEnd"/>
      <w:r>
        <w:rPr>
          <w:highlight w:val="white"/>
        </w:rPr>
        <w:t xml:space="preserve"> interface in order to receive document subscribed in CCN Service Bus.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281"/>
        <w:gridCol w:w="4881"/>
      </w:tblGrid>
      <w:tr w:rsidR="00387FD5" w:rsidTr="007579E9">
        <w:tc>
          <w:tcPr>
            <w:tcW w:w="3080" w:type="dxa"/>
            <w:shd w:val="clear" w:color="auto" w:fill="EEECE1" w:themeFill="background2"/>
          </w:tcPr>
          <w:p w:rsidR="00387FD5" w:rsidRPr="00376D9C" w:rsidRDefault="00387FD5" w:rsidP="007579E9">
            <w:pPr>
              <w:rPr>
                <w:b/>
              </w:rPr>
            </w:pPr>
            <w:r w:rsidRPr="00376D9C">
              <w:rPr>
                <w:b/>
              </w:rPr>
              <w:t>Element Name</w:t>
            </w:r>
          </w:p>
        </w:tc>
        <w:tc>
          <w:tcPr>
            <w:tcW w:w="1281" w:type="dxa"/>
            <w:shd w:val="clear" w:color="auto" w:fill="EEECE1" w:themeFill="background2"/>
          </w:tcPr>
          <w:p w:rsidR="00387FD5" w:rsidRPr="00376D9C" w:rsidRDefault="00387FD5" w:rsidP="007579E9">
            <w:pPr>
              <w:rPr>
                <w:b/>
              </w:rPr>
            </w:pPr>
            <w:r w:rsidRPr="00376D9C">
              <w:rPr>
                <w:b/>
              </w:rPr>
              <w:t>Type</w:t>
            </w:r>
          </w:p>
        </w:tc>
        <w:tc>
          <w:tcPr>
            <w:tcW w:w="4881" w:type="dxa"/>
            <w:shd w:val="clear" w:color="auto" w:fill="EEECE1" w:themeFill="background2"/>
          </w:tcPr>
          <w:p w:rsidR="00387FD5" w:rsidRPr="00376D9C" w:rsidRDefault="00387FD5" w:rsidP="007579E9">
            <w:pPr>
              <w:rPr>
                <w:b/>
              </w:rPr>
            </w:pPr>
            <w:r w:rsidRPr="00376D9C">
              <w:rPr>
                <w:b/>
              </w:rPr>
              <w:t>Remarks</w:t>
            </w:r>
          </w:p>
        </w:tc>
      </w:tr>
      <w:tr w:rsidR="00387FD5" w:rsidTr="007579E9">
        <w:tc>
          <w:tcPr>
            <w:tcW w:w="3080" w:type="dxa"/>
          </w:tcPr>
          <w:p w:rsidR="00387FD5" w:rsidRDefault="00387FD5" w:rsidP="007579E9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ISubscriberClient</w:t>
            </w:r>
            <w:proofErr w:type="spellEnd"/>
          </w:p>
        </w:tc>
        <w:tc>
          <w:tcPr>
            <w:tcW w:w="1281" w:type="dxa"/>
          </w:tcPr>
          <w:p w:rsidR="00387FD5" w:rsidRDefault="00387FD5" w:rsidP="007579E9">
            <w:pPr>
              <w:rPr>
                <w:highlight w:val="white"/>
              </w:rPr>
            </w:pPr>
            <w:r>
              <w:rPr>
                <w:highlight w:val="white"/>
              </w:rPr>
              <w:t>Interface</w:t>
            </w:r>
          </w:p>
        </w:tc>
        <w:tc>
          <w:tcPr>
            <w:tcW w:w="4881" w:type="dxa"/>
          </w:tcPr>
          <w:p w:rsidR="00387FD5" w:rsidRDefault="00387FD5" w:rsidP="007579E9">
            <w:pPr>
              <w:rPr>
                <w:highlight w:val="white"/>
              </w:rPr>
            </w:pPr>
            <w:r>
              <w:rPr>
                <w:highlight w:val="white"/>
              </w:rPr>
              <w:t>This is the interface library to be implemented by Client web service</w:t>
            </w:r>
          </w:p>
        </w:tc>
      </w:tr>
      <w:tr w:rsidR="00086B65" w:rsidTr="007579E9">
        <w:tc>
          <w:tcPr>
            <w:tcW w:w="3080" w:type="dxa"/>
          </w:tcPr>
          <w:p w:rsidR="00086B65" w:rsidRDefault="00086B65" w:rsidP="000D4D3A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ReceiveDocument</w:t>
            </w:r>
            <w:proofErr w:type="spellEnd"/>
          </w:p>
        </w:tc>
        <w:tc>
          <w:tcPr>
            <w:tcW w:w="1281" w:type="dxa"/>
          </w:tcPr>
          <w:p w:rsidR="00086B65" w:rsidRDefault="00086B65" w:rsidP="000D4D3A">
            <w:pPr>
              <w:rPr>
                <w:highlight w:val="white"/>
              </w:rPr>
            </w:pPr>
            <w:r>
              <w:rPr>
                <w:highlight w:val="white"/>
              </w:rPr>
              <w:t>Operation</w:t>
            </w:r>
          </w:p>
        </w:tc>
        <w:tc>
          <w:tcPr>
            <w:tcW w:w="4881" w:type="dxa"/>
          </w:tcPr>
          <w:p w:rsidR="00086B65" w:rsidRDefault="00086B65" w:rsidP="00086B65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ISubscriberClient</w:t>
            </w:r>
            <w:proofErr w:type="spellEnd"/>
            <w:r>
              <w:rPr>
                <w:highlight w:val="white"/>
              </w:rPr>
              <w:t xml:space="preserve"> operation which is used by CCN Service Bus to push subscribed document to client.</w:t>
            </w:r>
          </w:p>
        </w:tc>
      </w:tr>
      <w:tr w:rsidR="00086B65" w:rsidTr="007579E9">
        <w:tc>
          <w:tcPr>
            <w:tcW w:w="3080" w:type="dxa"/>
          </w:tcPr>
          <w:p w:rsidR="00086B65" w:rsidRDefault="00086B65" w:rsidP="007579E9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ccnDocument</w:t>
            </w:r>
            <w:proofErr w:type="spellEnd"/>
          </w:p>
        </w:tc>
        <w:tc>
          <w:tcPr>
            <w:tcW w:w="1281" w:type="dxa"/>
          </w:tcPr>
          <w:p w:rsidR="00086B65" w:rsidRDefault="00086B65" w:rsidP="007579E9">
            <w:pPr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4881" w:type="dxa"/>
          </w:tcPr>
          <w:p w:rsidR="00086B65" w:rsidRDefault="00086B65" w:rsidP="007579E9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ReceiveDocument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operation’s input parameter. There are many type of CCN Document formats, the supported types are listed in following sections of this document.</w:t>
            </w:r>
          </w:p>
          <w:p w:rsidR="00086B65" w:rsidRDefault="00086B65" w:rsidP="007579E9">
            <w:pPr>
              <w:rPr>
                <w:highlight w:val="white"/>
              </w:rPr>
            </w:pPr>
          </w:p>
          <w:p w:rsidR="00FF7841" w:rsidRDefault="00086B65" w:rsidP="00086B6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Typically, the type of CCN Document format received is pre-defined and agreed by both client and CCN. </w:t>
            </w:r>
          </w:p>
          <w:p w:rsidR="00FF7841" w:rsidRDefault="00FF7841" w:rsidP="00086B65">
            <w:pPr>
              <w:rPr>
                <w:highlight w:val="white"/>
              </w:rPr>
            </w:pPr>
          </w:p>
          <w:p w:rsidR="00086B65" w:rsidRDefault="00086B65" w:rsidP="00A469A6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Default </w:t>
            </w:r>
            <w:r w:rsidR="00FF7841">
              <w:rPr>
                <w:highlight w:val="white"/>
              </w:rPr>
              <w:t xml:space="preserve">format </w:t>
            </w:r>
            <w:r w:rsidR="00A469A6">
              <w:rPr>
                <w:highlight w:val="white"/>
              </w:rPr>
              <w:t>used is</w:t>
            </w:r>
            <w:r>
              <w:rPr>
                <w:highlight w:val="white"/>
              </w:rPr>
              <w:t xml:space="preserve"> CCN Application D</w:t>
            </w:r>
            <w:r w:rsidR="00FF7841">
              <w:rPr>
                <w:highlight w:val="white"/>
              </w:rPr>
              <w:t>ocument format, unless otherwise requested by client.</w:t>
            </w:r>
          </w:p>
        </w:tc>
      </w:tr>
      <w:tr w:rsidR="00086B65" w:rsidTr="007579E9">
        <w:tc>
          <w:tcPr>
            <w:tcW w:w="3080" w:type="dxa"/>
          </w:tcPr>
          <w:p w:rsidR="00086B65" w:rsidRDefault="00086B65" w:rsidP="007579E9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ErrorMessage</w:t>
            </w:r>
            <w:proofErr w:type="spellEnd"/>
          </w:p>
        </w:tc>
        <w:tc>
          <w:tcPr>
            <w:tcW w:w="1281" w:type="dxa"/>
          </w:tcPr>
          <w:p w:rsidR="00086B65" w:rsidRDefault="00086B65" w:rsidP="007579E9">
            <w:pPr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4881" w:type="dxa"/>
          </w:tcPr>
          <w:p w:rsidR="00086B65" w:rsidRDefault="00086B65" w:rsidP="007579E9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ReceiveDocument’s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response parameter, this response parameter contains error message returned </w:t>
            </w:r>
            <w:r>
              <w:rPr>
                <w:highlight w:val="white"/>
              </w:rPr>
              <w:t>by Client web service</w:t>
            </w:r>
            <w:r>
              <w:rPr>
                <w:highlight w:val="white"/>
              </w:rPr>
              <w:t>.</w:t>
            </w:r>
          </w:p>
          <w:p w:rsidR="00086B65" w:rsidRDefault="00086B65" w:rsidP="007579E9">
            <w:pPr>
              <w:rPr>
                <w:highlight w:val="white"/>
              </w:rPr>
            </w:pPr>
          </w:p>
          <w:p w:rsidR="00086B65" w:rsidRDefault="00086B65" w:rsidP="007579E9">
            <w:pPr>
              <w:rPr>
                <w:highlight w:val="white"/>
              </w:rPr>
            </w:pPr>
            <w:r>
              <w:rPr>
                <w:highlight w:val="white"/>
              </w:rPr>
              <w:t>If publish operation is successful, error message will contain empty string.</w:t>
            </w:r>
          </w:p>
          <w:p w:rsidR="00086B65" w:rsidRDefault="00086B65" w:rsidP="007579E9">
            <w:pPr>
              <w:rPr>
                <w:highlight w:val="white"/>
              </w:rPr>
            </w:pPr>
          </w:p>
        </w:tc>
        <w:bookmarkStart w:id="0" w:name="_GoBack"/>
        <w:bookmarkEnd w:id="0"/>
      </w:tr>
    </w:tbl>
    <w:p w:rsidR="00CE300E" w:rsidRDefault="00CE30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white"/>
        </w:rPr>
      </w:pPr>
      <w:r>
        <w:rPr>
          <w:highlight w:val="white"/>
        </w:rPr>
        <w:br w:type="page"/>
      </w:r>
    </w:p>
    <w:p w:rsidR="006164B3" w:rsidRDefault="00C2460A" w:rsidP="00CB551B">
      <w:pPr>
        <w:pStyle w:val="Heading2"/>
        <w:numPr>
          <w:ilvl w:val="0"/>
          <w:numId w:val="1"/>
        </w:numPr>
        <w:rPr>
          <w:highlight w:val="white"/>
        </w:rPr>
      </w:pPr>
      <w:r w:rsidRPr="00C2460A">
        <w:rPr>
          <w:highlight w:val="white"/>
        </w:rPr>
        <w:lastRenderedPageBreak/>
        <w:t xml:space="preserve">CCN </w:t>
      </w:r>
      <w:r w:rsidR="001C6B58">
        <w:rPr>
          <w:highlight w:val="white"/>
        </w:rPr>
        <w:t xml:space="preserve">Application </w:t>
      </w:r>
      <w:r w:rsidRPr="00C2460A">
        <w:rPr>
          <w:highlight w:val="white"/>
        </w:rPr>
        <w:t>Document Specification</w:t>
      </w:r>
    </w:p>
    <w:p w:rsidR="00304E90" w:rsidRDefault="00304E90" w:rsidP="0050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</w:p>
    <w:p w:rsidR="00304E90" w:rsidRPr="00CB551B" w:rsidRDefault="00304E90" w:rsidP="00304E9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CB551B">
        <w:rPr>
          <w:rFonts w:cs="Consolas"/>
          <w:color w:val="000000"/>
          <w:highlight w:val="white"/>
        </w:rPr>
        <w:t xml:space="preserve">This is </w:t>
      </w:r>
      <w:r w:rsidR="009F4DF0">
        <w:rPr>
          <w:rFonts w:cs="Consolas"/>
          <w:color w:val="000000"/>
          <w:highlight w:val="white"/>
        </w:rPr>
        <w:t>the default</w:t>
      </w:r>
      <w:r w:rsidR="00684A8A">
        <w:rPr>
          <w:rFonts w:cs="Consolas"/>
          <w:color w:val="000000"/>
          <w:highlight w:val="white"/>
        </w:rPr>
        <w:t xml:space="preserve"> and recommended</w:t>
      </w:r>
      <w:r w:rsidRPr="00CB551B">
        <w:rPr>
          <w:rFonts w:cs="Consolas"/>
          <w:color w:val="000000"/>
          <w:highlight w:val="white"/>
        </w:rPr>
        <w:t xml:space="preserve"> document format for </w:t>
      </w:r>
      <w:r w:rsidR="00CB551B" w:rsidRPr="00CB551B">
        <w:rPr>
          <w:rFonts w:cs="Consolas"/>
          <w:color w:val="000000"/>
          <w:highlight w:val="white"/>
        </w:rPr>
        <w:t xml:space="preserve">all </w:t>
      </w:r>
      <w:r w:rsidRPr="00CB551B">
        <w:rPr>
          <w:rFonts w:cs="Consolas"/>
          <w:color w:val="000000"/>
          <w:highlight w:val="white"/>
        </w:rPr>
        <w:t xml:space="preserve">CCN Application to publish document to CCN Service Bus. </w:t>
      </w:r>
      <w:r w:rsidR="00684A8A">
        <w:rPr>
          <w:rFonts w:cs="Consolas"/>
          <w:color w:val="000000"/>
          <w:highlight w:val="white"/>
        </w:rPr>
        <w:t xml:space="preserve">Application is required to serialise this </w:t>
      </w:r>
      <w:r w:rsidR="00684A8A">
        <w:rPr>
          <w:highlight w:val="white"/>
        </w:rPr>
        <w:t>d</w:t>
      </w:r>
      <w:r w:rsidR="00684A8A">
        <w:rPr>
          <w:highlight w:val="white"/>
        </w:rPr>
        <w:t xml:space="preserve">ocument structure </w:t>
      </w:r>
      <w:r w:rsidR="00684A8A">
        <w:rPr>
          <w:highlight w:val="white"/>
        </w:rPr>
        <w:t xml:space="preserve">into </w:t>
      </w:r>
      <w:r w:rsidR="00684A8A">
        <w:rPr>
          <w:highlight w:val="white"/>
        </w:rPr>
        <w:t>JSON Format</w:t>
      </w:r>
      <w:r w:rsidR="00684A8A">
        <w:rPr>
          <w:highlight w:val="white"/>
        </w:rPr>
        <w:t xml:space="preserve"> before publishing to CCN </w:t>
      </w:r>
      <w:proofErr w:type="spellStart"/>
      <w:r w:rsidR="00684A8A">
        <w:rPr>
          <w:highlight w:val="white"/>
        </w:rPr>
        <w:t>ServiceBus</w:t>
      </w:r>
      <w:proofErr w:type="spellEnd"/>
      <w:r w:rsidR="00684A8A">
        <w:rPr>
          <w:highlight w:val="white"/>
        </w:rPr>
        <w:t>.</w:t>
      </w:r>
    </w:p>
    <w:p w:rsidR="00304E90" w:rsidRDefault="00304E90" w:rsidP="0050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</w:p>
    <w:tbl>
      <w:tblPr>
        <w:tblStyle w:val="TableGrid"/>
        <w:tblpPr w:leftFromText="181" w:rightFromText="181" w:vertAnchor="text" w:horzAnchor="margin" w:tblpY="1"/>
        <w:tblW w:w="9464" w:type="dxa"/>
        <w:tblLook w:val="04A0" w:firstRow="1" w:lastRow="0" w:firstColumn="1" w:lastColumn="0" w:noHBand="0" w:noVBand="1"/>
      </w:tblPr>
      <w:tblGrid>
        <w:gridCol w:w="2943"/>
        <w:gridCol w:w="1701"/>
        <w:gridCol w:w="4820"/>
      </w:tblGrid>
      <w:tr w:rsidR="00CB551B" w:rsidRPr="00C06B87" w:rsidTr="00CB551B">
        <w:tc>
          <w:tcPr>
            <w:tcW w:w="2943" w:type="dxa"/>
            <w:shd w:val="clear" w:color="auto" w:fill="F2F2F2" w:themeFill="background1" w:themeFillShade="F2"/>
          </w:tcPr>
          <w:p w:rsidR="00304E90" w:rsidRPr="00CB551B" w:rsidRDefault="00304E90" w:rsidP="00CB551B">
            <w:pPr>
              <w:tabs>
                <w:tab w:val="center" w:pos="1363"/>
              </w:tabs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color w:val="000000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b/>
                <w:szCs w:val="19"/>
              </w:rPr>
              <w:t>Field</w:t>
            </w:r>
            <w:r w:rsidR="00CB551B" w:rsidRPr="00CB551B">
              <w:rPr>
                <w:rFonts w:asciiTheme="majorHAnsi" w:hAnsiTheme="majorHAnsi" w:cs="Consolas"/>
                <w:b/>
                <w:color w:val="000000"/>
                <w:szCs w:val="19"/>
              </w:rPr>
              <w:tab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color w:val="000000"/>
                <w:szCs w:val="19"/>
              </w:rPr>
            </w:pPr>
            <w:r w:rsidRPr="00CB551B">
              <w:rPr>
                <w:rFonts w:asciiTheme="majorHAnsi" w:hAnsiTheme="majorHAnsi" w:cs="Consolas"/>
                <w:b/>
                <w:color w:val="000000"/>
                <w:szCs w:val="19"/>
              </w:rPr>
              <w:t>Format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color w:val="000000"/>
                <w:szCs w:val="19"/>
              </w:rPr>
            </w:pPr>
            <w:r w:rsidRPr="00CB551B">
              <w:rPr>
                <w:rFonts w:asciiTheme="majorHAnsi" w:hAnsiTheme="majorHAnsi" w:cs="Consolas"/>
                <w:b/>
                <w:color w:val="000000"/>
                <w:szCs w:val="19"/>
              </w:rPr>
              <w:t>Remark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i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b/>
                <w:i/>
                <w:color w:val="000000"/>
                <w:sz w:val="19"/>
                <w:szCs w:val="19"/>
                <w:highlight w:val="white"/>
              </w:rPr>
              <w:t>Sender Section</w:t>
            </w:r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MyCompanyID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M(50)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Company registered ID in LINC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MyCompanyCity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M(3)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City code of registered company in LINC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MyEmailAddress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O(50)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Email address of sender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MyProductID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M(50)</w:t>
            </w:r>
          </w:p>
        </w:tc>
        <w:tc>
          <w:tcPr>
            <w:tcW w:w="4820" w:type="dxa"/>
          </w:tcPr>
          <w:p w:rsidR="00304E90" w:rsidRPr="00CB551B" w:rsidRDefault="001C6B58" w:rsidP="001C6B58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 xml:space="preserve">Registered product/application </w:t>
            </w:r>
            <w:r w:rsidR="00304E90"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 xml:space="preserve">in LINC </w:t>
            </w:r>
            <w:r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that publish this document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i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b/>
                <w:i/>
                <w:color w:val="000000"/>
                <w:sz w:val="19"/>
                <w:szCs w:val="19"/>
                <w:highlight w:val="white"/>
              </w:rPr>
              <w:t>Recipient Section</w:t>
            </w:r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Collection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Can have up to 10 recipient sections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MyContactPartyID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M(50)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Party ID that exist in Sender CAB</w:t>
            </w:r>
          </w:p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 xml:space="preserve">For connecting to Airline, use IATA Carrier Code, e.g. “SQ, MH, QF” </w:t>
            </w: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etc</w:t>
            </w:r>
            <w:proofErr w:type="spellEnd"/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MyContactCompanyName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M(200)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Read Only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MyContactEmailAddress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M(50)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Email address of recipient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MyContactProductID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O(50)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Recipient Product ID that subscribe</w:t>
            </w:r>
          </w:p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For connecting to Airline, default to “AIR”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i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b/>
                <w:i/>
                <w:color w:val="000000"/>
                <w:sz w:val="19"/>
                <w:szCs w:val="19"/>
                <w:highlight w:val="white"/>
              </w:rPr>
              <w:t>Document Information</w:t>
            </w:r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04E90" w:rsidTr="00304E90">
        <w:tc>
          <w:tcPr>
            <w:tcW w:w="2943" w:type="dxa"/>
          </w:tcPr>
          <w:p w:rsidR="00304E90" w:rsidRPr="00CB551B" w:rsidRDefault="005468F8" w:rsidP="005468F8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DocumentID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O(50)</w:t>
            </w:r>
          </w:p>
        </w:tc>
        <w:tc>
          <w:tcPr>
            <w:tcW w:w="4820" w:type="dxa"/>
          </w:tcPr>
          <w:p w:rsidR="00304E90" w:rsidRPr="00CB551B" w:rsidRDefault="005468F8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 xml:space="preserve">Read Only. </w:t>
            </w:r>
            <w:r w:rsidR="00304E90"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Unique Document ID in CCN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DocumentType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M(20)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Registered document type to exchange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DocumentReference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O(250)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i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i/>
                <w:color w:val="000000"/>
                <w:sz w:val="19"/>
                <w:szCs w:val="19"/>
                <w:highlight w:val="white"/>
              </w:rPr>
              <w:t>DocumentKeyValue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Collection O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Can have up to 50 key values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Key</w:t>
            </w:r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M(100)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Key fields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Value</w:t>
            </w:r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M(100)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Value relating to the key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i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i/>
                <w:color w:val="000000"/>
                <w:sz w:val="19"/>
                <w:szCs w:val="19"/>
                <w:highlight w:val="white"/>
              </w:rPr>
              <w:t>DocumentTag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Collection O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Can have up to 50 tags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Value</w:t>
            </w:r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String M(250)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Tag value</w:t>
            </w:r>
          </w:p>
        </w:tc>
      </w:tr>
      <w:tr w:rsidR="00304E90" w:rsidTr="00304E90">
        <w:tc>
          <w:tcPr>
            <w:tcW w:w="2943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DocumentBody</w:t>
            </w:r>
            <w:proofErr w:type="spellEnd"/>
          </w:p>
        </w:tc>
        <w:tc>
          <w:tcPr>
            <w:tcW w:w="1701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Byte[] M</w:t>
            </w:r>
          </w:p>
        </w:tc>
        <w:tc>
          <w:tcPr>
            <w:tcW w:w="4820" w:type="dxa"/>
          </w:tcPr>
          <w:p w:rsidR="00304E90" w:rsidRPr="00CB551B" w:rsidRDefault="00304E90" w:rsidP="00304E9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</w:pPr>
            <w:r w:rsidRPr="00CB551B">
              <w:rPr>
                <w:rFonts w:asciiTheme="majorHAnsi" w:hAnsiTheme="majorHAnsi" w:cs="Consolas"/>
                <w:color w:val="000000"/>
                <w:sz w:val="19"/>
                <w:szCs w:val="19"/>
                <w:highlight w:val="white"/>
              </w:rPr>
              <w:t>Document converted to byte array</w:t>
            </w:r>
          </w:p>
        </w:tc>
      </w:tr>
    </w:tbl>
    <w:p w:rsidR="00304E90" w:rsidRPr="00304E90" w:rsidRDefault="00304E90" w:rsidP="0030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sectPr w:rsidR="00304E90" w:rsidRPr="00304E90" w:rsidSect="00CB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EA7" w:rsidRDefault="00AA6EA7" w:rsidP="006164B3">
      <w:pPr>
        <w:spacing w:after="0" w:line="240" w:lineRule="auto"/>
      </w:pPr>
      <w:r>
        <w:separator/>
      </w:r>
    </w:p>
  </w:endnote>
  <w:endnote w:type="continuationSeparator" w:id="0">
    <w:p w:rsidR="00AA6EA7" w:rsidRDefault="00AA6EA7" w:rsidP="0061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EA7" w:rsidRDefault="00AA6EA7" w:rsidP="006164B3">
      <w:pPr>
        <w:spacing w:after="0" w:line="240" w:lineRule="auto"/>
      </w:pPr>
      <w:r>
        <w:separator/>
      </w:r>
    </w:p>
  </w:footnote>
  <w:footnote w:type="continuationSeparator" w:id="0">
    <w:p w:rsidR="00AA6EA7" w:rsidRDefault="00AA6EA7" w:rsidP="00616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12A09"/>
    <w:multiLevelType w:val="hybridMultilevel"/>
    <w:tmpl w:val="8B08566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5D"/>
    <w:rsid w:val="000153CC"/>
    <w:rsid w:val="00061843"/>
    <w:rsid w:val="00073354"/>
    <w:rsid w:val="00086B65"/>
    <w:rsid w:val="000A6A6D"/>
    <w:rsid w:val="000D34D5"/>
    <w:rsid w:val="00100A39"/>
    <w:rsid w:val="0016679A"/>
    <w:rsid w:val="001B671F"/>
    <w:rsid w:val="001C6B58"/>
    <w:rsid w:val="001E2B31"/>
    <w:rsid w:val="00251EC0"/>
    <w:rsid w:val="002E359D"/>
    <w:rsid w:val="002F17B2"/>
    <w:rsid w:val="0030331F"/>
    <w:rsid w:val="00304E90"/>
    <w:rsid w:val="003109A2"/>
    <w:rsid w:val="00310ABC"/>
    <w:rsid w:val="00316FA6"/>
    <w:rsid w:val="003256C3"/>
    <w:rsid w:val="0033617B"/>
    <w:rsid w:val="00337080"/>
    <w:rsid w:val="00376D9C"/>
    <w:rsid w:val="00387FD5"/>
    <w:rsid w:val="003D4AAF"/>
    <w:rsid w:val="003D504E"/>
    <w:rsid w:val="003E6585"/>
    <w:rsid w:val="003F713D"/>
    <w:rsid w:val="00415C6C"/>
    <w:rsid w:val="00467E9B"/>
    <w:rsid w:val="00486665"/>
    <w:rsid w:val="00505D5D"/>
    <w:rsid w:val="005468F8"/>
    <w:rsid w:val="00552D51"/>
    <w:rsid w:val="0058451E"/>
    <w:rsid w:val="005847DC"/>
    <w:rsid w:val="005A4548"/>
    <w:rsid w:val="005B50B5"/>
    <w:rsid w:val="005C16A2"/>
    <w:rsid w:val="006009B0"/>
    <w:rsid w:val="006164B3"/>
    <w:rsid w:val="00684A8A"/>
    <w:rsid w:val="00693D43"/>
    <w:rsid w:val="006D31A2"/>
    <w:rsid w:val="006E675D"/>
    <w:rsid w:val="006F458A"/>
    <w:rsid w:val="00745FC9"/>
    <w:rsid w:val="0075171E"/>
    <w:rsid w:val="007B1F0E"/>
    <w:rsid w:val="007C1350"/>
    <w:rsid w:val="007D7F28"/>
    <w:rsid w:val="00820B05"/>
    <w:rsid w:val="008A0B2F"/>
    <w:rsid w:val="008A6A30"/>
    <w:rsid w:val="009415FF"/>
    <w:rsid w:val="009425E2"/>
    <w:rsid w:val="00957827"/>
    <w:rsid w:val="009628B0"/>
    <w:rsid w:val="00964F58"/>
    <w:rsid w:val="00982AB1"/>
    <w:rsid w:val="009838E4"/>
    <w:rsid w:val="009D59D8"/>
    <w:rsid w:val="009F4DF0"/>
    <w:rsid w:val="00A4069E"/>
    <w:rsid w:val="00A469A6"/>
    <w:rsid w:val="00A766B5"/>
    <w:rsid w:val="00A822AF"/>
    <w:rsid w:val="00AA6EA7"/>
    <w:rsid w:val="00B05689"/>
    <w:rsid w:val="00B42275"/>
    <w:rsid w:val="00B61639"/>
    <w:rsid w:val="00B72F4C"/>
    <w:rsid w:val="00BE637A"/>
    <w:rsid w:val="00BF19F7"/>
    <w:rsid w:val="00BF3D97"/>
    <w:rsid w:val="00C06B87"/>
    <w:rsid w:val="00C2460A"/>
    <w:rsid w:val="00CB551B"/>
    <w:rsid w:val="00CE300E"/>
    <w:rsid w:val="00CE5372"/>
    <w:rsid w:val="00CF5DC4"/>
    <w:rsid w:val="00DB0917"/>
    <w:rsid w:val="00E143FE"/>
    <w:rsid w:val="00E44605"/>
    <w:rsid w:val="00E85F33"/>
    <w:rsid w:val="00EC427C"/>
    <w:rsid w:val="00ED2603"/>
    <w:rsid w:val="00EE4407"/>
    <w:rsid w:val="00FD300A"/>
    <w:rsid w:val="00FE3032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B3"/>
  </w:style>
  <w:style w:type="paragraph" w:styleId="Footer">
    <w:name w:val="footer"/>
    <w:basedOn w:val="Normal"/>
    <w:link w:val="FooterChar"/>
    <w:uiPriority w:val="99"/>
    <w:unhideWhenUsed/>
    <w:rsid w:val="0061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B3"/>
  </w:style>
  <w:style w:type="character" w:styleId="Hyperlink">
    <w:name w:val="Hyperlink"/>
    <w:basedOn w:val="DefaultParagraphFont"/>
    <w:uiPriority w:val="99"/>
    <w:semiHidden/>
    <w:unhideWhenUsed/>
    <w:rsid w:val="00304E90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5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B3"/>
  </w:style>
  <w:style w:type="paragraph" w:styleId="Footer">
    <w:name w:val="footer"/>
    <w:basedOn w:val="Normal"/>
    <w:link w:val="FooterChar"/>
    <w:uiPriority w:val="99"/>
    <w:unhideWhenUsed/>
    <w:rsid w:val="0061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B3"/>
  </w:style>
  <w:style w:type="character" w:styleId="Hyperlink">
    <w:name w:val="Hyperlink"/>
    <w:basedOn w:val="DefaultParagraphFont"/>
    <w:uiPriority w:val="99"/>
    <w:semiHidden/>
    <w:unhideWhenUsed/>
    <w:rsid w:val="00304E90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5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368D-D730-401F-9907-9B4E6C16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Ket Kiong</dc:creator>
  <cp:lastModifiedBy>Su Ket Kiong</cp:lastModifiedBy>
  <cp:revision>13</cp:revision>
  <dcterms:created xsi:type="dcterms:W3CDTF">2014-11-19T13:38:00Z</dcterms:created>
  <dcterms:modified xsi:type="dcterms:W3CDTF">2014-11-19T13:59:00Z</dcterms:modified>
</cp:coreProperties>
</file>