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F172A"/>
          <w:sz w:val="58"/>
        </w:rPr>
        <w:t>OLIST DATA PLATFORM</w:t>
      </w:r>
    </w:p>
    <w:p>
      <w:pPr>
        <w:jc w:val="center"/>
      </w:pPr>
      <w:r>
        <w:rPr>
          <w:color w:val="1E3A5F"/>
          <w:sz w:val="34"/>
        </w:rPr>
        <w:t>Full-Stack Data Platform: Lakehouse to Power BI</w:t>
      </w:r>
    </w:p>
    <w:p>
      <w:pPr>
        <w:jc w:val="center"/>
      </w:pPr>
      <w:r>
        <w:rPr>
          <w:b/>
          <w:color w:val="475569"/>
          <w:sz w:val="26"/>
        </w:rPr>
        <w:t>Project Documentation</w:t>
      </w:r>
    </w:p>
    <w:p>
      <w:pPr>
        <w:spacing w:after="320"/>
      </w:pPr>
    </w:p>
    <w:tbl>
      <w:tblPr>
        <w:tblStyle w:val="TableGrid"/>
        <w:tblW w:type="auto" w:w="0"/>
        <w:jc w:val="center"/>
        <w:tblLook w:firstColumn="1" w:firstRow="1" w:lastColumn="0" w:lastRow="0" w:noHBand="0" w:noVBand="1" w:val="04A0"/>
      </w:tblPr>
      <w:tblGrid>
        <w:gridCol w:w="5112"/>
        <w:gridCol w:w="5112"/>
      </w:tblGrid>
      <w:tr>
        <w:tc>
          <w:tcPr>
            <w:tcW w:type="dxa" w:w="5112"/>
            <w:shd w:fill="E2E8F0"/>
            <w:tcMar>
              <w:top w:w="120" w:type="dxa"/>
              <w:start w:w="140" w:type="dxa"/>
              <w:bottom w:w="120" w:type="dxa"/>
              <w:end w:w="140" w:type="dxa"/>
            </w:tcMar>
          </w:tcPr>
          <w:p>
            <w:r>
              <w:rPr>
                <w:b/>
                <w:sz w:val="18"/>
              </w:rPr>
              <w:t>Technology</w:t>
            </w:r>
          </w:p>
        </w:tc>
        <w:tc>
          <w:tcPr>
            <w:tcW w:type="dxa" w:w="5112"/>
            <w:shd w:fill="F8FAFC"/>
            <w:tcMar>
              <w:top w:w="120" w:type="dxa"/>
              <w:start w:w="140" w:type="dxa"/>
              <w:bottom w:w="120" w:type="dxa"/>
              <w:end w:w="140" w:type="dxa"/>
            </w:tcMar>
          </w:tcPr>
          <w:p>
            <w:r>
              <w:rPr>
                <w:sz w:val="18"/>
              </w:rPr>
              <w:t>Databricks | PySpark | Delta Lake | Unity Catalog | Power BI | GitHub Actions | PySpark ML</w:t>
            </w:r>
          </w:p>
        </w:tc>
      </w:tr>
      <w:tr>
        <w:tc>
          <w:tcPr>
            <w:tcW w:type="dxa" w:w="5112"/>
            <w:shd w:fill="E2E8F0"/>
            <w:tcMar>
              <w:top w:w="120" w:type="dxa"/>
              <w:start w:w="140" w:type="dxa"/>
              <w:bottom w:w="120" w:type="dxa"/>
              <w:end w:w="140" w:type="dxa"/>
            </w:tcMar>
          </w:tcPr>
          <w:p>
            <w:r>
              <w:rPr>
                <w:b/>
                <w:sz w:val="18"/>
              </w:rPr>
              <w:t>Repository</w:t>
            </w:r>
          </w:p>
        </w:tc>
        <w:tc>
          <w:tcPr>
            <w:tcW w:type="dxa" w:w="5112"/>
            <w:shd w:fill="F8FAFC"/>
            <w:tcMar>
              <w:top w:w="120" w:type="dxa"/>
              <w:start w:w="140" w:type="dxa"/>
              <w:bottom w:w="120" w:type="dxa"/>
              <w:end w:w="140" w:type="dxa"/>
            </w:tcMar>
          </w:tcPr>
          <w:p>
            <w:r>
              <w:rPr>
                <w:sz w:val="18"/>
              </w:rPr>
              <w:t>github.com/goldenFlori/olist-data-platform</w:t>
            </w:r>
          </w:p>
        </w:tc>
      </w:tr>
      <w:tr>
        <w:tc>
          <w:tcPr>
            <w:tcW w:type="dxa" w:w="5112"/>
            <w:shd w:fill="E2E8F0"/>
            <w:tcMar>
              <w:top w:w="120" w:type="dxa"/>
              <w:start w:w="140" w:type="dxa"/>
              <w:bottom w:w="120" w:type="dxa"/>
              <w:end w:w="140" w:type="dxa"/>
            </w:tcMar>
          </w:tcPr>
          <w:p>
            <w:r>
              <w:rPr>
                <w:b/>
                <w:sz w:val="18"/>
              </w:rPr>
              <w:t>Dataset</w:t>
            </w:r>
          </w:p>
        </w:tc>
        <w:tc>
          <w:tcPr>
            <w:tcW w:type="dxa" w:w="5112"/>
            <w:shd w:fill="F8FAFC"/>
            <w:tcMar>
              <w:top w:w="120" w:type="dxa"/>
              <w:start w:w="140" w:type="dxa"/>
              <w:bottom w:w="120" w:type="dxa"/>
              <w:end w:w="140" w:type="dxa"/>
            </w:tcMar>
          </w:tcPr>
          <w:p>
            <w:r>
              <w:rPr>
                <w:sz w:val="18"/>
              </w:rPr>
              <w:t>Brazilian E-Commerce Public Dataset by Olist</w:t>
            </w:r>
          </w:p>
        </w:tc>
      </w:tr>
      <w:tr>
        <w:tc>
          <w:tcPr>
            <w:tcW w:type="dxa" w:w="5112"/>
            <w:shd w:fill="E2E8F0"/>
            <w:tcMar>
              <w:top w:w="120" w:type="dxa"/>
              <w:start w:w="140" w:type="dxa"/>
              <w:bottom w:w="120" w:type="dxa"/>
              <w:end w:w="140" w:type="dxa"/>
            </w:tcMar>
          </w:tcPr>
          <w:p>
            <w:r>
              <w:rPr>
                <w:b/>
                <w:sz w:val="18"/>
              </w:rPr>
              <w:t>Date</w:t>
            </w:r>
          </w:p>
        </w:tc>
        <w:tc>
          <w:tcPr>
            <w:tcW w:type="dxa" w:w="5112"/>
            <w:shd w:fill="F8FAFC"/>
            <w:tcMar>
              <w:top w:w="120" w:type="dxa"/>
              <w:start w:w="140" w:type="dxa"/>
              <w:bottom w:w="120" w:type="dxa"/>
              <w:end w:w="140" w:type="dxa"/>
            </w:tcMar>
          </w:tcPr>
          <w:p>
            <w:r>
              <w:rPr>
                <w:sz w:val="18"/>
              </w:rPr>
              <w:t>September 2026</w:t>
            </w:r>
          </w:p>
        </w:tc>
      </w:tr>
    </w:tbl>
    <w:p>
      <w:pPr>
        <w:spacing w:after="160"/>
      </w:pPr>
    </w:p>
    <w:p>
      <w:pPr>
        <w:jc w:val="center"/>
      </w:pPr>
      <w:r>
        <w:rPr>
          <w:color w:val="475569"/>
          <w:sz w:val="18"/>
        </w:rPr>
        <w:t>Scope: medallion lakehouse, ingestion, data quality, dimensional modeling, orchestration, incremental loading, Power BI, performance, governance, CI, and ML scoring.</w:t>
      </w:r>
    </w:p>
    <w:p>
      <w:r>
        <w:br w:type="page"/>
      </w:r>
    </w:p>
    <w:p>
      <w:pPr>
        <w:pStyle w:val="Heading1"/>
        <w:keepNext/>
        <w:keepNext/>
      </w:pPr>
      <w:r>
        <w:t>Contents</w:t>
      </w:r>
    </w:p>
    <w:p>
      <w:pPr>
        <w:pStyle w:val="ListBullet"/>
      </w:pPr>
      <w:r>
        <w:t>1. Executive summary</w:t>
      </w:r>
    </w:p>
    <w:p>
      <w:pPr>
        <w:pStyle w:val="ListBullet"/>
      </w:pPr>
      <w:r>
        <w:t>2. Architecture</w:t>
      </w:r>
    </w:p>
    <w:p>
      <w:pPr>
        <w:pStyle w:val="ListBullet"/>
      </w:pPr>
      <w:r>
        <w:t>3. Bronze ingestion and Auto Loader</w:t>
      </w:r>
    </w:p>
    <w:p>
      <w:pPr>
        <w:pStyle w:val="ListBullet"/>
      </w:pPr>
      <w:r>
        <w:t>4. Silver cleaning and data quality findings</w:t>
      </w:r>
    </w:p>
    <w:p>
      <w:pPr>
        <w:pStyle w:val="ListBullet"/>
      </w:pPr>
      <w:r>
        <w:t>5. Gold dimensional model</w:t>
      </w:r>
    </w:p>
    <w:p>
      <w:pPr>
        <w:pStyle w:val="ListBullet"/>
      </w:pPr>
      <w:r>
        <w:t>6. Orchestration, incremental loads, and the DQ gate</w:t>
      </w:r>
    </w:p>
    <w:p>
      <w:pPr>
        <w:pStyle w:val="ListBullet"/>
      </w:pPr>
      <w:r>
        <w:t>7. Power BI semantic model and report</w:t>
      </w:r>
    </w:p>
    <w:p>
      <w:pPr>
        <w:pStyle w:val="ListBullet"/>
      </w:pPr>
      <w:r>
        <w:t>8. Performance work</w:t>
      </w:r>
    </w:p>
    <w:p>
      <w:pPr>
        <w:pStyle w:val="ListBullet"/>
      </w:pPr>
      <w:r>
        <w:t>9. Bonus work</w:t>
      </w:r>
    </w:p>
    <w:p>
      <w:pPr>
        <w:pStyle w:val="ListBullet"/>
      </w:pPr>
      <w:r>
        <w:t>10. Challenges and lessons learned</w:t>
      </w:r>
    </w:p>
    <w:p>
      <w:pPr>
        <w:pStyle w:val="ListBullet"/>
      </w:pPr>
      <w:r>
        <w:t>11. Reproducibility / runbook</w:t>
      </w:r>
    </w:p>
    <w:p>
      <w:pPr>
        <w:pStyle w:val="ListBullet"/>
      </w:pPr>
      <w:r>
        <w:t>12. Submission summary</w:t>
      </w:r>
    </w:p>
    <w:p>
      <w:r>
        <w:br w:type="page"/>
      </w:r>
    </w:p>
    <w:p>
      <w:pPr>
        <w:pStyle w:val="Heading1"/>
        <w:keepNext/>
        <w:keepNext/>
      </w:pPr>
      <w:r>
        <w:t>1. Executive summary</w:t>
      </w:r>
    </w:p>
    <w:p>
      <w:r>
        <w:t>This project implements an end-to-end analytical data platform for the Brazilian E-Commerce Public Dataset by Olist. Nine raw CSV files are ingested into a governed Databricks lakehouse, cleaned and validated through a medallion architecture, modeled into a multi-fact Gold layer, orchestrated with explicit dependencies and incremental controls, optimized with Delta operations, and served to Power BI.</w:t>
      </w:r>
    </w:p>
    <w:p>
      <w:r>
        <w:t>The base solution covers Bronze, Silver, Gold, orchestration, incremental processing, data quality, a Power BI semantic model, a multi-page report, and backend performance optimization. Four bonus items are complete and one is partially implemented relative to the exact wording of the exercise:</w:t>
      </w:r>
    </w:p>
    <w:p>
      <w:pPr>
        <w:pStyle w:val="ListBullet"/>
      </w:pPr>
      <w:r>
        <w:t>Bonus 1 - Auto Loader / Structured Streaming: complete.</w:t>
      </w:r>
    </w:p>
    <w:p>
      <w:pPr>
        <w:pStyle w:val="ListBullet"/>
      </w:pPr>
      <w:r>
        <w:t>Bonus 2 - Databricks Asset Bundle + GitHub Actions CI validation: complete.</w:t>
      </w:r>
    </w:p>
    <w:p>
      <w:pPr>
        <w:pStyle w:val="ListBullet"/>
      </w:pPr>
      <w:r>
        <w:t>Bonus 3 - Unity Catalog lakehouse row-level security: complete.</w:t>
      </w:r>
    </w:p>
    <w:p>
      <w:pPr>
        <w:pStyle w:val="ListBullet"/>
      </w:pPr>
      <w:r>
        <w:t>Bonus 4 - Import + DirectQuery reports: implemented, but the formal refresh/query/model-size comparison was not performed.</w:t>
      </w:r>
    </w:p>
    <w:p>
      <w:pPr>
        <w:pStyle w:val="ListBullet"/>
      </w:pPr>
      <w:r>
        <w:t>Bonus 5 - ML delivery-delay output in Gold and Power BI: complete.</w:t>
      </w:r>
    </w:p>
    <w:p>
      <w:pPr>
        <w:pStyle w:val="Heading1"/>
        <w:keepNext/>
        <w:keepNext/>
      </w:pPr>
      <w:r>
        <w:t>2. Architecture</w:t>
      </w:r>
    </w:p>
    <w:p>
      <w:pPr>
        <w:jc w:val="center"/>
      </w:pPr>
      <w:r>
        <w:drawing>
          <wp:inline xmlns:a="http://schemas.openxmlformats.org/drawingml/2006/main" xmlns:pic="http://schemas.openxmlformats.org/drawingml/2006/picture">
            <wp:extent cx="6309360" cy="217188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2171881"/>
                    </a:xfrm>
                    <a:prstGeom prst="rect"/>
                  </pic:spPr>
                </pic:pic>
              </a:graphicData>
            </a:graphic>
          </wp:inline>
        </w:drawing>
      </w:r>
    </w:p>
    <w:p>
      <w:pPr>
        <w:spacing w:after="160"/>
        <w:jc w:val="center"/>
      </w:pPr>
      <w:r>
        <w:rPr>
          <w:i/>
          <w:color w:val="475569"/>
          <w:sz w:val="17"/>
        </w:rPr>
        <w:t>Figure 1. End-to-end Databricks lakehouse and reporting architecture.</w:t>
      </w:r>
    </w:p>
    <w:p>
      <w:r>
        <w:t>The platform follows a medallion architecture with Unity Catalog governance and Delta Lake storage.</w:t>
      </w:r>
    </w:p>
    <w:tbl>
      <w:tblPr>
        <w:tblW w:type="auto" w:w="0"/>
        <w:jc w:val="center"/>
        <w:tblLook w:firstColumn="1" w:firstRow="1" w:lastColumn="0" w:lastRow="0" w:noHBand="0" w:noVBand="1" w:val="04A0"/>
      </w:tblPr>
      <w:tblGrid>
        <w:gridCol w:w="10224"/>
      </w:tblGrid>
      <w:tr>
        <w:tc>
          <w:tcPr>
            <w:tcW w:type="dxa" w:w="10224"/>
            <w:shd w:fill="F1F5F9"/>
            <w:tcMar>
              <w:top w:w="120" w:type="dxa"/>
              <w:start w:w="140" w:type="dxa"/>
              <w:bottom w:w="120" w:type="dxa"/>
              <w:end w:w="140" w:type="dxa"/>
            </w:tcMar>
          </w:tcPr>
          <w:p>
            <w:pPr>
              <w:spacing w:after="0"/>
            </w:pPr>
            <w:r>
              <w:rPr>
                <w:rFonts w:ascii="Liberation Mono" w:hAnsi="Liberation Mono"/>
                <w:color w:val="1E293B"/>
                <w:sz w:val="17"/>
              </w:rPr>
              <w:t>Kaggle CSVs</w:t>
            </w:r>
            <w:r>
              <w:br/>
            </w:r>
            <w:r>
              <w:rPr>
                <w:rFonts w:ascii="Liberation Mono" w:hAnsi="Liberation Mono"/>
                <w:color w:val="1E293B"/>
                <w:sz w:val="17"/>
              </w:rPr>
              <w:t xml:space="preserve">    -&gt; Unity Catalog landing volume</w:t>
            </w:r>
            <w:r>
              <w:br/>
            </w:r>
            <w:r>
              <w:rPr>
                <w:rFonts w:ascii="Liberation Mono" w:hAnsi="Liberation Mono"/>
                <w:color w:val="1E293B"/>
                <w:sz w:val="17"/>
              </w:rPr>
              <w:t xml:space="preserve">    -&gt; Bronze (Auto Loader + raw Delta + lineage metadata)</w:t>
            </w:r>
            <w:r>
              <w:br/>
            </w:r>
            <w:r>
              <w:rPr>
                <w:rFonts w:ascii="Liberation Mono" w:hAnsi="Liberation Mono"/>
                <w:color w:val="1E293B"/>
                <w:sz w:val="17"/>
              </w:rPr>
              <w:t xml:space="preserve">    -&gt; Silver (typed, cleaned, deduplicated, validated, quarantine)</w:t>
            </w:r>
            <w:r>
              <w:br/>
            </w:r>
            <w:r>
              <w:rPr>
                <w:rFonts w:ascii="Liberation Mono" w:hAnsi="Liberation Mono"/>
                <w:color w:val="1E293B"/>
                <w:sz w:val="17"/>
              </w:rPr>
              <w:t xml:space="preserve">    -&gt; Gold (facts, dimensions, aggregate)</w:t>
            </w:r>
            <w:r>
              <w:br/>
            </w:r>
            <w:r>
              <w:rPr>
                <w:rFonts w:ascii="Liberation Mono" w:hAnsi="Liberation Mono"/>
                <w:color w:val="1E293B"/>
                <w:sz w:val="17"/>
              </w:rPr>
              <w:t xml:space="preserve">    -&gt; Databricks SQL Warehouse</w:t>
            </w:r>
            <w:r>
              <w:br/>
            </w:r>
            <w:r>
              <w:rPr>
                <w:rFonts w:ascii="Liberation Mono" w:hAnsi="Liberation Mono"/>
                <w:color w:val="1E293B"/>
                <w:sz w:val="17"/>
              </w:rPr>
              <w:t xml:space="preserve">    -&gt; Power BI</w:t>
            </w:r>
            <w:r>
              <w:br/>
            </w:r>
            <w:r>
              <w:rPr>
                <w:rFonts w:ascii="Liberation Mono" w:hAnsi="Liberation Mono"/>
                <w:color w:val="1E293B"/>
                <w:sz w:val="17"/>
              </w:rPr>
            </w:r>
            <w:r>
              <w:br/>
            </w:r>
            <w:r>
              <w:rPr>
                <w:rFonts w:ascii="Liberation Mono" w:hAnsi="Liberation Mono"/>
                <w:color w:val="1E293B"/>
                <w:sz w:val="17"/>
              </w:rPr>
              <w:t>Additional paths:</w:t>
            </w:r>
            <w:r>
              <w:br/>
            </w:r>
            <w:r>
              <w:rPr>
                <w:rFonts w:ascii="Liberation Mono" w:hAnsi="Liberation Mono"/>
                <w:color w:val="1E293B"/>
                <w:sz w:val="17"/>
              </w:rPr>
              <w:t>Silver -&gt; ML feature engineering -&gt; Random Forest -&gt; Gold prediction table -&gt; Power BI</w:t>
            </w:r>
            <w:r>
              <w:br/>
            </w:r>
            <w:r>
              <w:rPr>
                <w:rFonts w:ascii="Liberation Mono" w:hAnsi="Liberation Mono"/>
                <w:color w:val="1E293B"/>
                <w:sz w:val="17"/>
              </w:rPr>
              <w:t>Gold -&gt; Unity Catalog entitlement mapping / row filters -&gt; DirectQuery RLS demonstration</w:t>
            </w:r>
            <w:r>
              <w:br/>
            </w:r>
            <w:r>
              <w:rPr>
                <w:rFonts w:ascii="Liberation Mono" w:hAnsi="Liberation Mono"/>
                <w:color w:val="1E293B"/>
                <w:sz w:val="17"/>
              </w:rPr>
              <w:t>GitHub -&gt; GitHub Actions -&gt; databricks bundle validate</w:t>
            </w:r>
          </w:p>
        </w:tc>
      </w:tr>
    </w:tbl>
    <w:p>
      <w:pPr>
        <w:spacing w:after="20"/>
      </w:pPr>
    </w:p>
    <w:p>
      <w:pPr>
        <w:pStyle w:val="Heading2"/>
        <w:keepNext/>
        <w:keepNext/>
      </w:pPr>
      <w:r>
        <w:t>2.1 Why the layers are separated</w:t>
      </w:r>
    </w:p>
    <w:p>
      <w:r>
        <w:rPr>
          <w:b/>
        </w:rPr>
        <w:t>Bronze</w:t>
      </w:r>
      <w:r>
        <w:t xml:space="preserve"> is the source-aligned audit layer. It preserves the source values and adds lineage fields so every row can be traced to a source file and ingestion run.</w:t>
      </w:r>
    </w:p>
    <w:p>
      <w:r>
        <w:rPr>
          <w:b/>
        </w:rPr>
        <w:t>Silver</w:t>
      </w:r>
      <w:r>
        <w:t xml:space="preserve"> is the trusted layer. Type enforcement, profiling, deduplication, category translation, geolocation resolution, delivery-funnel derivation, and quarantine rules live here so business logic is not repeated in every downstream consumer.</w:t>
      </w:r>
    </w:p>
    <w:p>
      <w:r>
        <w:rPr>
          <w:b/>
        </w:rPr>
        <w:t>Gold</w:t>
      </w:r>
      <w:r>
        <w:t xml:space="preserve"> is the analytical serving layer. It exposes measures at their natural grain in a dimensional model, which keeps Power BI simple and prevents fan-out errors.</w:t>
      </w:r>
    </w:p>
    <w:p>
      <w:pPr>
        <w:pStyle w:val="Heading2"/>
        <w:keepNext/>
        <w:keepNext/>
      </w:pPr>
      <w:r>
        <w:t>2.2 Storage and governance</w:t>
      </w:r>
    </w:p>
    <w:p>
      <w:r>
        <w:t xml:space="preserve">All lakehouse tables use Delta Lake. Delta provides transactional writes, schema-aware operations, </w:t>
      </w:r>
      <w:r>
        <w:rPr>
          <w:rFonts w:ascii="Liberation Mono" w:hAnsi="Liberation Mono"/>
          <w:color w:val="334155"/>
          <w:sz w:val="18"/>
        </w:rPr>
        <w:t>MERGE</w:t>
      </w:r>
      <w:r>
        <w:t xml:space="preserve"> for idempotent incremental upserts, and support for optimization and data skipping.</w:t>
      </w:r>
    </w:p>
    <w:p>
      <w:r>
        <w:t xml:space="preserve">Unity Catalog provides the three-level </w:t>
      </w:r>
      <w:r>
        <w:rPr>
          <w:rFonts w:ascii="Liberation Mono" w:hAnsi="Liberation Mono"/>
          <w:color w:val="334155"/>
          <w:sz w:val="18"/>
        </w:rPr>
        <w:t>catalog.schema.table</w:t>
      </w:r>
      <w:r>
        <w:t xml:space="preserve"> namespace, governed volumes, and the lakehouse security layer used for Bonus 3.</w:t>
      </w:r>
    </w:p>
    <w:p>
      <w:pPr>
        <w:pStyle w:val="Heading1"/>
        <w:keepNext/>
        <w:keepNext/>
      </w:pPr>
      <w:r>
        <w:t>3. Bronze ingestion and Auto Loader</w:t>
      </w:r>
    </w:p>
    <w:p>
      <w:r>
        <w:t>The project ingests all nine source files. Bronze adds three metadata fields to every record:</w:t>
      </w:r>
    </w:p>
    <w:p>
      <w:pPr>
        <w:pStyle w:val="ListBullet"/>
      </w:pPr>
      <w:r>
        <w:rPr>
          <w:rFonts w:ascii="Liberation Mono" w:hAnsi="Liberation Mono"/>
          <w:color w:val="334155"/>
          <w:sz w:val="18"/>
        </w:rPr>
        <w:t>source_file</w:t>
      </w:r>
    </w:p>
    <w:p>
      <w:pPr>
        <w:pStyle w:val="ListBullet"/>
      </w:pPr>
      <w:r>
        <w:rPr>
          <w:rFonts w:ascii="Liberation Mono" w:hAnsi="Liberation Mono"/>
          <w:color w:val="334155"/>
          <w:sz w:val="18"/>
        </w:rPr>
        <w:t>ingestion_timestamp</w:t>
      </w:r>
    </w:p>
    <w:p>
      <w:pPr>
        <w:pStyle w:val="ListBullet"/>
      </w:pPr>
      <w:r>
        <w:rPr>
          <w:rFonts w:ascii="Liberation Mono" w:hAnsi="Liberation Mono"/>
          <w:color w:val="334155"/>
          <w:sz w:val="18"/>
        </w:rPr>
        <w:t>batch_id</w:t>
      </w:r>
    </w:p>
    <w:p>
      <w:r>
        <w:t>The final Bronze implementation uses Databricks Auto Loader (</w:t>
      </w:r>
      <w:r>
        <w:rPr>
          <w:rFonts w:ascii="Liberation Mono" w:hAnsi="Liberation Mono"/>
          <w:color w:val="334155"/>
          <w:sz w:val="18"/>
        </w:rPr>
        <w:t>cloudFiles</w:t>
      </w:r>
      <w:r>
        <w:t xml:space="preserve">) rather than batch CSV reads. Each source has its own checkpoint under the control volume and runs with an </w:t>
      </w:r>
      <w:r>
        <w:rPr>
          <w:rFonts w:ascii="Liberation Mono" w:hAnsi="Liberation Mono"/>
          <w:color w:val="334155"/>
          <w:sz w:val="18"/>
        </w:rPr>
        <w:t>availableNow</w:t>
      </w:r>
      <w:r>
        <w:t xml:space="preserve"> trigger, giving streaming semantics while allowing a bounded ingestion run to complete.</w:t>
      </w:r>
    </w:p>
    <w:p>
      <w:r>
        <w:t>Special handling:</w:t>
      </w:r>
    </w:p>
    <w:p>
      <w:pPr>
        <w:pStyle w:val="ListBullet"/>
      </w:pPr>
      <w:r>
        <w:rPr>
          <w:rFonts w:ascii="Liberation Mono" w:hAnsi="Liberation Mono"/>
          <w:color w:val="334155"/>
          <w:sz w:val="18"/>
        </w:rPr>
        <w:t>order_reviews</w:t>
      </w:r>
      <w:r>
        <w:t xml:space="preserve"> uses multiline parsing because review comments can contain embedded newlines and quotes.</w:t>
      </w:r>
    </w:p>
    <w:p>
      <w:pPr>
        <w:pStyle w:val="ListBullet"/>
      </w:pPr>
      <w:r>
        <w:rPr>
          <w:rFonts w:ascii="Liberation Mono" w:hAnsi="Liberation Mono"/>
          <w:color w:val="334155"/>
          <w:sz w:val="18"/>
        </w:rPr>
        <w:t>geolocation</w:t>
      </w:r>
      <w:r>
        <w:t xml:space="preserve"> is partitioned by </w:t>
      </w:r>
      <w:r>
        <w:rPr>
          <w:rFonts w:ascii="Liberation Mono" w:hAnsi="Liberation Mono"/>
          <w:color w:val="334155"/>
          <w:sz w:val="18"/>
        </w:rPr>
        <w:t>geolocation_state</w:t>
      </w:r>
      <w:r>
        <w:t>, the selected physical partitioning strategy for the largest source.</w:t>
      </w:r>
    </w:p>
    <w:p>
      <w:pPr>
        <w:pStyle w:val="ListBullet"/>
      </w:pPr>
      <w:r>
        <w:t>Explicit schemas are shared from the common schema notebook rather than inferred repeatedly.</w:t>
      </w:r>
    </w:p>
    <w:p>
      <w:pPr>
        <w:pStyle w:val="Heading2"/>
        <w:keepNext/>
        <w:keepNext/>
      </w:pPr>
      <w:r>
        <w:t>3.1 Final Bronze validation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Mar>
              <w:top w:w="80" w:type="dxa"/>
              <w:start w:w="90" w:type="dxa"/>
              <w:bottom w:w="80" w:type="dxa"/>
              <w:end w:w="90" w:type="dxa"/>
            </w:tcMar>
            <w:shd w:fill="E2E8F0"/>
          </w:tcPr>
          <w:p>
            <w:pPr>
              <w:spacing w:after="0"/>
            </w:pPr>
            <w:r>
              <w:rPr>
                <w:b/>
                <w:color w:val="0F172A"/>
                <w:sz w:val="16"/>
              </w:rPr>
              <w:t>Bronze source</w:t>
            </w:r>
          </w:p>
        </w:tc>
        <w:tc>
          <w:tcPr>
            <w:tcW w:type="dxa" w:w="5112"/>
            <w:vAlign w:val="center"/>
            <w:tcMar>
              <w:top w:w="80" w:type="dxa"/>
              <w:start w:w="90" w:type="dxa"/>
              <w:bottom w:w="80" w:type="dxa"/>
              <w:end w:w="90" w:type="dxa"/>
            </w:tcMar>
            <w:shd w:fill="E2E8F0"/>
          </w:tcPr>
          <w:p>
            <w:pPr>
              <w:spacing w:after="0"/>
            </w:pPr>
            <w:r>
              <w:rPr>
                <w:b/>
                <w:color w:val="0F172A"/>
                <w:sz w:val="16"/>
              </w:rPr>
              <w:t>Rows</w:t>
            </w:r>
          </w:p>
        </w:tc>
      </w:tr>
      <w:tr>
        <w:tc>
          <w:tcPr>
            <w:tcW w:type="dxa" w:w="5112"/>
            <w:vAlign w:val="center"/>
            <w:tcMar>
              <w:top w:w="80" w:type="dxa"/>
              <w:start w:w="90" w:type="dxa"/>
              <w:bottom w:w="80" w:type="dxa"/>
              <w:end w:w="90" w:type="dxa"/>
            </w:tcMar>
          </w:tcPr>
          <w:p>
            <w:pPr>
              <w:spacing w:after="0"/>
            </w:pPr>
            <w:r>
              <w:rPr>
                <w:sz w:val="16"/>
              </w:rPr>
              <w:t>orders</w:t>
            </w:r>
          </w:p>
        </w:tc>
        <w:tc>
          <w:tcPr>
            <w:tcW w:type="dxa" w:w="5112"/>
            <w:vAlign w:val="center"/>
            <w:tcMar>
              <w:top w:w="80" w:type="dxa"/>
              <w:start w:w="90" w:type="dxa"/>
              <w:bottom w:w="80" w:type="dxa"/>
              <w:end w:w="90" w:type="dxa"/>
            </w:tcMar>
          </w:tcPr>
          <w:p>
            <w:pPr>
              <w:spacing w:after="0"/>
            </w:pPr>
            <w:r>
              <w:rPr>
                <w:sz w:val="16"/>
              </w:rPr>
              <w:t>99,441</w:t>
            </w:r>
          </w:p>
        </w:tc>
      </w:tr>
      <w:tr>
        <w:tc>
          <w:tcPr>
            <w:tcW w:type="dxa" w:w="5112"/>
            <w:vAlign w:val="center"/>
            <w:tcMar>
              <w:top w:w="80" w:type="dxa"/>
              <w:start w:w="90" w:type="dxa"/>
              <w:bottom w:w="80" w:type="dxa"/>
              <w:end w:w="90" w:type="dxa"/>
            </w:tcMar>
          </w:tcPr>
          <w:p>
            <w:pPr>
              <w:spacing w:after="0"/>
            </w:pPr>
            <w:r>
              <w:rPr>
                <w:sz w:val="16"/>
              </w:rPr>
              <w:t>order_items</w:t>
            </w:r>
          </w:p>
        </w:tc>
        <w:tc>
          <w:tcPr>
            <w:tcW w:type="dxa" w:w="5112"/>
            <w:vAlign w:val="center"/>
            <w:tcMar>
              <w:top w:w="80" w:type="dxa"/>
              <w:start w:w="90" w:type="dxa"/>
              <w:bottom w:w="80" w:type="dxa"/>
              <w:end w:w="90" w:type="dxa"/>
            </w:tcMar>
          </w:tcPr>
          <w:p>
            <w:pPr>
              <w:spacing w:after="0"/>
            </w:pPr>
            <w:r>
              <w:rPr>
                <w:sz w:val="16"/>
              </w:rPr>
              <w:t>112,650</w:t>
            </w:r>
          </w:p>
        </w:tc>
      </w:tr>
      <w:tr>
        <w:tc>
          <w:tcPr>
            <w:tcW w:type="dxa" w:w="5112"/>
            <w:vAlign w:val="center"/>
            <w:tcMar>
              <w:top w:w="80" w:type="dxa"/>
              <w:start w:w="90" w:type="dxa"/>
              <w:bottom w:w="80" w:type="dxa"/>
              <w:end w:w="90" w:type="dxa"/>
            </w:tcMar>
          </w:tcPr>
          <w:p>
            <w:pPr>
              <w:spacing w:after="0"/>
            </w:pPr>
            <w:r>
              <w:rPr>
                <w:sz w:val="16"/>
              </w:rPr>
              <w:t>order_payments</w:t>
            </w:r>
          </w:p>
        </w:tc>
        <w:tc>
          <w:tcPr>
            <w:tcW w:type="dxa" w:w="5112"/>
            <w:vAlign w:val="center"/>
            <w:tcMar>
              <w:top w:w="80" w:type="dxa"/>
              <w:start w:w="90" w:type="dxa"/>
              <w:bottom w:w="80" w:type="dxa"/>
              <w:end w:w="90" w:type="dxa"/>
            </w:tcMar>
          </w:tcPr>
          <w:p>
            <w:pPr>
              <w:spacing w:after="0"/>
            </w:pPr>
            <w:r>
              <w:rPr>
                <w:sz w:val="16"/>
              </w:rPr>
              <w:t>103,886</w:t>
            </w:r>
          </w:p>
        </w:tc>
      </w:tr>
      <w:tr>
        <w:tc>
          <w:tcPr>
            <w:tcW w:type="dxa" w:w="5112"/>
            <w:vAlign w:val="center"/>
            <w:tcMar>
              <w:top w:w="80" w:type="dxa"/>
              <w:start w:w="90" w:type="dxa"/>
              <w:bottom w:w="80" w:type="dxa"/>
              <w:end w:w="90" w:type="dxa"/>
            </w:tcMar>
          </w:tcPr>
          <w:p>
            <w:pPr>
              <w:spacing w:after="0"/>
            </w:pPr>
            <w:r>
              <w:rPr>
                <w:sz w:val="16"/>
              </w:rPr>
              <w:t>order_reviews</w:t>
            </w:r>
          </w:p>
        </w:tc>
        <w:tc>
          <w:tcPr>
            <w:tcW w:type="dxa" w:w="5112"/>
            <w:vAlign w:val="center"/>
            <w:tcMar>
              <w:top w:w="80" w:type="dxa"/>
              <w:start w:w="90" w:type="dxa"/>
              <w:bottom w:w="80" w:type="dxa"/>
              <w:end w:w="90" w:type="dxa"/>
            </w:tcMar>
          </w:tcPr>
          <w:p>
            <w:pPr>
              <w:spacing w:after="0"/>
            </w:pPr>
            <w:r>
              <w:rPr>
                <w:sz w:val="16"/>
              </w:rPr>
              <w:t>99,224</w:t>
            </w:r>
          </w:p>
        </w:tc>
      </w:tr>
      <w:tr>
        <w:tc>
          <w:tcPr>
            <w:tcW w:type="dxa" w:w="5112"/>
            <w:vAlign w:val="center"/>
            <w:tcMar>
              <w:top w:w="80" w:type="dxa"/>
              <w:start w:w="90" w:type="dxa"/>
              <w:bottom w:w="80" w:type="dxa"/>
              <w:end w:w="90" w:type="dxa"/>
            </w:tcMar>
          </w:tcPr>
          <w:p>
            <w:pPr>
              <w:spacing w:after="0"/>
            </w:pPr>
            <w:r>
              <w:rPr>
                <w:sz w:val="16"/>
              </w:rPr>
              <w:t>customers</w:t>
            </w:r>
          </w:p>
        </w:tc>
        <w:tc>
          <w:tcPr>
            <w:tcW w:type="dxa" w:w="5112"/>
            <w:vAlign w:val="center"/>
            <w:tcMar>
              <w:top w:w="80" w:type="dxa"/>
              <w:start w:w="90" w:type="dxa"/>
              <w:bottom w:w="80" w:type="dxa"/>
              <w:end w:w="90" w:type="dxa"/>
            </w:tcMar>
          </w:tcPr>
          <w:p>
            <w:pPr>
              <w:spacing w:after="0"/>
            </w:pPr>
            <w:r>
              <w:rPr>
                <w:sz w:val="16"/>
              </w:rPr>
              <w:t>99,441</w:t>
            </w:r>
          </w:p>
        </w:tc>
      </w:tr>
      <w:tr>
        <w:tc>
          <w:tcPr>
            <w:tcW w:type="dxa" w:w="5112"/>
            <w:vAlign w:val="center"/>
            <w:tcMar>
              <w:top w:w="80" w:type="dxa"/>
              <w:start w:w="90" w:type="dxa"/>
              <w:bottom w:w="80" w:type="dxa"/>
              <w:end w:w="90" w:type="dxa"/>
            </w:tcMar>
          </w:tcPr>
          <w:p>
            <w:pPr>
              <w:spacing w:after="0"/>
            </w:pPr>
            <w:r>
              <w:rPr>
                <w:sz w:val="16"/>
              </w:rPr>
              <w:t>sellers</w:t>
            </w:r>
          </w:p>
        </w:tc>
        <w:tc>
          <w:tcPr>
            <w:tcW w:type="dxa" w:w="5112"/>
            <w:vAlign w:val="center"/>
            <w:tcMar>
              <w:top w:w="80" w:type="dxa"/>
              <w:start w:w="90" w:type="dxa"/>
              <w:bottom w:w="80" w:type="dxa"/>
              <w:end w:w="90" w:type="dxa"/>
            </w:tcMar>
          </w:tcPr>
          <w:p>
            <w:pPr>
              <w:spacing w:after="0"/>
            </w:pPr>
            <w:r>
              <w:rPr>
                <w:sz w:val="16"/>
              </w:rPr>
              <w:t>3,095</w:t>
            </w:r>
          </w:p>
        </w:tc>
      </w:tr>
      <w:tr>
        <w:tc>
          <w:tcPr>
            <w:tcW w:type="dxa" w:w="5112"/>
            <w:vAlign w:val="center"/>
            <w:tcMar>
              <w:top w:w="80" w:type="dxa"/>
              <w:start w:w="90" w:type="dxa"/>
              <w:bottom w:w="80" w:type="dxa"/>
              <w:end w:w="90" w:type="dxa"/>
            </w:tcMar>
          </w:tcPr>
          <w:p>
            <w:pPr>
              <w:spacing w:after="0"/>
            </w:pPr>
            <w:r>
              <w:rPr>
                <w:sz w:val="16"/>
              </w:rPr>
              <w:t>products</w:t>
            </w:r>
          </w:p>
        </w:tc>
        <w:tc>
          <w:tcPr>
            <w:tcW w:type="dxa" w:w="5112"/>
            <w:vAlign w:val="center"/>
            <w:tcMar>
              <w:top w:w="80" w:type="dxa"/>
              <w:start w:w="90" w:type="dxa"/>
              <w:bottom w:w="80" w:type="dxa"/>
              <w:end w:w="90" w:type="dxa"/>
            </w:tcMar>
          </w:tcPr>
          <w:p>
            <w:pPr>
              <w:spacing w:after="0"/>
            </w:pPr>
            <w:r>
              <w:rPr>
                <w:sz w:val="16"/>
              </w:rPr>
              <w:t>32,951</w:t>
            </w:r>
          </w:p>
        </w:tc>
      </w:tr>
      <w:tr>
        <w:tc>
          <w:tcPr>
            <w:tcW w:type="dxa" w:w="5112"/>
            <w:vAlign w:val="center"/>
            <w:tcMar>
              <w:top w:w="80" w:type="dxa"/>
              <w:start w:w="90" w:type="dxa"/>
              <w:bottom w:w="80" w:type="dxa"/>
              <w:end w:w="90" w:type="dxa"/>
            </w:tcMar>
          </w:tcPr>
          <w:p>
            <w:pPr>
              <w:spacing w:after="0"/>
            </w:pPr>
            <w:r>
              <w:rPr>
                <w:sz w:val="16"/>
              </w:rPr>
              <w:t>geolocation</w:t>
            </w:r>
          </w:p>
        </w:tc>
        <w:tc>
          <w:tcPr>
            <w:tcW w:type="dxa" w:w="5112"/>
            <w:vAlign w:val="center"/>
            <w:tcMar>
              <w:top w:w="80" w:type="dxa"/>
              <w:start w:w="90" w:type="dxa"/>
              <w:bottom w:w="80" w:type="dxa"/>
              <w:end w:w="90" w:type="dxa"/>
            </w:tcMar>
          </w:tcPr>
          <w:p>
            <w:pPr>
              <w:spacing w:after="0"/>
            </w:pPr>
            <w:r>
              <w:rPr>
                <w:sz w:val="16"/>
              </w:rPr>
              <w:t>1,000,163</w:t>
            </w:r>
          </w:p>
        </w:tc>
      </w:tr>
      <w:tr>
        <w:tc>
          <w:tcPr>
            <w:tcW w:type="dxa" w:w="5112"/>
            <w:vAlign w:val="center"/>
            <w:tcMar>
              <w:top w:w="80" w:type="dxa"/>
              <w:start w:w="90" w:type="dxa"/>
              <w:bottom w:w="80" w:type="dxa"/>
              <w:end w:w="90" w:type="dxa"/>
            </w:tcMar>
          </w:tcPr>
          <w:p>
            <w:pPr>
              <w:spacing w:after="0"/>
            </w:pPr>
            <w:r>
              <w:rPr>
                <w:sz w:val="16"/>
              </w:rPr>
              <w:t>category_tr</w:t>
            </w:r>
          </w:p>
        </w:tc>
        <w:tc>
          <w:tcPr>
            <w:tcW w:type="dxa" w:w="5112"/>
            <w:vAlign w:val="center"/>
            <w:tcMar>
              <w:top w:w="80" w:type="dxa"/>
              <w:start w:w="90" w:type="dxa"/>
              <w:bottom w:w="80" w:type="dxa"/>
              <w:end w:w="90" w:type="dxa"/>
            </w:tcMar>
          </w:tcPr>
          <w:p>
            <w:pPr>
              <w:spacing w:after="0"/>
            </w:pPr>
            <w:r>
              <w:rPr>
                <w:sz w:val="16"/>
              </w:rPr>
              <w:t>71</w:t>
            </w:r>
          </w:p>
        </w:tc>
      </w:tr>
    </w:tbl>
    <w:p>
      <w:pPr>
        <w:spacing w:after="20"/>
      </w:pPr>
    </w:p>
    <w:p>
      <w:r>
        <w:t xml:space="preserve">All nine sources were validated with </w:t>
      </w:r>
      <w:r>
        <w:rPr>
          <w:rFonts w:ascii="Liberation Mono" w:hAnsi="Liberation Mono"/>
          <w:color w:val="334155"/>
          <w:sz w:val="18"/>
        </w:rPr>
        <w:t>metadata_nulls = 0</w:t>
      </w:r>
      <w:r>
        <w:t xml:space="preserve">. Nine independent streaming checkpoint folders exist. </w:t>
      </w:r>
      <w:r>
        <w:rPr>
          <w:rFonts w:ascii="Liberation Mono" w:hAnsi="Liberation Mono"/>
          <w:color w:val="334155"/>
          <w:sz w:val="18"/>
        </w:rPr>
        <w:t>DESCRIBE DETAIL</w:t>
      </w:r>
      <w:r>
        <w:t xml:space="preserve"> confirmed Delta storage and partitioning of Bronze geolocation by </w:t>
      </w:r>
      <w:r>
        <w:rPr>
          <w:rFonts w:ascii="Liberation Mono" w:hAnsi="Liberation Mono"/>
          <w:color w:val="334155"/>
          <w:sz w:val="18"/>
        </w:rPr>
        <w:t>geolocation_state</w:t>
      </w:r>
      <w:r>
        <w:t>.</w:t>
      </w:r>
    </w:p>
    <w:p>
      <w:r>
        <w:t>The Bronze runner executes all nine ingestion notebooks and completed successfully before Silver, Gold, and the final DQ gate were rerun.</w:t>
      </w:r>
    </w:p>
    <w:p>
      <w:pPr>
        <w:pStyle w:val="Heading1"/>
        <w:keepNext/>
        <w:keepNext/>
      </w:pPr>
      <w:r>
        <w:t>4. Silver cleaning and data quality findings</w:t>
      </w:r>
    </w:p>
    <w:p>
      <w:r>
        <w:t>Every source is profiled for missing values, duplicates, and referential-integrity problems before the business cleaning rules are applied.</w:t>
      </w:r>
    </w:p>
    <w:p>
      <w:pPr>
        <w:pStyle w:val="Heading2"/>
        <w:keepNext/>
        <w:keepNext/>
      </w:pPr>
      <w:r>
        <w:t>4.1 Delivery funnel</w:t>
      </w:r>
    </w:p>
    <w:p>
      <w:r>
        <w:t>Silver derives the delivery funnel centrally so all consumers use the same definitions:</w:t>
      </w:r>
    </w:p>
    <w:p>
      <w:pPr>
        <w:pStyle w:val="ListBullet"/>
      </w:pPr>
      <w:r>
        <w:t>approval time</w:t>
      </w:r>
    </w:p>
    <w:p>
      <w:pPr>
        <w:pStyle w:val="ListBullet"/>
      </w:pPr>
      <w:r>
        <w:t>handling time</w:t>
      </w:r>
    </w:p>
    <w:p>
      <w:pPr>
        <w:pStyle w:val="ListBullet"/>
      </w:pPr>
      <w:r>
        <w:t>shipping time</w:t>
      </w:r>
    </w:p>
    <w:p>
      <w:pPr>
        <w:pStyle w:val="ListBullet"/>
      </w:pPr>
      <w:r>
        <w:t>total delivery time</w:t>
      </w:r>
    </w:p>
    <w:p>
      <w:pPr>
        <w:pStyle w:val="ListBullet"/>
      </w:pPr>
      <w:r>
        <w:t>delivery variance against the estimated date</w:t>
      </w:r>
    </w:p>
    <w:p>
      <w:r>
        <w:t>Orders that did not reach delivered status are retained. Delivery KPIs use only records where the relevant timestamps exist.</w:t>
      </w:r>
    </w:p>
    <w:p>
      <w:pPr>
        <w:pStyle w:val="Heading2"/>
        <w:keepNext/>
        <w:keepNext/>
      </w:pPr>
      <w:r>
        <w:t>4.2 Key source issues and handling</w:t>
      </w:r>
    </w:p>
    <w:p>
      <w:r>
        <w:rPr>
          <w:b/>
        </w:rPr>
        <w:t>Multiline review parsing.</w:t>
      </w:r>
      <w:r>
        <w:t xml:space="preserve"> The review source initially exposed shifted values when read without multiline handling. Correct CSV parsing brought the Bronze count to the expected 99,224 source rows. Duplicate and invalid review records are handled downstream rather than silently dropped.</w:t>
      </w:r>
    </w:p>
    <w:p>
      <w:r>
        <w:rPr>
          <w:b/>
        </w:rPr>
        <w:t>Review duplicates / invalids.</w:t>
      </w:r>
      <w:r>
        <w:t xml:space="preserve"> Duplicate review identifiers are resolved using a deterministic rule. Rows that fail required review rules are quarantined.</w:t>
      </w:r>
    </w:p>
    <w:p>
      <w:r>
        <w:rPr>
          <w:b/>
        </w:rPr>
        <w:t>Geolocation resolution.</w:t>
      </w:r>
      <w:r>
        <w:t xml:space="preserve"> The roughly one-million-row geolocation source contains many rows per ZIP prefix and inconsistent city strings. Text normalization plus a deterministic per-ZIP resolution produces one reporting geography record per ZIP prefix.</w:t>
      </w:r>
    </w:p>
    <w:p>
      <w:r>
        <w:rPr>
          <w:b/>
        </w:rPr>
        <w:t>Malformed seller city.</w:t>
      </w:r>
      <w:r>
        <w:t xml:space="preserve"> A numeric/ZIP-like seller city value is repaired from valid ZIP-based geography rather than discarded.</w:t>
      </w:r>
    </w:p>
    <w:p>
      <w:r>
        <w:rPr>
          <w:b/>
        </w:rPr>
        <w:t>Payments.</w:t>
      </w:r>
      <w:r>
        <w:t xml:space="preserve"> Non-positive payment values are treated as invalid financial records and routed out of the trusted financial population.</w:t>
      </w:r>
    </w:p>
    <w:p>
      <w:r>
        <w:rPr>
          <w:b/>
        </w:rPr>
        <w:t>Products.</w:t>
      </w:r>
      <w:r>
        <w:t xml:space="preserve"> Products with missing descriptive attributes are retained so valid sales are not understated; missing category values are represented as an explicit uncategorized group.</w:t>
      </w:r>
    </w:p>
    <w:p>
      <w:pPr>
        <w:pStyle w:val="Heading2"/>
        <w:keepNext/>
        <w:keepNext/>
      </w:pPr>
      <w:r>
        <w:t>4.3 Quarantine</w:t>
      </w:r>
    </w:p>
    <w:p>
      <w:r>
        <w:t>Rows that fail business rules are routed to quarantine tables instead of being removed silently. This preserves auditability and allows the failure population to be reviewed independently of the trusted Silver model.</w:t>
      </w:r>
    </w:p>
    <w:p>
      <w:pPr>
        <w:pStyle w:val="Heading1"/>
        <w:keepNext/>
        <w:keepNext/>
      </w:pPr>
      <w:r>
        <w:t>5. Gold dimensional model</w:t>
      </w:r>
    </w:p>
    <w:p>
      <w:pPr>
        <w:jc w:val="center"/>
      </w:pPr>
      <w:r>
        <w:drawing>
          <wp:inline xmlns:a="http://schemas.openxmlformats.org/drawingml/2006/main" xmlns:pic="http://schemas.openxmlformats.org/drawingml/2006/picture">
            <wp:extent cx="6035040" cy="3440537"/>
            <wp:docPr id="2" name="Picture 2"/>
            <wp:cNvGraphicFramePr>
              <a:graphicFrameLocks noChangeAspect="1"/>
            </wp:cNvGraphicFramePr>
            <a:graphic>
              <a:graphicData uri="http://schemas.openxmlformats.org/drawingml/2006/picture">
                <pic:pic>
                  <pic:nvPicPr>
                    <pic:cNvPr id="0" name="gold_model.png"/>
                    <pic:cNvPicPr/>
                  </pic:nvPicPr>
                  <pic:blipFill>
                    <a:blip r:embed="rId12"/>
                    <a:stretch>
                      <a:fillRect/>
                    </a:stretch>
                  </pic:blipFill>
                  <pic:spPr>
                    <a:xfrm>
                      <a:off x="0" y="0"/>
                      <a:ext cx="6035040" cy="3440537"/>
                    </a:xfrm>
                    <a:prstGeom prst="rect"/>
                  </pic:spPr>
                </pic:pic>
              </a:graphicData>
            </a:graphic>
          </wp:inline>
        </w:drawing>
      </w:r>
    </w:p>
    <w:p>
      <w:pPr>
        <w:spacing w:after="160"/>
        <w:jc w:val="center"/>
      </w:pPr>
      <w:r>
        <w:rPr>
          <w:i/>
          <w:color w:val="475569"/>
          <w:sz w:val="17"/>
        </w:rPr>
        <w:t>Figure 2. Core Gold multi-fact dimensional model and Bonus 5 prediction output.</w:t>
      </w:r>
    </w:p>
    <w:p>
      <w:r>
        <w:t>The core Gold model contains three fact tables, five conformed dimensions, and one reporting aggregate. Bonus 5 adds a separate prediction table without changing the core facts.</w:t>
      </w:r>
    </w:p>
    <w:p>
      <w:pPr>
        <w:pStyle w:val="Heading2"/>
        <w:keepNext/>
        <w:keepNext/>
      </w:pPr>
      <w:r>
        <w:t>5.1 Fact grains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tcMar>
              <w:top w:w="80" w:type="dxa"/>
              <w:start w:w="90" w:type="dxa"/>
              <w:bottom w:w="80" w:type="dxa"/>
              <w:end w:w="90" w:type="dxa"/>
            </w:tcMar>
            <w:shd w:fill="E2E8F0"/>
          </w:tcPr>
          <w:p>
            <w:pPr>
              <w:spacing w:after="0"/>
            </w:pPr>
            <w:r>
              <w:rPr>
                <w:b/>
                <w:color w:val="0F172A"/>
                <w:sz w:val="16"/>
              </w:rPr>
              <w:t>Fact</w:t>
            </w:r>
          </w:p>
        </w:tc>
        <w:tc>
          <w:tcPr>
            <w:tcW w:type="dxa" w:w="3408"/>
            <w:vAlign w:val="center"/>
            <w:tcMar>
              <w:top w:w="80" w:type="dxa"/>
              <w:start w:w="90" w:type="dxa"/>
              <w:bottom w:w="80" w:type="dxa"/>
              <w:end w:w="90" w:type="dxa"/>
            </w:tcMar>
            <w:shd w:fill="E2E8F0"/>
          </w:tcPr>
          <w:p>
            <w:pPr>
              <w:spacing w:after="0"/>
            </w:pPr>
            <w:r>
              <w:rPr>
                <w:b/>
                <w:color w:val="0F172A"/>
                <w:sz w:val="16"/>
              </w:rPr>
              <w:t>Grain</w:t>
            </w:r>
          </w:p>
        </w:tc>
        <w:tc>
          <w:tcPr>
            <w:tcW w:type="dxa" w:w="3408"/>
            <w:vAlign w:val="center"/>
            <w:tcMar>
              <w:top w:w="80" w:type="dxa"/>
              <w:start w:w="90" w:type="dxa"/>
              <w:bottom w:w="80" w:type="dxa"/>
              <w:end w:w="90" w:type="dxa"/>
            </w:tcMar>
            <w:shd w:fill="E2E8F0"/>
          </w:tcPr>
          <w:p>
            <w:pPr>
              <w:spacing w:after="0"/>
            </w:pPr>
            <w:r>
              <w:rPr>
                <w:b/>
                <w:color w:val="0F172A"/>
                <w:sz w:val="16"/>
              </w:rPr>
              <w:t>Main content</w:t>
            </w:r>
          </w:p>
        </w:tc>
      </w:tr>
      <w:tr>
        <w:tc>
          <w:tcPr>
            <w:tcW w:type="dxa" w:w="3408"/>
            <w:vAlign w:val="center"/>
            <w:tcMar>
              <w:top w:w="80" w:type="dxa"/>
              <w:start w:w="90" w:type="dxa"/>
              <w:bottom w:w="80" w:type="dxa"/>
              <w:end w:w="90" w:type="dxa"/>
            </w:tcMar>
          </w:tcPr>
          <w:p>
            <w:pPr>
              <w:spacing w:after="0"/>
            </w:pPr>
            <w:r>
              <w:rPr>
                <w:sz w:val="16"/>
              </w:rPr>
              <w:t>fact_orders</w:t>
            </w:r>
          </w:p>
        </w:tc>
        <w:tc>
          <w:tcPr>
            <w:tcW w:type="dxa" w:w="3408"/>
            <w:vAlign w:val="center"/>
            <w:tcMar>
              <w:top w:w="80" w:type="dxa"/>
              <w:start w:w="90" w:type="dxa"/>
              <w:bottom w:w="80" w:type="dxa"/>
              <w:end w:w="90" w:type="dxa"/>
            </w:tcMar>
          </w:tcPr>
          <w:p>
            <w:pPr>
              <w:spacing w:after="0"/>
            </w:pPr>
            <w:r>
              <w:rPr>
                <w:sz w:val="16"/>
              </w:rPr>
              <w:t>One row per order</w:t>
            </w:r>
          </w:p>
        </w:tc>
        <w:tc>
          <w:tcPr>
            <w:tcW w:type="dxa" w:w="3408"/>
            <w:vAlign w:val="center"/>
            <w:tcMar>
              <w:top w:w="80" w:type="dxa"/>
              <w:start w:w="90" w:type="dxa"/>
              <w:bottom w:w="80" w:type="dxa"/>
              <w:end w:w="90" w:type="dxa"/>
            </w:tcMar>
          </w:tcPr>
          <w:p>
            <w:pPr>
              <w:spacing w:after="0"/>
            </w:pPr>
            <w:r>
              <w:rPr>
                <w:sz w:val="16"/>
              </w:rPr>
              <w:t>status, review score, delivery funnel metrics, on-time flag</w:t>
            </w:r>
          </w:p>
        </w:tc>
      </w:tr>
      <w:tr>
        <w:tc>
          <w:tcPr>
            <w:tcW w:type="dxa" w:w="3408"/>
            <w:vAlign w:val="center"/>
            <w:tcMar>
              <w:top w:w="80" w:type="dxa"/>
              <w:start w:w="90" w:type="dxa"/>
              <w:bottom w:w="80" w:type="dxa"/>
              <w:end w:w="90" w:type="dxa"/>
            </w:tcMar>
          </w:tcPr>
          <w:p>
            <w:pPr>
              <w:spacing w:after="0"/>
            </w:pPr>
            <w:r>
              <w:rPr>
                <w:sz w:val="16"/>
              </w:rPr>
              <w:t>fact_order_items</w:t>
            </w:r>
          </w:p>
        </w:tc>
        <w:tc>
          <w:tcPr>
            <w:tcW w:type="dxa" w:w="3408"/>
            <w:vAlign w:val="center"/>
            <w:tcMar>
              <w:top w:w="80" w:type="dxa"/>
              <w:start w:w="90" w:type="dxa"/>
              <w:bottom w:w="80" w:type="dxa"/>
              <w:end w:w="90" w:type="dxa"/>
            </w:tcMar>
          </w:tcPr>
          <w:p>
            <w:pPr>
              <w:spacing w:after="0"/>
            </w:pPr>
            <w:r>
              <w:rPr>
                <w:sz w:val="16"/>
              </w:rPr>
              <w:t>One row per line item</w:t>
            </w:r>
          </w:p>
        </w:tc>
        <w:tc>
          <w:tcPr>
            <w:tcW w:type="dxa" w:w="3408"/>
            <w:vAlign w:val="center"/>
            <w:tcMar>
              <w:top w:w="80" w:type="dxa"/>
              <w:start w:w="90" w:type="dxa"/>
              <w:bottom w:w="80" w:type="dxa"/>
              <w:end w:w="90" w:type="dxa"/>
            </w:tcMar>
          </w:tcPr>
          <w:p>
            <w:pPr>
              <w:spacing w:after="0"/>
            </w:pPr>
            <w:r>
              <w:rPr>
                <w:sz w:val="16"/>
              </w:rPr>
              <w:t>item price, freight value, product and seller keys</w:t>
            </w:r>
          </w:p>
        </w:tc>
      </w:tr>
      <w:tr>
        <w:tc>
          <w:tcPr>
            <w:tcW w:type="dxa" w:w="3408"/>
            <w:vAlign w:val="center"/>
            <w:tcMar>
              <w:top w:w="80" w:type="dxa"/>
              <w:start w:w="90" w:type="dxa"/>
              <w:bottom w:w="80" w:type="dxa"/>
              <w:end w:w="90" w:type="dxa"/>
            </w:tcMar>
          </w:tcPr>
          <w:p>
            <w:pPr>
              <w:spacing w:after="0"/>
            </w:pPr>
            <w:r>
              <w:rPr>
                <w:sz w:val="16"/>
              </w:rPr>
              <w:t>fact_payments</w:t>
            </w:r>
          </w:p>
        </w:tc>
        <w:tc>
          <w:tcPr>
            <w:tcW w:type="dxa" w:w="3408"/>
            <w:vAlign w:val="center"/>
            <w:tcMar>
              <w:top w:w="80" w:type="dxa"/>
              <w:start w:w="90" w:type="dxa"/>
              <w:bottom w:w="80" w:type="dxa"/>
              <w:end w:w="90" w:type="dxa"/>
            </w:tcMar>
          </w:tcPr>
          <w:p>
            <w:pPr>
              <w:spacing w:after="0"/>
            </w:pPr>
            <w:r>
              <w:rPr>
                <w:sz w:val="16"/>
              </w:rPr>
              <w:t>One row per payment</w:t>
            </w:r>
          </w:p>
        </w:tc>
        <w:tc>
          <w:tcPr>
            <w:tcW w:type="dxa" w:w="3408"/>
            <w:vAlign w:val="center"/>
            <w:tcMar>
              <w:top w:w="80" w:type="dxa"/>
              <w:start w:w="90" w:type="dxa"/>
              <w:bottom w:w="80" w:type="dxa"/>
              <w:end w:w="90" w:type="dxa"/>
            </w:tcMar>
          </w:tcPr>
          <w:p>
            <w:pPr>
              <w:spacing w:after="0"/>
            </w:pPr>
            <w:r>
              <w:rPr>
                <w:sz w:val="16"/>
              </w:rPr>
              <w:t>payment value, type, instalments</w:t>
            </w:r>
          </w:p>
        </w:tc>
      </w:tr>
    </w:tbl>
    <w:p>
      <w:pPr>
        <w:spacing w:after="20"/>
      </w:pPr>
    </w:p>
    <w:p>
      <w:pPr>
        <w:pStyle w:val="Heading2"/>
        <w:keepNext/>
        <w:keepNext/>
      </w:pPr>
      <w:r>
        <w:t>5.2 Dimensions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tcMar>
              <w:top w:w="80" w:type="dxa"/>
              <w:start w:w="90" w:type="dxa"/>
              <w:bottom w:w="80" w:type="dxa"/>
              <w:end w:w="90" w:type="dxa"/>
            </w:tcMar>
            <w:shd w:fill="E2E8F0"/>
          </w:tcPr>
          <w:p>
            <w:pPr>
              <w:spacing w:after="0"/>
            </w:pPr>
            <w:r>
              <w:rPr>
                <w:b/>
                <w:color w:val="0F172A"/>
                <w:sz w:val="16"/>
              </w:rPr>
              <w:t>Dimension</w:t>
            </w:r>
          </w:p>
        </w:tc>
        <w:tc>
          <w:tcPr>
            <w:tcW w:type="dxa" w:w="3408"/>
            <w:vAlign w:val="center"/>
            <w:tcMar>
              <w:top w:w="80" w:type="dxa"/>
              <w:start w:w="90" w:type="dxa"/>
              <w:bottom w:w="80" w:type="dxa"/>
              <w:end w:w="90" w:type="dxa"/>
            </w:tcMar>
            <w:shd w:fill="E2E8F0"/>
          </w:tcPr>
          <w:p>
            <w:pPr>
              <w:spacing w:after="0"/>
            </w:pPr>
            <w:r>
              <w:rPr>
                <w:b/>
                <w:color w:val="0F172A"/>
                <w:sz w:val="16"/>
              </w:rPr>
              <w:t>Business key</w:t>
            </w:r>
          </w:p>
        </w:tc>
        <w:tc>
          <w:tcPr>
            <w:tcW w:type="dxa" w:w="3408"/>
            <w:vAlign w:val="center"/>
            <w:tcMar>
              <w:top w:w="80" w:type="dxa"/>
              <w:start w:w="90" w:type="dxa"/>
              <w:bottom w:w="80" w:type="dxa"/>
              <w:end w:w="90" w:type="dxa"/>
            </w:tcMar>
            <w:shd w:fill="E2E8F0"/>
          </w:tcPr>
          <w:p>
            <w:pPr>
              <w:spacing w:after="0"/>
            </w:pPr>
            <w:r>
              <w:rPr>
                <w:b/>
                <w:color w:val="0F172A"/>
                <w:sz w:val="16"/>
              </w:rPr>
              <w:t>Purpose</w:t>
            </w:r>
          </w:p>
        </w:tc>
      </w:tr>
      <w:tr>
        <w:tc>
          <w:tcPr>
            <w:tcW w:type="dxa" w:w="3408"/>
            <w:vAlign w:val="center"/>
            <w:tcMar>
              <w:top w:w="80" w:type="dxa"/>
              <w:start w:w="90" w:type="dxa"/>
              <w:bottom w:w="80" w:type="dxa"/>
              <w:end w:w="90" w:type="dxa"/>
            </w:tcMar>
          </w:tcPr>
          <w:p>
            <w:pPr>
              <w:spacing w:after="0"/>
            </w:pPr>
            <w:r>
              <w:rPr>
                <w:sz w:val="16"/>
              </w:rPr>
              <w:t>dim_customer</w:t>
            </w:r>
          </w:p>
        </w:tc>
        <w:tc>
          <w:tcPr>
            <w:tcW w:type="dxa" w:w="3408"/>
            <w:vAlign w:val="center"/>
            <w:tcMar>
              <w:top w:w="80" w:type="dxa"/>
              <w:start w:w="90" w:type="dxa"/>
              <w:bottom w:w="80" w:type="dxa"/>
              <w:end w:w="90" w:type="dxa"/>
            </w:tcMar>
          </w:tcPr>
          <w:p>
            <w:pPr>
              <w:spacing w:after="0"/>
            </w:pPr>
            <w:r>
              <w:rPr>
                <w:sz w:val="16"/>
              </w:rPr>
              <w:t>customer_unique_id</w:t>
            </w:r>
          </w:p>
        </w:tc>
        <w:tc>
          <w:tcPr>
            <w:tcW w:type="dxa" w:w="3408"/>
            <w:vAlign w:val="center"/>
            <w:tcMar>
              <w:top w:w="80" w:type="dxa"/>
              <w:start w:w="90" w:type="dxa"/>
              <w:bottom w:w="80" w:type="dxa"/>
              <w:end w:w="90" w:type="dxa"/>
            </w:tcMar>
          </w:tcPr>
          <w:p>
            <w:pPr>
              <w:spacing w:after="0"/>
            </w:pPr>
            <w:r>
              <w:rPr>
                <w:sz w:val="16"/>
              </w:rPr>
              <w:t>Represents the real customer across multiple orders</w:t>
            </w:r>
          </w:p>
        </w:tc>
      </w:tr>
      <w:tr>
        <w:tc>
          <w:tcPr>
            <w:tcW w:type="dxa" w:w="3408"/>
            <w:vAlign w:val="center"/>
            <w:tcMar>
              <w:top w:w="80" w:type="dxa"/>
              <w:start w:w="90" w:type="dxa"/>
              <w:bottom w:w="80" w:type="dxa"/>
              <w:end w:w="90" w:type="dxa"/>
            </w:tcMar>
          </w:tcPr>
          <w:p>
            <w:pPr>
              <w:spacing w:after="0"/>
            </w:pPr>
            <w:r>
              <w:rPr>
                <w:sz w:val="16"/>
              </w:rPr>
              <w:t>dim_product</w:t>
            </w:r>
          </w:p>
        </w:tc>
        <w:tc>
          <w:tcPr>
            <w:tcW w:type="dxa" w:w="3408"/>
            <w:vAlign w:val="center"/>
            <w:tcMar>
              <w:top w:w="80" w:type="dxa"/>
              <w:start w:w="90" w:type="dxa"/>
              <w:bottom w:w="80" w:type="dxa"/>
              <w:end w:w="90" w:type="dxa"/>
            </w:tcMar>
          </w:tcPr>
          <w:p>
            <w:pPr>
              <w:spacing w:after="0"/>
            </w:pPr>
            <w:r>
              <w:rPr>
                <w:sz w:val="16"/>
              </w:rPr>
              <w:t>product_id</w:t>
            </w:r>
          </w:p>
        </w:tc>
        <w:tc>
          <w:tcPr>
            <w:tcW w:type="dxa" w:w="3408"/>
            <w:vAlign w:val="center"/>
            <w:tcMar>
              <w:top w:w="80" w:type="dxa"/>
              <w:start w:w="90" w:type="dxa"/>
              <w:bottom w:w="80" w:type="dxa"/>
              <w:end w:w="90" w:type="dxa"/>
            </w:tcMar>
          </w:tcPr>
          <w:p>
            <w:pPr>
              <w:spacing w:after="0"/>
            </w:pPr>
            <w:r>
              <w:rPr>
                <w:sz w:val="16"/>
              </w:rPr>
              <w:t>English category and product attributes</w:t>
            </w:r>
          </w:p>
        </w:tc>
      </w:tr>
      <w:tr>
        <w:tc>
          <w:tcPr>
            <w:tcW w:type="dxa" w:w="3408"/>
            <w:vAlign w:val="center"/>
            <w:tcMar>
              <w:top w:w="80" w:type="dxa"/>
              <w:start w:w="90" w:type="dxa"/>
              <w:bottom w:w="80" w:type="dxa"/>
              <w:end w:w="90" w:type="dxa"/>
            </w:tcMar>
          </w:tcPr>
          <w:p>
            <w:pPr>
              <w:spacing w:after="0"/>
            </w:pPr>
            <w:r>
              <w:rPr>
                <w:sz w:val="16"/>
              </w:rPr>
              <w:t>dim_seller</w:t>
            </w:r>
          </w:p>
        </w:tc>
        <w:tc>
          <w:tcPr>
            <w:tcW w:type="dxa" w:w="3408"/>
            <w:vAlign w:val="center"/>
            <w:tcMar>
              <w:top w:w="80" w:type="dxa"/>
              <w:start w:w="90" w:type="dxa"/>
              <w:bottom w:w="80" w:type="dxa"/>
              <w:end w:w="90" w:type="dxa"/>
            </w:tcMar>
          </w:tcPr>
          <w:p>
            <w:pPr>
              <w:spacing w:after="0"/>
            </w:pPr>
            <w:r>
              <w:rPr>
                <w:sz w:val="16"/>
              </w:rPr>
              <w:t>seller_id</w:t>
            </w:r>
          </w:p>
        </w:tc>
        <w:tc>
          <w:tcPr>
            <w:tcW w:type="dxa" w:w="3408"/>
            <w:vAlign w:val="center"/>
            <w:tcMar>
              <w:top w:w="80" w:type="dxa"/>
              <w:start w:w="90" w:type="dxa"/>
              <w:bottom w:w="80" w:type="dxa"/>
              <w:end w:w="90" w:type="dxa"/>
            </w:tcMar>
          </w:tcPr>
          <w:p>
            <w:pPr>
              <w:spacing w:after="0"/>
            </w:pPr>
            <w:r>
              <w:rPr>
                <w:sz w:val="16"/>
              </w:rPr>
              <w:t>Seller location attributes</w:t>
            </w:r>
          </w:p>
        </w:tc>
      </w:tr>
      <w:tr>
        <w:tc>
          <w:tcPr>
            <w:tcW w:type="dxa" w:w="3408"/>
            <w:vAlign w:val="center"/>
            <w:tcMar>
              <w:top w:w="80" w:type="dxa"/>
              <w:start w:w="90" w:type="dxa"/>
              <w:bottom w:w="80" w:type="dxa"/>
              <w:end w:w="90" w:type="dxa"/>
            </w:tcMar>
          </w:tcPr>
          <w:p>
            <w:pPr>
              <w:spacing w:after="0"/>
            </w:pPr>
            <w:r>
              <w:rPr>
                <w:sz w:val="16"/>
              </w:rPr>
              <w:t>dim_date</w:t>
            </w:r>
          </w:p>
        </w:tc>
        <w:tc>
          <w:tcPr>
            <w:tcW w:type="dxa" w:w="3408"/>
            <w:vAlign w:val="center"/>
            <w:tcMar>
              <w:top w:w="80" w:type="dxa"/>
              <w:start w:w="90" w:type="dxa"/>
              <w:bottom w:w="80" w:type="dxa"/>
              <w:end w:w="90" w:type="dxa"/>
            </w:tcMar>
          </w:tcPr>
          <w:p>
            <w:pPr>
              <w:spacing w:after="0"/>
            </w:pPr>
            <w:r>
              <w:rPr>
                <w:sz w:val="16"/>
              </w:rPr>
              <w:t>date_key</w:t>
            </w:r>
          </w:p>
        </w:tc>
        <w:tc>
          <w:tcPr>
            <w:tcW w:type="dxa" w:w="3408"/>
            <w:vAlign w:val="center"/>
            <w:tcMar>
              <w:top w:w="80" w:type="dxa"/>
              <w:start w:w="90" w:type="dxa"/>
              <w:bottom w:w="80" w:type="dxa"/>
              <w:end w:w="90" w:type="dxa"/>
            </w:tcMar>
          </w:tcPr>
          <w:p>
            <w:pPr>
              <w:spacing w:after="0"/>
            </w:pPr>
            <w:r>
              <w:rPr>
                <w:sz w:val="16"/>
              </w:rPr>
              <w:t>Continuous pipeline-built date dimension</w:t>
            </w:r>
          </w:p>
        </w:tc>
      </w:tr>
      <w:tr>
        <w:tc>
          <w:tcPr>
            <w:tcW w:type="dxa" w:w="3408"/>
            <w:vAlign w:val="center"/>
            <w:tcMar>
              <w:top w:w="80" w:type="dxa"/>
              <w:start w:w="90" w:type="dxa"/>
              <w:bottom w:w="80" w:type="dxa"/>
              <w:end w:w="90" w:type="dxa"/>
            </w:tcMar>
          </w:tcPr>
          <w:p>
            <w:pPr>
              <w:spacing w:after="0"/>
            </w:pPr>
            <w:r>
              <w:rPr>
                <w:sz w:val="16"/>
              </w:rPr>
              <w:t>dim_geography</w:t>
            </w:r>
          </w:p>
        </w:tc>
        <w:tc>
          <w:tcPr>
            <w:tcW w:type="dxa" w:w="3408"/>
            <w:vAlign w:val="center"/>
            <w:tcMar>
              <w:top w:w="80" w:type="dxa"/>
              <w:start w:w="90" w:type="dxa"/>
              <w:bottom w:w="80" w:type="dxa"/>
              <w:end w:w="90" w:type="dxa"/>
            </w:tcMar>
          </w:tcPr>
          <w:p>
            <w:pPr>
              <w:spacing w:after="0"/>
            </w:pPr>
            <w:r>
              <w:rPr>
                <w:sz w:val="16"/>
              </w:rPr>
              <w:t>zip_code_prefix</w:t>
            </w:r>
          </w:p>
        </w:tc>
        <w:tc>
          <w:tcPr>
            <w:tcW w:type="dxa" w:w="3408"/>
            <w:vAlign w:val="center"/>
            <w:tcMar>
              <w:top w:w="80" w:type="dxa"/>
              <w:start w:w="90" w:type="dxa"/>
              <w:bottom w:w="80" w:type="dxa"/>
              <w:end w:w="90" w:type="dxa"/>
            </w:tcMar>
          </w:tcPr>
          <w:p>
            <w:pPr>
              <w:spacing w:after="0"/>
            </w:pPr>
            <w:r>
              <w:rPr>
                <w:sz w:val="16"/>
              </w:rPr>
              <w:t>Resolved ZIP-level geography</w:t>
            </w:r>
          </w:p>
        </w:tc>
      </w:tr>
    </w:tbl>
    <w:p>
      <w:pPr>
        <w:spacing w:after="20"/>
      </w:pPr>
    </w:p>
    <w:p>
      <w:r>
        <w:rPr>
          <w:rFonts w:ascii="Liberation Mono" w:hAnsi="Liberation Mono"/>
          <w:color w:val="334155"/>
          <w:sz w:val="18"/>
        </w:rPr>
        <w:t>agg_daily_category</w:t>
      </w:r>
      <w:r>
        <w:t xml:space="preserve"> is the reporting pre-aggregation required by the brief.</w:t>
      </w:r>
    </w:p>
    <w:p>
      <w:pPr>
        <w:pStyle w:val="Heading2"/>
        <w:keepNext/>
        <w:keepNext/>
      </w:pPr>
      <w:r>
        <w:t>5.3 Customer grain</w:t>
      </w:r>
    </w:p>
    <w:p>
      <w:r>
        <w:t xml:space="preserve">Olist source </w:t>
      </w:r>
      <w:r>
        <w:rPr>
          <w:rFonts w:ascii="Liberation Mono" w:hAnsi="Liberation Mono"/>
          <w:color w:val="334155"/>
          <w:sz w:val="18"/>
        </w:rPr>
        <w:t>customer_id</w:t>
      </w:r>
      <w:r>
        <w:t xml:space="preserve"> is order-specific. Returning people can receive a different </w:t>
      </w:r>
      <w:r>
        <w:rPr>
          <w:rFonts w:ascii="Liberation Mono" w:hAnsi="Liberation Mono"/>
          <w:color w:val="334155"/>
          <w:sz w:val="18"/>
        </w:rPr>
        <w:t>customer_id</w:t>
      </w:r>
      <w:r>
        <w:t xml:space="preserve"> on later orders. Therefore </w:t>
      </w:r>
      <w:r>
        <w:rPr>
          <w:rFonts w:ascii="Liberation Mono" w:hAnsi="Liberation Mono"/>
          <w:color w:val="334155"/>
          <w:sz w:val="18"/>
        </w:rPr>
        <w:t>customer_unique_id</w:t>
      </w:r>
      <w:r>
        <w:t xml:space="preserve"> is the business key for </w:t>
      </w:r>
      <w:r>
        <w:rPr>
          <w:rFonts w:ascii="Liberation Mono" w:hAnsi="Liberation Mono"/>
          <w:color w:val="334155"/>
          <w:sz w:val="18"/>
        </w:rPr>
        <w:t>dim_customer</w:t>
      </w:r>
      <w:r>
        <w:t>, enabling correct distinct-customer and repeat-customer analysis.</w:t>
      </w:r>
    </w:p>
    <w:p>
      <w:pPr>
        <w:pStyle w:val="Heading2"/>
        <w:keepNext/>
        <w:keepNext/>
      </w:pPr>
      <w:r>
        <w:t>5.4 Fan-out and multi-fact design</w:t>
      </w:r>
    </w:p>
    <w:p>
      <w:r>
        <w:t xml:space="preserve">Items and payments are intentionally separate. An order can have several item rows and several payment rows. Joining them directly by </w:t>
      </w:r>
      <w:r>
        <w:rPr>
          <w:rFonts w:ascii="Liberation Mono" w:hAnsi="Liberation Mono"/>
          <w:color w:val="334155"/>
          <w:sz w:val="18"/>
        </w:rPr>
        <w:t>order_id</w:t>
      </w:r>
      <w:r>
        <w:t xml:space="preserve"> duplicates rows on both sides and inflates measures.</w:t>
      </w:r>
    </w:p>
    <w:p>
      <w:r>
        <w:t>Measured impact:</w:t>
      </w:r>
    </w:p>
    <w:p>
      <w:pPr>
        <w:pStyle w:val="ListBullet"/>
      </w:pPr>
      <w:r>
        <w:t xml:space="preserve">Correct item revenue: about BRL </w:t>
      </w:r>
      <w:r>
        <w:rPr>
          <w:b/>
        </w:rPr>
        <w:t>13.6M</w:t>
      </w:r>
      <w:r>
        <w:t>.</w:t>
      </w:r>
    </w:p>
    <w:p>
      <w:pPr>
        <w:pStyle w:val="ListBullet"/>
      </w:pPr>
      <w:r>
        <w:t xml:space="preserve">Item revenue after fan-out: about BRL </w:t>
      </w:r>
      <w:r>
        <w:rPr>
          <w:b/>
        </w:rPr>
        <w:t>14.2M</w:t>
      </w:r>
      <w:r>
        <w:t>.</w:t>
      </w:r>
    </w:p>
    <w:p>
      <w:pPr>
        <w:pStyle w:val="ListBullet"/>
      </w:pPr>
      <w:r>
        <w:t xml:space="preserve">Correct payment value: about BRL </w:t>
      </w:r>
      <w:r>
        <w:rPr>
          <w:b/>
        </w:rPr>
        <w:t>16.0M</w:t>
      </w:r>
      <w:r>
        <w:t>.</w:t>
      </w:r>
    </w:p>
    <w:p>
      <w:pPr>
        <w:pStyle w:val="ListBullet"/>
      </w:pPr>
      <w:r>
        <w:t xml:space="preserve">Payment value after fan-out: about BRL </w:t>
      </w:r>
      <w:r>
        <w:rPr>
          <w:b/>
        </w:rPr>
        <w:t>20.3M</w:t>
      </w:r>
      <w:r>
        <w:t>.</w:t>
      </w:r>
    </w:p>
    <w:p>
      <w:r>
        <w:t xml:space="preserve">Power BI therefore measures item revenue from </w:t>
      </w:r>
      <w:r>
        <w:rPr>
          <w:rFonts w:ascii="Liberation Mono" w:hAnsi="Liberation Mono"/>
          <w:color w:val="334155"/>
          <w:sz w:val="18"/>
        </w:rPr>
        <w:t>fact_order_items</w:t>
      </w:r>
      <w:r>
        <w:t xml:space="preserve"> and payment value from </w:t>
      </w:r>
      <w:r>
        <w:rPr>
          <w:rFonts w:ascii="Liberation Mono" w:hAnsi="Liberation Mono"/>
          <w:color w:val="334155"/>
          <w:sz w:val="18"/>
        </w:rPr>
        <w:t>fact_payments</w:t>
      </w:r>
      <w:r>
        <w:t xml:space="preserve"> independently.</w:t>
      </w:r>
    </w:p>
    <w:p>
      <w:pPr>
        <w:pStyle w:val="Heading1"/>
        <w:keepNext/>
        <w:keepNext/>
      </w:pPr>
      <w:r>
        <w:t>6. Orchestration, incremental loads, and the DQ gate</w:t>
      </w:r>
    </w:p>
    <w:p>
      <w:pPr>
        <w:pStyle w:val="Heading2"/>
        <w:keepNext/>
        <w:keepNext/>
      </w:pPr>
      <w:r>
        <w:t>6.1 Main orchestrated pipeline</w:t>
      </w:r>
    </w:p>
    <w:p>
      <w:r>
        <w:t xml:space="preserve">The Databricks job definition is stored in </w:t>
      </w:r>
      <w:r>
        <w:rPr>
          <w:rFonts w:ascii="Liberation Mono" w:hAnsi="Liberation Mono"/>
          <w:color w:val="334155"/>
          <w:sz w:val="18"/>
        </w:rPr>
        <w:t>resources/jobs/olist_pipeline.yml</w:t>
      </w:r>
      <w:r>
        <w:t xml:space="preserve"> and declares four tasks:</w:t>
      </w:r>
    </w:p>
    <w:tbl>
      <w:tblPr>
        <w:tblW w:type="auto" w:w="0"/>
        <w:jc w:val="center"/>
        <w:tblLook w:firstColumn="1" w:firstRow="1" w:lastColumn="0" w:lastRow="0" w:noHBand="0" w:noVBand="1" w:val="04A0"/>
      </w:tblPr>
      <w:tblGrid>
        <w:gridCol w:w="10224"/>
      </w:tblGrid>
      <w:tr>
        <w:tc>
          <w:tcPr>
            <w:tcW w:type="dxa" w:w="10224"/>
            <w:shd w:fill="F1F5F9"/>
            <w:tcMar>
              <w:top w:w="120" w:type="dxa"/>
              <w:start w:w="140" w:type="dxa"/>
              <w:bottom w:w="120" w:type="dxa"/>
              <w:end w:w="140" w:type="dxa"/>
            </w:tcMar>
          </w:tcPr>
          <w:p>
            <w:pPr>
              <w:spacing w:after="0"/>
            </w:pPr>
            <w:r>
              <w:rPr>
                <w:rFonts w:ascii="Liberation Mono" w:hAnsi="Liberation Mono"/>
                <w:color w:val="1E293B"/>
                <w:sz w:val="17"/>
              </w:rPr>
              <w:t>run_bronze</w:t>
            </w:r>
            <w:r>
              <w:br/>
            </w:r>
            <w:r>
              <w:rPr>
                <w:rFonts w:ascii="Liberation Mono" w:hAnsi="Liberation Mono"/>
                <w:color w:val="1E293B"/>
                <w:sz w:val="17"/>
              </w:rPr>
              <w:t xml:space="preserve">   -&gt; run_silver</w:t>
            </w:r>
            <w:r>
              <w:br/>
            </w:r>
            <w:r>
              <w:rPr>
                <w:rFonts w:ascii="Liberation Mono" w:hAnsi="Liberation Mono"/>
                <w:color w:val="1E293B"/>
                <w:sz w:val="17"/>
              </w:rPr>
              <w:t xml:space="preserve">      -&gt; run_gold</w:t>
            </w:r>
            <w:r>
              <w:br/>
            </w:r>
            <w:r>
              <w:rPr>
                <w:rFonts w:ascii="Liberation Mono" w:hAnsi="Liberation Mono"/>
                <w:color w:val="1E293B"/>
                <w:sz w:val="17"/>
              </w:rPr>
              <w:t xml:space="preserve">         -&gt; data_quality</w:t>
            </w:r>
          </w:p>
        </w:tc>
      </w:tr>
    </w:tbl>
    <w:p>
      <w:pPr>
        <w:spacing w:after="20"/>
      </w:pPr>
    </w:p>
    <w:p>
      <w:r>
        <w:t xml:space="preserve">The job definition references the orchestration notebooks as repository </w:t>
      </w:r>
      <w:r>
        <w:rPr>
          <w:rFonts w:ascii="Liberation Mono" w:hAnsi="Liberation Mono"/>
          <w:color w:val="334155"/>
          <w:sz w:val="18"/>
        </w:rPr>
        <w:t>.ipynb</w:t>
      </w:r>
      <w:r>
        <w:t xml:space="preserve"> files. Task dependencies prevent downstream layers from running before upstream completion.</w:t>
      </w:r>
    </w:p>
    <w:p>
      <w:pPr>
        <w:pStyle w:val="Heading2"/>
        <w:keepNext/>
        <w:keepNext/>
      </w:pPr>
      <w:r>
        <w:t>6.2 Incremental processing</w:t>
      </w:r>
    </w:p>
    <w:p>
      <w:r>
        <w:t xml:space="preserve">Incremental processing is driven by </w:t>
      </w:r>
      <w:r>
        <w:rPr>
          <w:rFonts w:ascii="Liberation Mono" w:hAnsi="Liberation Mono"/>
          <w:color w:val="334155"/>
          <w:sz w:val="18"/>
        </w:rPr>
        <w:t>order_purchase_timestamp</w:t>
      </w:r>
      <w:r>
        <w:t>.</w:t>
      </w:r>
    </w:p>
    <w:p>
      <w:pPr>
        <w:pStyle w:val="ListNumber"/>
      </w:pPr>
      <w:r>
        <w:t xml:space="preserve">A historical load processes orders through the initial cutoff </w:t>
      </w:r>
      <w:r>
        <w:rPr>
          <w:rFonts w:ascii="Liberation Mono" w:hAnsi="Liberation Mono"/>
          <w:color w:val="334155"/>
          <w:sz w:val="18"/>
        </w:rPr>
        <w:t>2017-12-31</w:t>
      </w:r>
      <w:r>
        <w:t>.</w:t>
      </w:r>
    </w:p>
    <w:p>
      <w:pPr>
        <w:pStyle w:val="ListNumber"/>
      </w:pPr>
      <w:r>
        <w:t>A control object stores the last successfully processed value as a watermark.</w:t>
      </w:r>
    </w:p>
    <w:p>
      <w:pPr>
        <w:pStyle w:val="ListNumber"/>
      </w:pPr>
      <w:r>
        <w:t>Incremental mode reads the watermark and selects only later records.</w:t>
      </w:r>
    </w:p>
    <w:p>
      <w:pPr>
        <w:pStyle w:val="ListNumber"/>
      </w:pPr>
      <w:r>
        <w:t xml:space="preserve">Delta </w:t>
      </w:r>
      <w:r>
        <w:rPr>
          <w:rFonts w:ascii="Liberation Mono" w:hAnsi="Liberation Mono"/>
          <w:color w:val="334155"/>
          <w:sz w:val="18"/>
        </w:rPr>
        <w:t>MERGE</w:t>
      </w:r>
      <w:r>
        <w:t xml:space="preserve"> updates matching business keys and inserts only new records.</w:t>
      </w:r>
    </w:p>
    <w:p>
      <w:pPr>
        <w:pStyle w:val="ListNumber"/>
      </w:pPr>
      <w:r>
        <w:t>The watermark advances after a successful write.</w:t>
      </w:r>
    </w:p>
    <w:p>
      <w:r>
        <w:t>This makes reprocessing idempotent: rerunning an increment does not double-count the same business records.</w:t>
      </w:r>
    </w:p>
    <w:p>
      <w:pPr>
        <w:pStyle w:val="Heading2"/>
        <w:keepNext/>
        <w:keepNext/>
      </w:pPr>
      <w:r>
        <w:t>6.3 Automated data quality gate</w:t>
      </w:r>
    </w:p>
    <w:p>
      <w:r>
        <w:t>The final task fails the job if a required rule is breached. It covers:</w:t>
      </w:r>
    </w:p>
    <w:p>
      <w:pPr>
        <w:pStyle w:val="ListBullet"/>
      </w:pPr>
      <w:r>
        <w:t>expected row counts / non-empty layer outputs</w:t>
      </w:r>
    </w:p>
    <w:p>
      <w:pPr>
        <w:pStyle w:val="ListBullet"/>
      </w:pPr>
      <w:r>
        <w:t>source freshness based on latest order date</w:t>
      </w:r>
    </w:p>
    <w:p>
      <w:pPr>
        <w:pStyle w:val="ListBullet"/>
      </w:pPr>
      <w:r>
        <w:t>uniqueness of dimension keys</w:t>
      </w:r>
    </w:p>
    <w:p>
      <w:pPr>
        <w:pStyle w:val="ListBullet"/>
      </w:pPr>
      <w:r>
        <w:t>seven implemented fact-to-dimension referential-integrity checks</w:t>
      </w:r>
    </w:p>
    <w:p>
      <w:pPr>
        <w:pStyle w:val="ListBullet"/>
      </w:pPr>
      <w:r>
        <w:t>range validation for price, freight, and review score</w:t>
      </w:r>
    </w:p>
    <w:p>
      <w:r>
        <w:t>The final rerun after the Auto Loader migration passed all DQ checks.</w:t>
      </w:r>
    </w:p>
    <w:p>
      <w:pPr>
        <w:pStyle w:val="Heading1"/>
        <w:keepNext/>
        <w:keepNext/>
      </w:pPr>
      <w:r>
        <w:t>7. Power BI semantic model and report</w:t>
      </w:r>
    </w:p>
    <w:p>
      <w:r>
        <w:t>The primary Power BI solution uses Import mode against the Gold layer through a Databricks SQL Warehouse. Import was selected for the base report because the dataset is historical and small enough for fast VertiPaq interaction.</w:t>
      </w:r>
    </w:p>
    <w:p>
      <w:r>
        <w:t>The base semantic model contains 15 core DAX measures covering:</w:t>
      </w:r>
    </w:p>
    <w:p>
      <w:pPr>
        <w:pStyle w:val="ListBullet"/>
      </w:pPr>
      <w:r>
        <w:t>revenue, freight, average order value</w:t>
      </w:r>
    </w:p>
    <w:p>
      <w:pPr>
        <w:pStyle w:val="ListBullet"/>
      </w:pPr>
      <w:r>
        <w:t>order count and distinct customer count</w:t>
      </w:r>
    </w:p>
    <w:p>
      <w:pPr>
        <w:pStyle w:val="ListBullet"/>
      </w:pPr>
      <w:r>
        <w:t>on-time delivery rate</w:t>
      </w:r>
    </w:p>
    <w:p>
      <w:pPr>
        <w:pStyle w:val="ListBullet"/>
      </w:pPr>
      <w:r>
        <w:t>average review score and low-review share</w:t>
      </w:r>
    </w:p>
    <w:p>
      <w:pPr>
        <w:pStyle w:val="ListBullet"/>
      </w:pPr>
      <w:r>
        <w:t>repeat customer rate</w:t>
      </w:r>
    </w:p>
    <w:p>
      <w:pPr>
        <w:pStyle w:val="ListBullet"/>
      </w:pPr>
      <w:r>
        <w:t>month-over-month and year-over-year comparisons</w:t>
      </w:r>
    </w:p>
    <w:p>
      <w:pPr>
        <w:pStyle w:val="ListBullet"/>
      </w:pPr>
      <w:r>
        <w:t>payment totals used for reconciliation</w:t>
      </w:r>
    </w:p>
    <w:p>
      <w:r>
        <w:t xml:space="preserve">Relationships use single-direction dimension-to-fact filtering, and </w:t>
      </w:r>
      <w:r>
        <w:rPr>
          <w:rFonts w:ascii="Liberation Mono" w:hAnsi="Liberation Mono"/>
          <w:color w:val="334155"/>
          <w:sz w:val="18"/>
        </w:rPr>
        <w:t>dim_date</w:t>
      </w:r>
      <w:r>
        <w:t xml:space="preserve"> is marked as the date table.</w:t>
      </w:r>
    </w:p>
    <w:p>
      <w:r>
        <w:t xml:space="preserve">The original three-page Import model was approximately </w:t>
      </w:r>
      <w:r>
        <w:rPr>
          <w:b/>
        </w:rPr>
        <w:t>24 MB</w:t>
      </w:r>
      <w:r>
        <w:t xml:space="preserve"> before the ML bonus table was added. No new formal cross-mode model-size benchmark is claimed after the bonus work.</w:t>
      </w:r>
    </w:p>
    <w:p>
      <w:pPr>
        <w:pStyle w:val="Heading2"/>
        <w:keepNext/>
        <w:keepNext/>
      </w:pPr>
      <w:r>
        <w:t>7.1 Report pages</w:t>
      </w:r>
    </w:p>
    <w:p>
      <w:r>
        <w:t>The Import report now contains four pages:</w:t>
      </w:r>
    </w:p>
    <w:p>
      <w:pPr>
        <w:pStyle w:val="ListNumber"/>
      </w:pPr>
      <w:r>
        <w:rPr>
          <w:b/>
        </w:rPr>
        <w:t>Executive Overview</w:t>
      </w:r>
      <w:r>
        <w:t xml:space="preserve"> - headline KPIs, revenue trend, category contribution, and state breakdown.</w:t>
      </w:r>
    </w:p>
    <w:p>
      <w:pPr>
        <w:pStyle w:val="ListNumber"/>
      </w:pPr>
      <w:r>
        <w:rPr>
          <w:b/>
        </w:rPr>
        <w:t>Delivery &amp; Operations</w:t>
      </w:r>
      <w:r>
        <w:t xml:space="preserve"> - on-time delivery, funnel timings, delivery variance, and route/state analysis.</w:t>
      </w:r>
    </w:p>
    <w:p>
      <w:pPr>
        <w:pStyle w:val="ListNumber"/>
      </w:pPr>
      <w:r>
        <w:rPr>
          <w:b/>
        </w:rPr>
        <w:t>Product &amp; Seller Performance</w:t>
      </w:r>
      <w:r>
        <w:t xml:space="preserve"> - product/seller contribution, reviews, and customer behavior.</w:t>
      </w:r>
    </w:p>
    <w:p>
      <w:pPr>
        <w:pStyle w:val="ListNumber"/>
      </w:pPr>
      <w:r>
        <w:rPr>
          <w:b/>
        </w:rPr>
        <w:t>Delivery Delay Prediction</w:t>
      </w:r>
      <w:r>
        <w:t xml:space="preserve"> - Bonus 5 test-set view showing actual versus predicted delivery delay and ML validation metrics.</w:t>
      </w:r>
    </w:p>
    <w:p>
      <w:r>
        <w:t>The first three pages satisfy the base report requirement. Page 4 is an additional model-validation page.</w:t>
      </w:r>
    </w:p>
    <w:p>
      <w:pPr>
        <w:pStyle w:val="Heading1"/>
        <w:keepNext/>
        <w:keepNext/>
      </w:pPr>
      <w:r>
        <w:t>8. Performance work</w:t>
      </w:r>
    </w:p>
    <w:p>
      <w:pPr>
        <w:pStyle w:val="Heading2"/>
        <w:keepNext/>
        <w:keepNext/>
      </w:pPr>
      <w:r>
        <w:t>8.1 Backend optimization</w:t>
      </w:r>
    </w:p>
    <w:p>
      <w:r>
        <w:t xml:space="preserve">A controlled revenue-by-date query was measured before and after Delta </w:t>
      </w:r>
      <w:r>
        <w:rPr>
          <w:rFonts w:ascii="Liberation Mono" w:hAnsi="Liberation Mono"/>
          <w:color w:val="334155"/>
          <w:sz w:val="18"/>
        </w:rPr>
        <w:t>OPTIMIZE</w:t>
      </w:r>
      <w:r>
        <w:t xml:space="preserve"> + Z-ORDER:</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Mar>
              <w:top w:w="80" w:type="dxa"/>
              <w:start w:w="90" w:type="dxa"/>
              <w:bottom w:w="80" w:type="dxa"/>
              <w:end w:w="90" w:type="dxa"/>
            </w:tcMar>
            <w:shd w:fill="E2E8F0"/>
          </w:tcPr>
          <w:p>
            <w:pPr>
              <w:spacing w:after="0"/>
            </w:pPr>
            <w:r>
              <w:rPr>
                <w:b/>
                <w:color w:val="0F172A"/>
                <w:sz w:val="16"/>
              </w:rPr>
              <w:t>Stage</w:t>
            </w:r>
          </w:p>
        </w:tc>
        <w:tc>
          <w:tcPr>
            <w:tcW w:type="dxa" w:w="5112"/>
            <w:vAlign w:val="center"/>
            <w:tcMar>
              <w:top w:w="80" w:type="dxa"/>
              <w:start w:w="90" w:type="dxa"/>
              <w:bottom w:w="80" w:type="dxa"/>
              <w:end w:w="90" w:type="dxa"/>
            </w:tcMar>
            <w:shd w:fill="E2E8F0"/>
          </w:tcPr>
          <w:p>
            <w:pPr>
              <w:spacing w:after="0"/>
            </w:pPr>
            <w:r>
              <w:rPr>
                <w:b/>
                <w:color w:val="0F172A"/>
                <w:sz w:val="16"/>
              </w:rPr>
              <w:t>Time</w:t>
            </w:r>
          </w:p>
        </w:tc>
      </w:tr>
      <w:tr>
        <w:tc>
          <w:tcPr>
            <w:tcW w:type="dxa" w:w="5112"/>
            <w:vAlign w:val="center"/>
            <w:tcMar>
              <w:top w:w="80" w:type="dxa"/>
              <w:start w:w="90" w:type="dxa"/>
              <w:bottom w:w="80" w:type="dxa"/>
              <w:end w:w="90" w:type="dxa"/>
            </w:tcMar>
          </w:tcPr>
          <w:p>
            <w:pPr>
              <w:spacing w:after="0"/>
            </w:pPr>
            <w:r>
              <w:rPr>
                <w:sz w:val="16"/>
              </w:rPr>
              <w:t>Before</w:t>
            </w:r>
          </w:p>
        </w:tc>
        <w:tc>
          <w:tcPr>
            <w:tcW w:type="dxa" w:w="5112"/>
            <w:vAlign w:val="center"/>
            <w:tcMar>
              <w:top w:w="80" w:type="dxa"/>
              <w:start w:w="90" w:type="dxa"/>
              <w:bottom w:w="80" w:type="dxa"/>
              <w:end w:w="90" w:type="dxa"/>
            </w:tcMar>
          </w:tcPr>
          <w:p>
            <w:pPr>
              <w:spacing w:after="0"/>
            </w:pPr>
            <w:r>
              <w:rPr>
                <w:sz w:val="16"/>
              </w:rPr>
              <w:t>0.84 s</w:t>
            </w:r>
          </w:p>
        </w:tc>
      </w:tr>
      <w:tr>
        <w:tc>
          <w:tcPr>
            <w:tcW w:type="dxa" w:w="5112"/>
            <w:vAlign w:val="center"/>
            <w:tcMar>
              <w:top w:w="80" w:type="dxa"/>
              <w:start w:w="90" w:type="dxa"/>
              <w:bottom w:w="80" w:type="dxa"/>
              <w:end w:w="90" w:type="dxa"/>
            </w:tcMar>
          </w:tcPr>
          <w:p>
            <w:pPr>
              <w:spacing w:after="0"/>
            </w:pPr>
            <w:r>
              <w:rPr>
                <w:sz w:val="16"/>
              </w:rPr>
              <w:t>After</w:t>
            </w:r>
          </w:p>
        </w:tc>
        <w:tc>
          <w:tcPr>
            <w:tcW w:type="dxa" w:w="5112"/>
            <w:vAlign w:val="center"/>
            <w:tcMar>
              <w:top w:w="80" w:type="dxa"/>
              <w:start w:w="90" w:type="dxa"/>
              <w:bottom w:w="80" w:type="dxa"/>
              <w:end w:w="90" w:type="dxa"/>
            </w:tcMar>
          </w:tcPr>
          <w:p>
            <w:pPr>
              <w:spacing w:after="0"/>
            </w:pPr>
            <w:r>
              <w:rPr>
                <w:sz w:val="16"/>
              </w:rPr>
              <w:t>0.63 s</w:t>
            </w:r>
          </w:p>
        </w:tc>
      </w:tr>
      <w:tr>
        <w:tc>
          <w:tcPr>
            <w:tcW w:type="dxa" w:w="5112"/>
            <w:vAlign w:val="center"/>
            <w:tcMar>
              <w:top w:w="80" w:type="dxa"/>
              <w:start w:w="90" w:type="dxa"/>
              <w:bottom w:w="80" w:type="dxa"/>
              <w:end w:w="90" w:type="dxa"/>
            </w:tcMar>
          </w:tcPr>
          <w:p>
            <w:pPr>
              <w:spacing w:after="0"/>
            </w:pPr>
            <w:r>
              <w:rPr>
                <w:sz w:val="16"/>
              </w:rPr>
              <w:t>Improvement</w:t>
            </w:r>
          </w:p>
        </w:tc>
        <w:tc>
          <w:tcPr>
            <w:tcW w:type="dxa" w:w="5112"/>
            <w:vAlign w:val="center"/>
            <w:tcMar>
              <w:top w:w="80" w:type="dxa"/>
              <w:start w:w="90" w:type="dxa"/>
              <w:bottom w:w="80" w:type="dxa"/>
              <w:end w:w="90" w:type="dxa"/>
            </w:tcMar>
          </w:tcPr>
          <w:p>
            <w:pPr>
              <w:spacing w:after="0"/>
            </w:pPr>
            <w:r>
              <w:rPr>
                <w:sz w:val="16"/>
              </w:rPr>
              <w:t>25.3%</w:t>
            </w:r>
          </w:p>
        </w:tc>
      </w:tr>
    </w:tbl>
    <w:p>
      <w:pPr>
        <w:spacing w:after="20"/>
      </w:pPr>
    </w:p>
    <w:p>
      <w:r>
        <w:t xml:space="preserve">Z-ORDER improves </w:t>
      </w:r>
      <w:r>
        <w:rPr>
          <w:b/>
        </w:rPr>
        <w:t>data skipping</w:t>
      </w:r>
      <w:r>
        <w:t xml:space="preserve"> by colocating related values so the Delta engine can avoid files that cannot match the query predicates. It is different from partition pruning. Bronze geolocation is physically partitioned by state; selected Gold fact columns use Z-ORDER for data skipping.</w:t>
      </w:r>
    </w:p>
    <w:p>
      <w:pPr>
        <w:pStyle w:val="Heading2"/>
        <w:keepNext/>
        <w:keepNext/>
      </w:pPr>
      <w:r>
        <w:t>8.2 Semantic model</w:t>
      </w:r>
    </w:p>
    <w:p>
      <w:r>
        <w:t>Only reporting-relevant Gold columns are loaded into the Power BI base model. The original Import model was approximately 24 MB before Bonus 5 added the prediction table.</w:t>
      </w:r>
    </w:p>
    <w:p>
      <w:pPr>
        <w:pStyle w:val="Heading2"/>
        <w:keepNext/>
        <w:keepNext/>
      </w:pPr>
      <w:r>
        <w:t>8.3 Import / DirectQuery note</w:t>
      </w:r>
    </w:p>
    <w:p>
      <w:r>
        <w:t>A DirectQuery variant was created, but no formal refresh-time, query-time, and model-size comparison was performed. Therefore the Import-vs-DirectQuery bonus is documented as partial relative to the exact exercise wording rather than overstated as a completed benchmark.</w:t>
      </w:r>
    </w:p>
    <w:p>
      <w:pPr>
        <w:pStyle w:val="Heading1"/>
        <w:keepNext/>
        <w:keepNext/>
      </w:pPr>
      <w:r>
        <w:t>9. Bonus work</w:t>
      </w:r>
    </w:p>
    <w:p>
      <w:pPr>
        <w:pStyle w:val="Heading2"/>
        <w:keepNext/>
        <w:keepNext/>
      </w:pPr>
      <w:r>
        <w:t>9.1 Bonus 1 - Auto Loader / Structured Streaming - Complete</w:t>
      </w:r>
    </w:p>
    <w:p>
      <w:r>
        <w:t xml:space="preserve">All nine Bronze notebooks use Auto Loader instead of batch reads. The shared helper uses </w:t>
      </w:r>
      <w:r>
        <w:rPr>
          <w:rFonts w:ascii="Liberation Mono" w:hAnsi="Liberation Mono"/>
          <w:color w:val="334155"/>
          <w:sz w:val="18"/>
        </w:rPr>
        <w:t>cloudFiles</w:t>
      </w:r>
      <w:r>
        <w:t xml:space="preserve">, explicit schemas, source-specific checkpoints, and </w:t>
      </w:r>
      <w:r>
        <w:rPr>
          <w:rFonts w:ascii="Liberation Mono" w:hAnsi="Liberation Mono"/>
          <w:color w:val="334155"/>
          <w:sz w:val="18"/>
        </w:rPr>
        <w:t>availableNow=True</w:t>
      </w:r>
      <w:r>
        <w:t>. Each output remains Delta and retains ingestion metadata.</w:t>
      </w:r>
    </w:p>
    <w:p>
      <w:r>
        <w:t>This migration was validated end to end: all nine source row counts matched, metadata was non-null, all checkpoint folders existed, geolocation partitioning remained correct, and the downstream Silver -&gt; Gold -&gt; DQ chain passed.</w:t>
      </w:r>
    </w:p>
    <w:p>
      <w:pPr>
        <w:pStyle w:val="Heading2"/>
        <w:keepNext/>
        <w:keepNext/>
      </w:pPr>
      <w:r>
        <w:t>9.2 Bonus 2 - Databricks Asset Bundle + GitHub Actions CI - Complete</w:t>
      </w:r>
    </w:p>
    <w:p>
      <w:r>
        <w:t>The project is packaged as a Databricks Asset Bundle:</w:t>
      </w:r>
    </w:p>
    <w:tbl>
      <w:tblPr>
        <w:tblW w:type="auto" w:w="0"/>
        <w:jc w:val="center"/>
        <w:tblLook w:firstColumn="1" w:firstRow="1" w:lastColumn="0" w:lastRow="0" w:noHBand="0" w:noVBand="1" w:val="04A0"/>
      </w:tblPr>
      <w:tblGrid>
        <w:gridCol w:w="10224"/>
      </w:tblGrid>
      <w:tr>
        <w:tc>
          <w:tcPr>
            <w:tcW w:type="dxa" w:w="10224"/>
            <w:shd w:fill="F1F5F9"/>
            <w:tcMar>
              <w:top w:w="120" w:type="dxa"/>
              <w:start w:w="140" w:type="dxa"/>
              <w:bottom w:w="120" w:type="dxa"/>
              <w:end w:w="140" w:type="dxa"/>
            </w:tcMar>
          </w:tcPr>
          <w:p>
            <w:pPr>
              <w:spacing w:after="0"/>
            </w:pPr>
            <w:r>
              <w:rPr>
                <w:rFonts w:ascii="Liberation Mono" w:hAnsi="Liberation Mono"/>
                <w:color w:val="1E293B"/>
                <w:sz w:val="17"/>
              </w:rPr>
              <w:t>databricks.yml</w:t>
            </w:r>
            <w:r>
              <w:br/>
            </w:r>
            <w:r>
              <w:rPr>
                <w:rFonts w:ascii="Liberation Mono" w:hAnsi="Liberation Mono"/>
                <w:color w:val="1E293B"/>
                <w:sz w:val="17"/>
              </w:rPr>
              <w:t>resources/jobs/olist_pipeline.yml</w:t>
            </w:r>
            <w:r>
              <w:br/>
            </w:r>
            <w:r>
              <w:rPr>
                <w:rFonts w:ascii="Liberation Mono" w:hAnsi="Liberation Mono"/>
                <w:color w:val="1E293B"/>
                <w:sz w:val="17"/>
              </w:rPr>
              <w:t>.github/workflows/validate-bundle.yml</w:t>
            </w:r>
          </w:p>
        </w:tc>
      </w:tr>
    </w:tbl>
    <w:p>
      <w:pPr>
        <w:spacing w:after="20"/>
      </w:pPr>
    </w:p>
    <w:p>
      <w:r>
        <w:rPr>
          <w:rFonts w:ascii="Liberation Mono" w:hAnsi="Liberation Mono"/>
          <w:color w:val="334155"/>
          <w:sz w:val="18"/>
        </w:rPr>
        <w:t>databricks.yml</w:t>
      </w:r>
      <w:r>
        <w:t xml:space="preserve"> includes the job resource files and defines the </w:t>
      </w:r>
      <w:r>
        <w:rPr>
          <w:rFonts w:ascii="Liberation Mono" w:hAnsi="Liberation Mono"/>
          <w:color w:val="334155"/>
          <w:sz w:val="18"/>
        </w:rPr>
        <w:t>dev</w:t>
      </w:r>
      <w:r>
        <w:t xml:space="preserve"> target. GitHub Actions checks out the repository, installs the Databricks CLI, authenticates through GitHub repository secrets, and runs:</w:t>
      </w:r>
    </w:p>
    <w:tbl>
      <w:tblPr>
        <w:tblW w:type="auto" w:w="0"/>
        <w:jc w:val="center"/>
        <w:tblLook w:firstColumn="1" w:firstRow="1" w:lastColumn="0" w:lastRow="0" w:noHBand="0" w:noVBand="1" w:val="04A0"/>
      </w:tblPr>
      <w:tblGrid>
        <w:gridCol w:w="10224"/>
      </w:tblGrid>
      <w:tr>
        <w:tc>
          <w:tcPr>
            <w:tcW w:type="dxa" w:w="10224"/>
            <w:shd w:fill="F1F5F9"/>
            <w:tcMar>
              <w:top w:w="120" w:type="dxa"/>
              <w:start w:w="140" w:type="dxa"/>
              <w:bottom w:w="120" w:type="dxa"/>
              <w:end w:w="140" w:type="dxa"/>
            </w:tcMar>
          </w:tcPr>
          <w:p>
            <w:pPr>
              <w:spacing w:after="0"/>
            </w:pPr>
            <w:r>
              <w:rPr>
                <w:rFonts w:ascii="Liberation Mono" w:hAnsi="Liberation Mono"/>
                <w:color w:val="1E293B"/>
                <w:sz w:val="17"/>
              </w:rPr>
              <w:t>databricks bundle validate --target dev</w:t>
            </w:r>
          </w:p>
        </w:tc>
      </w:tr>
    </w:tbl>
    <w:p>
      <w:pPr>
        <w:spacing w:after="20"/>
      </w:pPr>
    </w:p>
    <w:p>
      <w:r>
        <w:t>The final workflow run passed. The CI validates the bundle definition and notebook references; it does not deploy or execute the data pipeline because deployment was not required by the bonus wording.</w:t>
      </w:r>
    </w:p>
    <w:p>
      <w:pPr>
        <w:jc w:val="center"/>
      </w:pPr>
      <w:r>
        <w:drawing>
          <wp:inline xmlns:a="http://schemas.openxmlformats.org/drawingml/2006/main" xmlns:pic="http://schemas.openxmlformats.org/drawingml/2006/picture">
            <wp:extent cx="6217920" cy="3492661"/>
            <wp:docPr id="3" name="Picture 3"/>
            <wp:cNvGraphicFramePr>
              <a:graphicFrameLocks noChangeAspect="1"/>
            </wp:cNvGraphicFramePr>
            <a:graphic>
              <a:graphicData uri="http://schemas.openxmlformats.org/drawingml/2006/picture">
                <pic:pic>
                  <pic:nvPicPr>
                    <pic:cNvPr id="0" name="github_actions_pass.png"/>
                    <pic:cNvPicPr/>
                  </pic:nvPicPr>
                  <pic:blipFill>
                    <a:blip r:embed="rId13"/>
                    <a:stretch>
                      <a:fillRect/>
                    </a:stretch>
                  </pic:blipFill>
                  <pic:spPr>
                    <a:xfrm>
                      <a:off x="0" y="0"/>
                      <a:ext cx="6217920" cy="3492661"/>
                    </a:xfrm>
                    <a:prstGeom prst="rect"/>
                  </pic:spPr>
                </pic:pic>
              </a:graphicData>
            </a:graphic>
          </wp:inline>
        </w:drawing>
      </w:r>
    </w:p>
    <w:p>
      <w:pPr>
        <w:spacing w:after="160"/>
        <w:jc w:val="center"/>
      </w:pPr>
      <w:r>
        <w:rPr>
          <w:i/>
          <w:color w:val="475569"/>
          <w:sz w:val="17"/>
        </w:rPr>
        <w:t>Figure 3. GitHub Actions validation of the Databricks Asset Bundle after correcting notebook file references.</w:t>
      </w:r>
    </w:p>
    <w:p>
      <w:pPr>
        <w:pStyle w:val="Heading2"/>
        <w:keepNext/>
        <w:keepNext/>
      </w:pPr>
      <w:r>
        <w:t>9.3 Bonus 3 - Unity Catalog lakehouse RLS - Complete</w:t>
      </w:r>
    </w:p>
    <w:p>
      <w:r>
        <w:t xml:space="preserve">Lakehouse row-level security is implemented in </w:t>
      </w:r>
      <w:r>
        <w:rPr>
          <w:rFonts w:ascii="Liberation Mono" w:hAnsi="Liberation Mono"/>
          <w:color w:val="334155"/>
          <w:sz w:val="18"/>
        </w:rPr>
        <w:t>04-gold/10_rls_lakehouse.ipynb</w:t>
      </w:r>
      <w:r>
        <w:t>.</w:t>
      </w:r>
    </w:p>
    <w:p>
      <w:r>
        <w:t>The implementation creates:</w:t>
      </w:r>
    </w:p>
    <w:p>
      <w:pPr>
        <w:pStyle w:val="ListBullet"/>
      </w:pPr>
      <w:r>
        <w:rPr>
          <w:rFonts w:ascii="Liberation Mono" w:hAnsi="Liberation Mono"/>
          <w:color w:val="334155"/>
          <w:sz w:val="18"/>
        </w:rPr>
        <w:t>olist.control.seller_state_access</w:t>
      </w:r>
      <w:r>
        <w:t xml:space="preserve"> - user-to-state entitlement mapping</w:t>
      </w:r>
    </w:p>
    <w:p>
      <w:pPr>
        <w:pStyle w:val="ListBullet"/>
      </w:pPr>
      <w:r>
        <w:rPr>
          <w:rFonts w:ascii="Liberation Mono" w:hAnsi="Liberation Mono"/>
          <w:color w:val="334155"/>
          <w:sz w:val="18"/>
        </w:rPr>
        <w:t>olist.control.seller_security_bridge</w:t>
      </w:r>
      <w:r>
        <w:t xml:space="preserve"> - seller-to-state bridge</w:t>
      </w:r>
    </w:p>
    <w:p>
      <w:pPr>
        <w:pStyle w:val="ListBullet"/>
      </w:pPr>
      <w:r>
        <w:rPr>
          <w:rFonts w:ascii="Liberation Mono" w:hAnsi="Liberation Mono"/>
          <w:color w:val="334155"/>
          <w:sz w:val="18"/>
        </w:rPr>
        <w:t>olist.gold.seller_state_filter(state STRING)</w:t>
      </w:r>
      <w:r>
        <w:t xml:space="preserve"> - row-filter function for seller state</w:t>
      </w:r>
    </w:p>
    <w:p>
      <w:pPr>
        <w:pStyle w:val="ListBullet"/>
      </w:pPr>
      <w:r>
        <w:rPr>
          <w:rFonts w:ascii="Liberation Mono" w:hAnsi="Liberation Mono"/>
          <w:color w:val="334155"/>
          <w:sz w:val="18"/>
        </w:rPr>
        <w:t>olist.gold.seller_id_filter(input_seller_id STRING)</w:t>
      </w:r>
      <w:r>
        <w:t xml:space="preserve"> - row-filter function for seller IDs</w:t>
      </w:r>
    </w:p>
    <w:p>
      <w:r>
        <w:t>Row filters are applied to:</w:t>
      </w:r>
    </w:p>
    <w:p>
      <w:pPr>
        <w:pStyle w:val="ListBullet"/>
      </w:pPr>
      <w:r>
        <w:rPr>
          <w:rFonts w:ascii="Liberation Mono" w:hAnsi="Liberation Mono"/>
          <w:color w:val="334155"/>
          <w:sz w:val="18"/>
        </w:rPr>
        <w:t>olist.gold.dim_seller</w:t>
      </w:r>
      <w:r>
        <w:t xml:space="preserve"> on </w:t>
      </w:r>
      <w:r>
        <w:rPr>
          <w:rFonts w:ascii="Liberation Mono" w:hAnsi="Liberation Mono"/>
          <w:color w:val="334155"/>
          <w:sz w:val="18"/>
        </w:rPr>
        <w:t>seller_state</w:t>
      </w:r>
    </w:p>
    <w:p>
      <w:pPr>
        <w:pStyle w:val="ListBullet"/>
      </w:pPr>
      <w:r>
        <w:rPr>
          <w:rFonts w:ascii="Liberation Mono" w:hAnsi="Liberation Mono"/>
          <w:color w:val="334155"/>
          <w:sz w:val="18"/>
        </w:rPr>
        <w:t>olist.gold.fact_order_items</w:t>
      </w:r>
      <w:r>
        <w:t xml:space="preserve"> on </w:t>
      </w:r>
      <w:r>
        <w:rPr>
          <w:rFonts w:ascii="Liberation Mono" w:hAnsi="Liberation Mono"/>
          <w:color w:val="334155"/>
          <w:sz w:val="18"/>
        </w:rPr>
        <w:t>seller_id</w:t>
      </w:r>
    </w:p>
    <w:p>
      <w:r>
        <w:t xml:space="preserve">Validation for the assigned state </w:t>
      </w:r>
      <w:r>
        <w:rPr>
          <w:rFonts w:ascii="Liberation Mono" w:hAnsi="Liberation Mono"/>
          <w:color w:val="334155"/>
          <w:sz w:val="18"/>
        </w:rPr>
        <w:t>SP</w:t>
      </w:r>
      <w:r>
        <w:t xml:space="preserve"> produced:</w:t>
      </w:r>
    </w:p>
    <w:p>
      <w:pPr>
        <w:pStyle w:val="ListBullet"/>
      </w:pPr>
      <w:r>
        <w:t>baseline sellers: 3,095</w:t>
      </w:r>
    </w:p>
    <w:p>
      <w:pPr>
        <w:pStyle w:val="ListBullet"/>
      </w:pPr>
      <w:r>
        <w:t>visible sellers after RLS: 1,849</w:t>
      </w:r>
    </w:p>
    <w:p>
      <w:pPr>
        <w:pStyle w:val="ListBullet"/>
      </w:pPr>
      <w:r>
        <w:t>baseline order-item rows: 112,650</w:t>
      </w:r>
    </w:p>
    <w:p>
      <w:pPr>
        <w:pStyle w:val="ListBullet"/>
      </w:pPr>
      <w:r>
        <w:t>visible order-item rows after RLS: 80,342</w:t>
      </w:r>
    </w:p>
    <w:p>
      <w:pPr>
        <w:pStyle w:val="ListBullet"/>
      </w:pPr>
      <w:r>
        <w:t>visible seller states: 1</w:t>
      </w:r>
    </w:p>
    <w:p>
      <w:pPr>
        <w:pStyle w:val="ListBullet"/>
      </w:pPr>
      <w:r>
        <w:t>rows visible outside assigned state: 0</w:t>
      </w:r>
    </w:p>
    <w:p>
      <w:r>
        <w:t>This demonstrates that the restriction is enforced in Unity Catalog rather than only inside Power BI.</w:t>
      </w:r>
    </w:p>
    <w:p>
      <w:pPr>
        <w:pStyle w:val="Heading2"/>
        <w:keepNext/>
        <w:keepNext/>
      </w:pPr>
      <w:r>
        <w:t>9.4 Bonus 4 - Import + DirectQuery - Partial relative to the full wording</w:t>
      </w:r>
    </w:p>
    <w:p>
      <w:r>
        <w:t>Two Power BI variants were created:</w:t>
      </w:r>
    </w:p>
    <w:tbl>
      <w:tblPr>
        <w:tblW w:type="auto" w:w="0"/>
        <w:jc w:val="center"/>
        <w:tblLook w:firstColumn="1" w:firstRow="1" w:lastColumn="0" w:lastRow="0" w:noHBand="0" w:noVBand="1" w:val="04A0"/>
      </w:tblPr>
      <w:tblGrid>
        <w:gridCol w:w="10224"/>
      </w:tblGrid>
      <w:tr>
        <w:tc>
          <w:tcPr>
            <w:tcW w:type="dxa" w:w="10224"/>
            <w:shd w:fill="F1F5F9"/>
            <w:tcMar>
              <w:top w:w="120" w:type="dxa"/>
              <w:start w:w="140" w:type="dxa"/>
              <w:bottom w:w="120" w:type="dxa"/>
              <w:end w:w="140" w:type="dxa"/>
            </w:tcMar>
          </w:tcPr>
          <w:p>
            <w:pPr>
              <w:spacing w:after="0"/>
            </w:pPr>
            <w:r>
              <w:rPr>
                <w:rFonts w:ascii="Liberation Mono" w:hAnsi="Liberation Mono"/>
                <w:color w:val="1E293B"/>
                <w:sz w:val="17"/>
              </w:rPr>
              <w:t>powerbi/olist_report_import.pbix</w:t>
            </w:r>
            <w:r>
              <w:br/>
            </w:r>
            <w:r>
              <w:rPr>
                <w:rFonts w:ascii="Liberation Mono" w:hAnsi="Liberation Mono"/>
                <w:color w:val="1E293B"/>
                <w:sz w:val="17"/>
              </w:rPr>
              <w:t>powerbi/olist_report_directquery.pbix</w:t>
            </w:r>
          </w:p>
        </w:tc>
      </w:tr>
    </w:tbl>
    <w:p>
      <w:pPr>
        <w:spacing w:after="20"/>
      </w:pPr>
    </w:p>
    <w:p>
      <w:r>
        <w:t>The DirectQuery variant was used to demonstrate source-backed behavior and Unity Catalog RLS for seller-scoped data. The implementation proves that the report can query the governed Gold layer without importing the protected fact rows.</w:t>
      </w:r>
    </w:p>
    <w:p>
      <w:r>
        <w:t xml:space="preserve">The exercise also asks for a formal comparison of refresh time, query time, and model size. That benchmark was intentionally </w:t>
      </w:r>
      <w:r>
        <w:rPr>
          <w:b/>
        </w:rPr>
        <w:t>not performed</w:t>
      </w:r>
      <w:r>
        <w:t>, so this bonus is documented as partially implemented rather than claimed as fully complete.</w:t>
      </w:r>
    </w:p>
    <w:p>
      <w:r>
        <w:t xml:space="preserve">The DirectQuery RLS demonstration is also not a strict like-for-like performance population against the full Import model because the lakehouse policy restricts the seller-scoped DirectQuery data to </w:t>
      </w:r>
      <w:r>
        <w:rPr>
          <w:rFonts w:ascii="Liberation Mono" w:hAnsi="Liberation Mono"/>
          <w:color w:val="334155"/>
          <w:sz w:val="18"/>
        </w:rPr>
        <w:t>SP</w:t>
      </w:r>
      <w:r>
        <w:t>.</w:t>
      </w:r>
    </w:p>
    <w:p>
      <w:pPr>
        <w:pStyle w:val="Heading2"/>
        <w:keepNext/>
        <w:keepNext/>
      </w:pPr>
      <w:r>
        <w:t>9.5 Bonus 5 - ML delivery-delay output - Complete</w:t>
      </w:r>
    </w:p>
    <w:p>
      <w:r>
        <w:t xml:space="preserve">The ML work is isolated from the core pipeline in </w:t>
      </w:r>
      <w:r>
        <w:rPr>
          <w:rFonts w:ascii="Liberation Mono" w:hAnsi="Liberation Mono"/>
          <w:color w:val="334155"/>
          <w:sz w:val="18"/>
        </w:rPr>
        <w:t>04-gold/11_delivery_delay_predictions.ipynb</w:t>
      </w:r>
      <w:r>
        <w:t xml:space="preserve">. It reads trusted Silver data and writes a separate Gold output instead of changing </w:t>
      </w:r>
      <w:r>
        <w:rPr>
          <w:rFonts w:ascii="Liberation Mono" w:hAnsi="Liberation Mono"/>
          <w:color w:val="334155"/>
          <w:sz w:val="18"/>
        </w:rPr>
        <w:t>fact_orders</w:t>
      </w:r>
      <w:r>
        <w:t>.</w:t>
      </w:r>
    </w:p>
    <w:p>
      <w:pPr>
        <w:pStyle w:val="Heading3"/>
        <w:keepNext/>
        <w:keepNext/>
      </w:pPr>
      <w:r>
        <w:t>Target</w:t>
      </w:r>
    </w:p>
    <w:p>
      <w:r>
        <w:t xml:space="preserve">The regression target is </w:t>
      </w:r>
      <w:r>
        <w:rPr>
          <w:rFonts w:ascii="Liberation Mono" w:hAnsi="Liberation Mono"/>
          <w:color w:val="334155"/>
          <w:sz w:val="18"/>
        </w:rPr>
        <w:t>delivery_variance_days</w:t>
      </w:r>
      <w:r>
        <w:t>:</w:t>
      </w:r>
    </w:p>
    <w:p>
      <w:pPr>
        <w:pStyle w:val="ListBullet"/>
      </w:pPr>
      <w:r>
        <w:t>negative value = delivered earlier than estimated</w:t>
      </w:r>
    </w:p>
    <w:p>
      <w:pPr>
        <w:pStyle w:val="ListBullet"/>
      </w:pPr>
      <w:r>
        <w:t>zero = delivered on the estimated date</w:t>
      </w:r>
    </w:p>
    <w:p>
      <w:pPr>
        <w:pStyle w:val="ListBullet"/>
      </w:pPr>
      <w:r>
        <w:t>positive value = delivered late</w:t>
      </w:r>
    </w:p>
    <w:p>
      <w:pPr>
        <w:pStyle w:val="Heading3"/>
        <w:keepNext/>
        <w:keepNext/>
      </w:pPr>
      <w:r>
        <w:t>Features</w:t>
      </w:r>
    </w:p>
    <w:p>
      <w:r>
        <w:t>Only information known at or near order creation is used, avoiding target leakage. The final feature set includes:</w:t>
      </w:r>
    </w:p>
    <w:p>
      <w:pPr>
        <w:pStyle w:val="ListBullet"/>
      </w:pPr>
      <w:r>
        <w:t>item count</w:t>
      </w:r>
    </w:p>
    <w:p>
      <w:pPr>
        <w:pStyle w:val="ListBullet"/>
      </w:pPr>
      <w:r>
        <w:t>total item value</w:t>
      </w:r>
    </w:p>
    <w:p>
      <w:pPr>
        <w:pStyle w:val="ListBullet"/>
      </w:pPr>
      <w:r>
        <w:t>total freight</w:t>
      </w:r>
    </w:p>
    <w:p>
      <w:pPr>
        <w:pStyle w:val="ListBullet"/>
      </w:pPr>
      <w:r>
        <w:t>average product weight</w:t>
      </w:r>
    </w:p>
    <w:p>
      <w:pPr>
        <w:pStyle w:val="ListBullet"/>
      </w:pPr>
      <w:r>
        <w:t>seller count</w:t>
      </w:r>
    </w:p>
    <w:p>
      <w:pPr>
        <w:pStyle w:val="ListBullet"/>
      </w:pPr>
      <w:r>
        <w:t>product count</w:t>
      </w:r>
    </w:p>
    <w:p>
      <w:pPr>
        <w:pStyle w:val="ListBullet"/>
      </w:pPr>
      <w:r>
        <w:t>promised delivery days</w:t>
      </w:r>
    </w:p>
    <w:p>
      <w:pPr>
        <w:pStyle w:val="ListBullet"/>
      </w:pPr>
      <w:r>
        <w:t>purchase month</w:t>
      </w:r>
    </w:p>
    <w:p>
      <w:pPr>
        <w:pStyle w:val="ListBullet"/>
      </w:pPr>
      <w:r>
        <w:t>purchase day of week</w:t>
      </w:r>
    </w:p>
    <w:p>
      <w:pPr>
        <w:pStyle w:val="ListBullet"/>
      </w:pPr>
      <w:r>
        <w:t>customer state (indexed and one-hot encoded)</w:t>
      </w:r>
    </w:p>
    <w:p>
      <w:r>
        <w:t>Post-delivery values such as actual shipping time or delivered timestamp are not used as predictors.</w:t>
      </w:r>
    </w:p>
    <w:p>
      <w:pPr>
        <w:pStyle w:val="Heading3"/>
        <w:keepNext/>
        <w:keepNext/>
      </w:pPr>
      <w:r>
        <w:t>Model</w:t>
      </w:r>
    </w:p>
    <w:p>
      <w:r>
        <w:t xml:space="preserve">The model is a PySpark ML </w:t>
      </w:r>
      <w:r>
        <w:rPr>
          <w:rFonts w:ascii="Liberation Mono" w:hAnsi="Liberation Mono"/>
          <w:color w:val="334155"/>
          <w:sz w:val="18"/>
        </w:rPr>
        <w:t>RandomForestRegressor</w:t>
      </w:r>
      <w:r>
        <w:t xml:space="preserve"> with 100 trees, maximum depth 8, and seed 42. Missing numeric features use median imputation; customer state is encoded before vector assembly.</w:t>
      </w:r>
    </w:p>
    <w:p>
      <w:pPr>
        <w:pStyle w:val="Heading3"/>
        <w:keepNext/>
        <w:keepNext/>
      </w:pPr>
      <w:r>
        <w:t>Evaluation</w:t>
      </w:r>
    </w:p>
    <w:p>
      <w:r>
        <w:t>Orders are split chronologically rather than randomly:</w:t>
      </w:r>
    </w:p>
    <w:p>
      <w:pPr>
        <w:pStyle w:val="ListBullet"/>
      </w:pPr>
      <w:r>
        <w:t xml:space="preserve">training rows: </w:t>
      </w:r>
      <w:r>
        <w:rPr>
          <w:b/>
        </w:rPr>
        <w:t>77,172</w:t>
      </w:r>
      <w:r>
        <w:t xml:space="preserve"> (80%)</w:t>
      </w:r>
    </w:p>
    <w:p>
      <w:pPr>
        <w:pStyle w:val="ListBullet"/>
      </w:pPr>
      <w:r>
        <w:t xml:space="preserve">test rows: </w:t>
      </w:r>
      <w:r>
        <w:rPr>
          <w:b/>
        </w:rPr>
        <w:t>19,298</w:t>
      </w:r>
      <w:r>
        <w:t xml:space="preserve"> (20%)</w:t>
      </w:r>
    </w:p>
    <w:p>
      <w:pPr>
        <w:pStyle w:val="ListBullet"/>
      </w:pPr>
      <w:r>
        <w:t xml:space="preserve">chronological cutoff: approximately </w:t>
      </w:r>
      <w:r>
        <w:rPr>
          <w:b/>
        </w:rPr>
        <w:t>2018-05-26 16:40:08</w:t>
      </w:r>
    </w:p>
    <w:p>
      <w:r>
        <w:t>Final Gold/table validation gives:</w:t>
      </w:r>
    </w:p>
    <w:p>
      <w:pPr>
        <w:pStyle w:val="ListBullet"/>
      </w:pPr>
      <w:r>
        <w:t xml:space="preserve">Random Forest test MAE: approximately </w:t>
      </w:r>
      <w:r>
        <w:rPr>
          <w:b/>
        </w:rPr>
        <w:t>5.05 days</w:t>
      </w:r>
    </w:p>
    <w:p>
      <w:pPr>
        <w:pStyle w:val="ListBullet"/>
      </w:pPr>
      <w:r>
        <w:t xml:space="preserve">median baseline MAE: </w:t>
      </w:r>
      <w:r>
        <w:rPr>
          <w:b/>
        </w:rPr>
        <w:t>7.57 days</w:t>
      </w:r>
    </w:p>
    <w:p>
      <w:pPr>
        <w:pStyle w:val="ListBullet"/>
      </w:pPr>
      <w:r>
        <w:t xml:space="preserve">test R2: </w:t>
      </w:r>
      <w:r>
        <w:rPr>
          <w:b/>
        </w:rPr>
        <w:t>0.530</w:t>
      </w:r>
    </w:p>
    <w:p>
      <w:pPr>
        <w:pStyle w:val="ListBullet"/>
      </w:pPr>
      <w:r>
        <w:t xml:space="preserve">MAE improvement versus baseline: approximately </w:t>
      </w:r>
      <w:r>
        <w:rPr>
          <w:b/>
        </w:rPr>
        <w:t>33%</w:t>
      </w:r>
    </w:p>
    <w:p>
      <w:r>
        <w:t>The output table is:</w:t>
      </w:r>
    </w:p>
    <w:tbl>
      <w:tblPr>
        <w:tblW w:type="auto" w:w="0"/>
        <w:jc w:val="center"/>
        <w:tblLook w:firstColumn="1" w:firstRow="1" w:lastColumn="0" w:lastRow="0" w:noHBand="0" w:noVBand="1" w:val="04A0"/>
      </w:tblPr>
      <w:tblGrid>
        <w:gridCol w:w="10224"/>
      </w:tblGrid>
      <w:tr>
        <w:tc>
          <w:tcPr>
            <w:tcW w:type="dxa" w:w="10224"/>
            <w:shd w:fill="F1F5F9"/>
            <w:tcMar>
              <w:top w:w="120" w:type="dxa"/>
              <w:start w:w="140" w:type="dxa"/>
              <w:bottom w:w="120" w:type="dxa"/>
              <w:end w:w="140" w:type="dxa"/>
            </w:tcMar>
          </w:tcPr>
          <w:p>
            <w:pPr>
              <w:spacing w:after="0"/>
            </w:pPr>
            <w:r>
              <w:rPr>
                <w:rFonts w:ascii="Liberation Mono" w:hAnsi="Liberation Mono"/>
                <w:color w:val="1E293B"/>
                <w:sz w:val="17"/>
              </w:rPr>
              <w:t>olist.gold.order_delivery_predictions</w:t>
            </w:r>
          </w:p>
        </w:tc>
      </w:tr>
    </w:tbl>
    <w:p>
      <w:pPr>
        <w:spacing w:after="20"/>
      </w:pPr>
    </w:p>
    <w:p>
      <w:r>
        <w:t xml:space="preserve">with fields including </w:t>
      </w:r>
      <w:r>
        <w:rPr>
          <w:rFonts w:ascii="Liberation Mono" w:hAnsi="Liberation Mono"/>
          <w:color w:val="334155"/>
          <w:sz w:val="18"/>
        </w:rPr>
        <w:t>order_id</w:t>
      </w:r>
      <w:r>
        <w:t xml:space="preserve">, </w:t>
      </w:r>
      <w:r>
        <w:rPr>
          <w:rFonts w:ascii="Liberation Mono" w:hAnsi="Liberation Mono"/>
          <w:color w:val="334155"/>
          <w:sz w:val="18"/>
        </w:rPr>
        <w:t>date_key</w:t>
      </w:r>
      <w:r>
        <w:t>, actual delay, predicted delay, prediction error, absolute error, late flags, train/test split, and scoring timestamp.</w:t>
      </w:r>
    </w:p>
    <w:p>
      <w:r>
        <w:t>Final table checks:</w:t>
      </w:r>
    </w:p>
    <w:p>
      <w:pPr>
        <w:pStyle w:val="ListBullet"/>
      </w:pPr>
      <w:r>
        <w:t xml:space="preserve">rows: </w:t>
      </w:r>
      <w:r>
        <w:rPr>
          <w:b/>
        </w:rPr>
        <w:t>96,470</w:t>
      </w:r>
    </w:p>
    <w:p>
      <w:pPr>
        <w:pStyle w:val="ListBullet"/>
      </w:pPr>
      <w:r>
        <w:t xml:space="preserve">distinct </w:t>
      </w:r>
      <w:r>
        <w:rPr>
          <w:rFonts w:ascii="Liberation Mono" w:hAnsi="Liberation Mono"/>
          <w:color w:val="334155"/>
          <w:sz w:val="18"/>
        </w:rPr>
        <w:t>order_id</w:t>
      </w:r>
      <w:r>
        <w:t xml:space="preserve">: </w:t>
      </w:r>
      <w:r>
        <w:rPr>
          <w:b/>
        </w:rPr>
        <w:t>96,470</w:t>
      </w:r>
    </w:p>
    <w:p>
      <w:pPr>
        <w:pStyle w:val="ListBullet"/>
      </w:pPr>
      <w:r>
        <w:t xml:space="preserve">null predictions: </w:t>
      </w:r>
      <w:r>
        <w:rPr>
          <w:b/>
        </w:rPr>
        <w:t>0</w:t>
      </w:r>
    </w:p>
    <w:p>
      <w:r>
        <w:t xml:space="preserve">Power BI filters the ML validation page to </w:t>
      </w:r>
      <w:r>
        <w:rPr>
          <w:rFonts w:ascii="Liberation Mono" w:hAnsi="Liberation Mono"/>
          <w:color w:val="334155"/>
          <w:sz w:val="18"/>
        </w:rPr>
        <w:t>dataset_split = test</w:t>
      </w:r>
      <w:r>
        <w:t xml:space="preserve"> so the visuals show unseen holdout orders rather than training predictions.</w:t>
      </w:r>
    </w:p>
    <w:p>
      <w:pPr>
        <w:jc w:val="center"/>
      </w:pPr>
      <w:r>
        <w:drawing>
          <wp:inline xmlns:a="http://schemas.openxmlformats.org/drawingml/2006/main" xmlns:pic="http://schemas.openxmlformats.org/drawingml/2006/picture">
            <wp:extent cx="6217920" cy="3504167"/>
            <wp:docPr id="4" name="Picture 4"/>
            <wp:cNvGraphicFramePr>
              <a:graphicFrameLocks noChangeAspect="1"/>
            </wp:cNvGraphicFramePr>
            <a:graphic>
              <a:graphicData uri="http://schemas.openxmlformats.org/drawingml/2006/picture">
                <pic:pic>
                  <pic:nvPicPr>
                    <pic:cNvPr id="0" name="ml_powerbi_page.png"/>
                    <pic:cNvPicPr/>
                  </pic:nvPicPr>
                  <pic:blipFill>
                    <a:blip r:embed="rId14"/>
                    <a:stretch>
                      <a:fillRect/>
                    </a:stretch>
                  </pic:blipFill>
                  <pic:spPr>
                    <a:xfrm>
                      <a:off x="0" y="0"/>
                      <a:ext cx="6217920" cy="3504167"/>
                    </a:xfrm>
                    <a:prstGeom prst="rect"/>
                  </pic:spPr>
                </pic:pic>
              </a:graphicData>
            </a:graphic>
          </wp:inline>
        </w:drawing>
      </w:r>
    </w:p>
    <w:p>
      <w:pPr>
        <w:spacing w:after="160"/>
        <w:jc w:val="center"/>
      </w:pPr>
      <w:r>
        <w:rPr>
          <w:i/>
          <w:color w:val="475569"/>
          <w:sz w:val="17"/>
        </w:rPr>
        <w:t>Figure 4. Power BI holdout-test view: actual versus predicted delivery delay and model validation metrics.</w:t>
      </w:r>
    </w:p>
    <w:p>
      <w:pPr>
        <w:pStyle w:val="Heading1"/>
        <w:keepNext/>
        <w:keepNext/>
      </w:pPr>
      <w:r>
        <w:t>10. Challenges and lessons learned</w:t>
      </w:r>
    </w:p>
    <w:p>
      <w:r>
        <w:rPr>
          <w:b/>
        </w:rPr>
        <w:t>Multiline review parsing.</w:t>
      </w:r>
      <w:r>
        <w:t xml:space="preserve"> Row-count and score-column profiling exposed a source parsing issue that was not obvious from the file name alone. The lesson was to validate source behavior instead of trusting expected counts blindly.</w:t>
      </w:r>
    </w:p>
    <w:p>
      <w:r>
        <w:rPr>
          <w:b/>
        </w:rPr>
        <w:t>Customer grain.</w:t>
      </w:r>
      <w:r>
        <w:t xml:space="preserve"> Using </w:t>
      </w:r>
      <w:r>
        <w:rPr>
          <w:rFonts w:ascii="Liberation Mono" w:hAnsi="Liberation Mono"/>
          <w:color w:val="334155"/>
          <w:sz w:val="18"/>
        </w:rPr>
        <w:t>customer_id</w:t>
      </w:r>
      <w:r>
        <w:t xml:space="preserve"> initially creates an order-specific pseudo-dimension. Moving to </w:t>
      </w:r>
      <w:r>
        <w:rPr>
          <w:rFonts w:ascii="Liberation Mono" w:hAnsi="Liberation Mono"/>
          <w:color w:val="334155"/>
          <w:sz w:val="18"/>
        </w:rPr>
        <w:t>customer_unique_id</w:t>
      </w:r>
      <w:r>
        <w:t xml:space="preserve"> is necessary for correct customer-level analysis and repeat-customer measures.</w:t>
      </w:r>
    </w:p>
    <w:p>
      <w:r>
        <w:rPr>
          <w:b/>
        </w:rPr>
        <w:t>Multi-fact modeling.</w:t>
      </w:r>
      <w:r>
        <w:t xml:space="preserve"> Keeping order items and payments at separate grains is essential. A visually simple order-level join produces materially wrong revenue/payment totals.</w:t>
      </w:r>
    </w:p>
    <w:p>
      <w:r>
        <w:rPr>
          <w:b/>
        </w:rPr>
        <w:t>Bundle path validation.</w:t>
      </w:r>
      <w:r>
        <w:t xml:space="preserve"> Workspace notebooks can be referenced differently from repository files. Asset Bundle CI required the real </w:t>
      </w:r>
      <w:r>
        <w:rPr>
          <w:rFonts w:ascii="Liberation Mono" w:hAnsi="Liberation Mono"/>
          <w:color w:val="334155"/>
          <w:sz w:val="18"/>
        </w:rPr>
        <w:t>.ipynb</w:t>
      </w:r>
      <w:r>
        <w:t xml:space="preserve"> file extensions in local notebook references, which the validation workflow caught before deployment.</w:t>
      </w:r>
    </w:p>
    <w:p>
      <w:r>
        <w:rPr>
          <w:b/>
        </w:rPr>
        <w:t>Lakehouse RLS versus report filters.</w:t>
      </w:r>
      <w:r>
        <w:t xml:space="preserve"> RLS implemented in Unity Catalog protects DirectQuery data before Power BI receives it. This is stronger than only filtering visuals or relying on a report role.</w:t>
      </w:r>
    </w:p>
    <w:p>
      <w:r>
        <w:rPr>
          <w:b/>
        </w:rPr>
        <w:t>ML leakage control.</w:t>
      </w:r>
      <w:r>
        <w:t xml:space="preserve"> Delivery prediction is only defensible when the features are available before the outcome. Excluding handling/shipping/delivery-derived predictors and adding a baseline made the model evaluation meaningful.</w:t>
      </w:r>
    </w:p>
    <w:p>
      <w:r>
        <w:rPr>
          <w:b/>
        </w:rPr>
        <w:t>Environment constraints.</w:t>
      </w:r>
      <w:r>
        <w:t xml:space="preserve"> The project was built in a serverless Databricks Free Edition context and Power BI Desktop was used from Windows.</w:t>
      </w:r>
    </w:p>
    <w:p>
      <w:pPr>
        <w:pStyle w:val="Heading1"/>
        <w:keepNext/>
        <w:keepNext/>
      </w:pPr>
      <w:r>
        <w:t>11. Reproducibility / runbook</w:t>
      </w:r>
    </w:p>
    <w:p>
      <w:pPr>
        <w:pStyle w:val="ListNumber"/>
      </w:pPr>
      <w:r>
        <w:t>Clone the repository.</w:t>
      </w:r>
    </w:p>
    <w:p>
      <w:pPr>
        <w:pStyle w:val="ListNumber"/>
      </w:pPr>
      <w:r>
        <w:t>Download the nine Olist CSV files from Kaggle.</w:t>
      </w:r>
    </w:p>
    <w:p>
      <w:pPr>
        <w:pStyle w:val="ListNumber"/>
      </w:pPr>
      <w:r>
        <w:t xml:space="preserve">Run </w:t>
      </w:r>
      <w:r>
        <w:rPr>
          <w:rFonts w:ascii="Liberation Mono" w:hAnsi="Liberation Mono"/>
          <w:color w:val="334155"/>
          <w:sz w:val="18"/>
        </w:rPr>
        <w:t>01-setup/00_bootstrap.sql</w:t>
      </w:r>
      <w:r>
        <w:t>.</w:t>
      </w:r>
    </w:p>
    <w:p>
      <w:pPr>
        <w:pStyle w:val="ListNumber"/>
      </w:pPr>
      <w:r>
        <w:t xml:space="preserve">Upload the source files to </w:t>
      </w:r>
      <w:r>
        <w:rPr>
          <w:rFonts w:ascii="Liberation Mono" w:hAnsi="Liberation Mono"/>
          <w:color w:val="334155"/>
          <w:sz w:val="18"/>
        </w:rPr>
        <w:t>/Volumes/olist/landing/files/</w:t>
      </w:r>
      <w:r>
        <w:t>.</w:t>
      </w:r>
    </w:p>
    <w:p>
      <w:pPr>
        <w:pStyle w:val="ListNumber"/>
      </w:pPr>
      <w:r>
        <w:t>Run the main Bronze -&gt; Silver -&gt; Gold -&gt; Data Quality job.</w:t>
      </w:r>
    </w:p>
    <w:p>
      <w:pPr>
        <w:pStyle w:val="ListNumber"/>
      </w:pPr>
      <w:r>
        <w:t>Run the incremental demo if reproducing the watermark/MERGE behavior.</w:t>
      </w:r>
    </w:p>
    <w:p>
      <w:pPr>
        <w:pStyle w:val="ListNumber"/>
      </w:pPr>
      <w:r>
        <w:t xml:space="preserve">Run </w:t>
      </w:r>
      <w:r>
        <w:rPr>
          <w:rFonts w:ascii="Liberation Mono" w:hAnsi="Liberation Mono"/>
          <w:color w:val="334155"/>
          <w:sz w:val="18"/>
        </w:rPr>
        <w:t>07-performance/01_optimize</w:t>
      </w:r>
      <w:r>
        <w:t xml:space="preserve"> to reproduce the backend benchmark.</w:t>
      </w:r>
    </w:p>
    <w:p>
      <w:pPr>
        <w:pStyle w:val="ListNumber"/>
      </w:pPr>
      <w:r>
        <w:t xml:space="preserve">Run </w:t>
      </w:r>
      <w:r>
        <w:rPr>
          <w:rFonts w:ascii="Liberation Mono" w:hAnsi="Liberation Mono"/>
          <w:color w:val="334155"/>
          <w:sz w:val="18"/>
        </w:rPr>
        <w:t>databricks bundle validate --target dev</w:t>
      </w:r>
      <w:r>
        <w:t xml:space="preserve"> or push to GitHub to trigger CI bundle validation.</w:t>
      </w:r>
    </w:p>
    <w:p>
      <w:pPr>
        <w:pStyle w:val="ListNumber"/>
      </w:pPr>
      <w:r>
        <w:t xml:space="preserve">Optionally run </w:t>
      </w:r>
      <w:r>
        <w:rPr>
          <w:rFonts w:ascii="Liberation Mono" w:hAnsi="Liberation Mono"/>
          <w:color w:val="334155"/>
          <w:sz w:val="18"/>
        </w:rPr>
        <w:t>04-gold/10_rls_lakehouse.ipynb</w:t>
      </w:r>
      <w:r>
        <w:t xml:space="preserve"> to reproduce the lakehouse RLS demonstration.</w:t>
      </w:r>
    </w:p>
    <w:p>
      <w:pPr>
        <w:pStyle w:val="ListNumber"/>
      </w:pPr>
      <w:r>
        <w:t xml:space="preserve">Optionally run </w:t>
      </w:r>
      <w:r>
        <w:rPr>
          <w:rFonts w:ascii="Liberation Mono" w:hAnsi="Liberation Mono"/>
          <w:color w:val="334155"/>
          <w:sz w:val="18"/>
        </w:rPr>
        <w:t>04-gold/11_delivery_delay_predictions.ipynb</w:t>
      </w:r>
      <w:r>
        <w:t xml:space="preserve"> to rebuild the ML Gold output.</w:t>
      </w:r>
    </w:p>
    <w:p>
      <w:pPr>
        <w:pStyle w:val="ListNumber"/>
      </w:pPr>
      <w:r>
        <w:t xml:space="preserve">Open </w:t>
      </w:r>
      <w:r>
        <w:rPr>
          <w:rFonts w:ascii="Liberation Mono" w:hAnsi="Liberation Mono"/>
          <w:color w:val="334155"/>
          <w:sz w:val="18"/>
        </w:rPr>
        <w:t>powerbi/olist_report_import.pbix</w:t>
      </w:r>
      <w:r>
        <w:t xml:space="preserve"> for the primary report. Use </w:t>
      </w:r>
      <w:r>
        <w:rPr>
          <w:rFonts w:ascii="Liberation Mono" w:hAnsi="Liberation Mono"/>
          <w:color w:val="334155"/>
          <w:sz w:val="18"/>
        </w:rPr>
        <w:t>powerbi/olist_report_directquery.pbix</w:t>
      </w:r>
      <w:r>
        <w:t xml:space="preserve"> for the DirectQuery/RLS demonstration.</w:t>
      </w:r>
    </w:p>
    <w:p>
      <w:pPr>
        <w:pStyle w:val="Heading1"/>
        <w:keepNext/>
        <w:keepNext/>
      </w:pPr>
      <w:r>
        <w:t>12. Submission summary</w:t>
      </w:r>
    </w:p>
    <w:p>
      <w:r>
        <w:t>The submission provides a governed Databricks medallion pipeline, multi-fact dimensional model, automated DQ gate, incremental watermark/MERGE design, backend optimization evidence, Power BI semantic model/report, Git-based reproducibility, and advanced bonus work covering Auto Loader, Asset Bundle CI, lakehouse RLS, a DirectQuery variant, and ML delivery-delay scoring.</w:t>
      </w:r>
    </w:p>
    <w:p>
      <w:r>
        <w:t>The only bonus item intentionally not completed in full is the formal Import-vs-DirectQuery performance comparison requested as part of Bonus 4. The implementation is documented exactly as delivered rather than overstated.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Olist Data Platform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Olist Data Platform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1E3A5F"/>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Liberation Sans" w:hAnsi="Liberation San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X">
    <w:name w:val="SubtitleX"/>
    <w:rPr>
      <w:rFonts w:ascii="Liberation Sans" w:hAnsi="Liberation Sans"/>
      <w:color w:val="475569"/>
      <w:sz w:val="26"/>
    </w:rPr>
  </w:style>
  <w:style w:type="paragraph" w:customStyle="1" w:styleId="SmallNote">
    <w:name w:val="SmallNote"/>
    <w:rPr>
      <w:rFonts w:ascii="Liberation Sans" w:hAnsi="Liberation Sans"/>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