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DocFlow — Technical Build Timeline</w:t>
      </w:r>
    </w:p>
    <w:p>
      <w:pPr>
        <w:pBdr>
          <w:bottom w:val="single" w:color="0F6E56" w:sz="6" w:space="8"/>
        </w:pBdr>
        <w:spacing w:after="120"/>
      </w:pPr>
      <w:r>
        <w:rPr>
          <w:i/>
          <w:iCs/>
          <w:color w:val="666666"/>
        </w:rPr>
        <w:t xml:space="preserve">Internal reference · Version 1 · September 2026</w:t>
      </w:r>
    </w:p>
    <w:p>
      <w:pPr>
        <w:spacing w:after="120"/>
      </w:pPr>
    </w:p>
    <w:p>
      <w:pPr>
        <w:pStyle w:val="Heading1"/>
        <w:spacing w:after="140" w:before="280"/>
      </w:pPr>
      <w:r>
        <w:t xml:space="preserve">Overview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Phased build order for a focused solo founder using AI coding tools. Each phase has an exit criterion — don't move to the next phase until the current one is met. Total estimate: 4–7 weeks.</w:t>
      </w:r>
    </w:p>
    <w:p>
      <w:pPr>
        <w:pStyle w:val="Heading1"/>
        <w:spacing w:after="140" w:before="280"/>
      </w:pPr>
      <w:r>
        <w:t xml:space="preserve">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3660"/>
        <w:gridCol w:w="2900"/>
      </w:tblGrid>
      <w:tr>
        <w:trPr>
          <w:tblHeader/>
        </w:trPr>
        <w:tc>
          <w:tcPr>
            <w:tcW w:type="dxa" w:w="1600"/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1200"/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  <w:tc>
          <w:tcPr>
            <w:tcW w:type="dxa" w:w="3660"/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Scope</w:t>
            </w:r>
          </w:p>
        </w:tc>
        <w:tc>
          <w:tcPr>
            <w:tcW w:type="dxa" w:w="2900"/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Exit criteria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0 — Foundations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3–5 days</w:t>
            </w:r>
          </w:p>
        </w:tc>
        <w:tc>
          <w:tcPr>
            <w:tcW w:type="dxa" w:w="3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Monorepo setup, multi-tenancy, authentication, core database tables, file storage, basic error logging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Can create a tenant and authenticated user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1 — Intake + Extraction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5–8 days</w:t>
            </w:r>
          </w:p>
        </w:tc>
        <w:tc>
          <w:tcPr>
            <w:tcW w:type="dxa" w:w="3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File upload endpoint, email intake, extraction service with model routing, structured JSON output, confidence scoring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Can upload or email a real PO and see structured data stored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2 — Matching + Post-processing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3–5 days</w:t>
            </w:r>
          </w:p>
        </w:tc>
        <w:tc>
          <w:tcPr>
            <w:tcW w:type="dxa" w:w="3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Customer matching, SKU matching (exact and fuzzy), learned mappings, rule-based validation, duplicate detection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Extracted data is cleaned, matched, and flagged correctly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3 — Human Review UI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5–7 days</w:t>
            </w:r>
          </w:p>
        </w:tc>
        <w:tc>
          <w:tcPr>
            <w:tcW w:type="dxa" w:w="3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Side-by-side document/data view, editable header and line items, SKU search and create-mapping, approve/reject actions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A non-technical person can review and correct a PO in under 2 minutes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4 — Export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2–3 days</w:t>
            </w:r>
          </w:p>
        </w:tc>
        <w:tc>
          <w:tcPr>
            <w:tcW w:type="dxa" w:w="3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CSV, Excel, and JSON generation; “Approve &amp; Export” action; download endpoint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Approved documents produce files ready for import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5 — Onboarding + Polish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3–4 days</w:t>
            </w:r>
          </w:p>
        </w:tc>
        <w:tc>
          <w:tcPr>
            <w:tcW w:type="dxa" w:w="3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Guided onboarding wizard (catalog upload, intake email, first POs), dashboard, notifications, team roles, billing plumbing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A new customer can go from signup to first export without help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6 — Hardening for Launch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3–5 days</w:t>
            </w:r>
          </w:p>
        </w:tc>
        <w:tc>
          <w:tcPr>
            <w:tcW w:type="dxa" w:w="3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Error handling, rate limiting, audit log, row-level security, monitoring, documentation, test with 10–20 real messy POs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Confident putting real customers on it</w:t>
            </w:r>
          </w:p>
        </w:tc>
      </w:tr>
    </w:tbl>
    <w:p>
      <w:pPr>
        <w:pStyle w:val="Heading1"/>
        <w:spacing w:after="140" w:before="280"/>
      </w:pPr>
      <w:r>
        <w:t xml:space="preserve">Launch criteria — must all be true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 can upload catalog and, optionally, customer 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 can be sent by email or upload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extracts and matches reasonably well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human can quickly review and correct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Clean CSV / Excel / JSON export works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learns from corrections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Ready to charge per the Pricing document</w:t>
      </w:r>
    </w:p>
    <w:p>
      <w:pPr>
        <w:pStyle w:val="Heading1"/>
        <w:spacing w:after="140" w:before="280"/>
      </w:pPr>
      <w:r>
        <w:t xml:space="preserve">Explicitly deferred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See the MVP &amp; Future Feature Roadmap document for the full list. Notably excluded from this build: native ERP integrations, the invoice module, advanced change-order diff UI, analytics, a mobile app, and permission systems beyond owner/admin/reviewer.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2026-09-16T02:12:01.730Z</dcterms:created>
  <dcterms:modified xsi:type="dcterms:W3CDTF">2026-09-16T02:12:01.730Z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